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BBD1">
      <w:pPr>
        <w:spacing w:line="600" w:lineRule="exact"/>
        <w:jc w:val="center"/>
        <w:rPr>
          <w:rFonts w:ascii="方正小标宋简体" w:hAnsi="宋体" w:eastAsia="方正小标宋简体"/>
          <w:sz w:val="72"/>
          <w:szCs w:val="72"/>
        </w:rPr>
      </w:pPr>
      <w:bookmarkStart w:id="0" w:name="_Toc15306267"/>
    </w:p>
    <w:p w14:paraId="02F0912D">
      <w:pPr>
        <w:spacing w:line="600" w:lineRule="exact"/>
        <w:jc w:val="center"/>
        <w:rPr>
          <w:rFonts w:ascii="方正小标宋简体" w:hAnsi="宋体" w:eastAsia="方正小标宋简体"/>
          <w:sz w:val="72"/>
          <w:szCs w:val="72"/>
        </w:rPr>
      </w:pPr>
    </w:p>
    <w:p w14:paraId="31C33809">
      <w:pPr>
        <w:spacing w:line="600" w:lineRule="exact"/>
        <w:jc w:val="center"/>
        <w:rPr>
          <w:rFonts w:ascii="方正小标宋简体" w:hAnsi="宋体" w:eastAsia="方正小标宋简体"/>
          <w:sz w:val="72"/>
          <w:szCs w:val="72"/>
        </w:rPr>
      </w:pPr>
    </w:p>
    <w:p w14:paraId="1A48785D">
      <w:pPr>
        <w:spacing w:line="600" w:lineRule="exact"/>
        <w:jc w:val="center"/>
        <w:rPr>
          <w:rFonts w:ascii="方正小标宋简体" w:hAnsi="宋体" w:eastAsia="方正小标宋简体"/>
          <w:sz w:val="72"/>
          <w:szCs w:val="72"/>
        </w:rPr>
      </w:pPr>
    </w:p>
    <w:p w14:paraId="4893466D">
      <w:pPr>
        <w:adjustRightInd w:val="0"/>
        <w:snapToGrid w:val="0"/>
        <w:spacing w:line="960" w:lineRule="exact"/>
        <w:jc w:val="center"/>
        <w:outlineLvl w:val="0"/>
        <w:rPr>
          <w:rFonts w:hint="eastAsia" w:ascii="方正小标宋简体" w:hAnsi="方正小标宋简体" w:eastAsia="方正小标宋简体" w:cs="方正小标宋简体"/>
          <w:sz w:val="72"/>
          <w:szCs w:val="72"/>
        </w:rPr>
      </w:pPr>
      <w:bookmarkStart w:id="1" w:name="_Toc15377425"/>
      <w:bookmarkStart w:id="2" w:name="_Toc30504"/>
      <w:bookmarkStart w:id="3" w:name="_Toc15396597"/>
      <w:bookmarkStart w:id="4" w:name="_Toc15378441"/>
      <w:bookmarkStart w:id="5" w:name="_Toc15377193"/>
      <w:bookmarkStart w:id="6"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Start w:id="7" w:name="_Toc3605"/>
      <w:bookmarkStart w:id="8" w:name="_Toc15377426"/>
      <w:bookmarkStart w:id="9" w:name="_Toc15378442"/>
      <w:bookmarkStart w:id="10" w:name="_Toc15396476"/>
      <w:bookmarkStart w:id="11" w:name="_Toc15396598"/>
      <w:bookmarkStart w:id="12" w:name="_Toc15377194"/>
    </w:p>
    <w:p w14:paraId="25ACD273">
      <w:pPr>
        <w:adjustRightInd w:val="0"/>
        <w:snapToGrid w:val="0"/>
        <w:spacing w:line="960" w:lineRule="exact"/>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盐边县</w:t>
      </w:r>
      <w:bookmarkEnd w:id="0"/>
      <w:bookmarkStart w:id="13" w:name="_Toc15306268"/>
      <w:r>
        <w:rPr>
          <w:rFonts w:hint="eastAsia" w:ascii="方正小标宋简体" w:hAnsi="方正小标宋简体" w:eastAsia="方正小标宋简体" w:cs="方正小标宋简体"/>
          <w:sz w:val="72"/>
          <w:szCs w:val="72"/>
        </w:rPr>
        <w:t>渔门镇中心学校</w:t>
      </w:r>
      <w:bookmarkEnd w:id="7"/>
      <w:bookmarkStart w:id="14" w:name="_Toc28285"/>
    </w:p>
    <w:p w14:paraId="5E53FEE5">
      <w:pPr>
        <w:adjustRightInd w:val="0"/>
        <w:snapToGrid w:val="0"/>
        <w:spacing w:line="960" w:lineRule="exact"/>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决算</w:t>
      </w:r>
      <w:bookmarkEnd w:id="8"/>
      <w:bookmarkEnd w:id="9"/>
      <w:bookmarkEnd w:id="10"/>
      <w:bookmarkEnd w:id="11"/>
      <w:bookmarkEnd w:id="12"/>
      <w:bookmarkEnd w:id="13"/>
      <w:r>
        <w:rPr>
          <w:rFonts w:hint="eastAsia" w:ascii="方正小标宋简体" w:hAnsi="方正小标宋简体" w:eastAsia="方正小标宋简体" w:cs="方正小标宋简体"/>
          <w:sz w:val="72"/>
          <w:szCs w:val="72"/>
        </w:rPr>
        <w:t>公开</w:t>
      </w:r>
      <w:bookmarkEnd w:id="14"/>
    </w:p>
    <w:p w14:paraId="0FA27D51">
      <w:pPr>
        <w:widowControl/>
        <w:jc w:val="center"/>
        <w:rPr>
          <w:rFonts w:ascii="黑体" w:hAnsi="黑体" w:eastAsia="黑体"/>
          <w:sz w:val="48"/>
          <w:szCs w:val="48"/>
        </w:rPr>
      </w:pPr>
    </w:p>
    <w:p w14:paraId="268DB014">
      <w:pPr>
        <w:pStyle w:val="2"/>
        <w:spacing w:before="93"/>
        <w:rPr>
          <w:rFonts w:ascii="黑体" w:hAnsi="黑体" w:eastAsia="黑体"/>
          <w:sz w:val="48"/>
          <w:szCs w:val="48"/>
        </w:rPr>
      </w:pPr>
    </w:p>
    <w:p w14:paraId="480D73C9">
      <w:pPr>
        <w:pStyle w:val="2"/>
        <w:spacing w:before="93"/>
        <w:rPr>
          <w:rFonts w:ascii="黑体" w:hAnsi="黑体" w:eastAsia="黑体"/>
          <w:sz w:val="48"/>
          <w:szCs w:val="48"/>
        </w:rPr>
      </w:pPr>
    </w:p>
    <w:p w14:paraId="5C92958D">
      <w:pPr>
        <w:pStyle w:val="2"/>
        <w:spacing w:before="93"/>
        <w:rPr>
          <w:rFonts w:ascii="黑体" w:hAnsi="黑体" w:eastAsia="黑体"/>
          <w:sz w:val="48"/>
          <w:szCs w:val="48"/>
        </w:rPr>
      </w:pPr>
    </w:p>
    <w:p w14:paraId="0CC29A52">
      <w:pPr>
        <w:widowControl/>
        <w:jc w:val="center"/>
        <w:rPr>
          <w:rFonts w:ascii="黑体" w:hAnsi="黑体" w:eastAsia="黑体"/>
          <w:sz w:val="48"/>
          <w:szCs w:val="48"/>
        </w:rPr>
      </w:pPr>
    </w:p>
    <w:p w14:paraId="0666A476">
      <w:pPr>
        <w:widowControl/>
        <w:jc w:val="center"/>
        <w:rPr>
          <w:rFonts w:ascii="黑体" w:hAnsi="黑体" w:eastAsia="黑体"/>
          <w:sz w:val="48"/>
          <w:szCs w:val="48"/>
        </w:rPr>
      </w:pPr>
    </w:p>
    <w:p w14:paraId="6076B6C0">
      <w:pPr>
        <w:widowControl/>
        <w:jc w:val="center"/>
        <w:rPr>
          <w:rFonts w:ascii="黑体" w:hAnsi="黑体" w:eastAsia="黑体"/>
          <w:sz w:val="48"/>
          <w:szCs w:val="48"/>
        </w:rPr>
      </w:pPr>
    </w:p>
    <w:p w14:paraId="4E3BEA1C">
      <w:pPr>
        <w:widowControl/>
        <w:jc w:val="center"/>
        <w:rPr>
          <w:rFonts w:ascii="黑体" w:hAnsi="黑体" w:eastAsia="黑体"/>
          <w:sz w:val="48"/>
          <w:szCs w:val="48"/>
        </w:rPr>
      </w:pPr>
    </w:p>
    <w:p w14:paraId="2E275470">
      <w:pPr>
        <w:widowControl/>
        <w:jc w:val="center"/>
        <w:rPr>
          <w:rFonts w:ascii="黑体" w:hAnsi="黑体" w:eastAsia="黑体"/>
          <w:sz w:val="48"/>
          <w:szCs w:val="48"/>
        </w:rPr>
      </w:pPr>
    </w:p>
    <w:p w14:paraId="1FF2079D">
      <w:pPr>
        <w:widowControl/>
        <w:jc w:val="center"/>
        <w:rPr>
          <w:rFonts w:ascii="黑体" w:hAnsi="黑体" w:eastAsia="黑体"/>
          <w:sz w:val="48"/>
          <w:szCs w:val="48"/>
        </w:rPr>
      </w:pPr>
    </w:p>
    <w:p w14:paraId="306EB158">
      <w:pPr>
        <w:widowControl/>
        <w:jc w:val="center"/>
        <w:rPr>
          <w:rFonts w:ascii="黑体" w:hAnsi="黑体" w:eastAsia="黑体"/>
          <w:sz w:val="48"/>
          <w:szCs w:val="48"/>
        </w:rPr>
      </w:pPr>
    </w:p>
    <w:p w14:paraId="0EC94768">
      <w:pPr>
        <w:widowControl/>
        <w:jc w:val="center"/>
        <w:rPr>
          <w:rFonts w:ascii="黑体" w:hAnsi="黑体" w:eastAsia="黑体"/>
          <w:sz w:val="48"/>
          <w:szCs w:val="48"/>
        </w:rPr>
      </w:pPr>
    </w:p>
    <w:p w14:paraId="603E7BA8">
      <w:pPr>
        <w:widowControl/>
        <w:jc w:val="center"/>
        <w:rPr>
          <w:rFonts w:ascii="黑体" w:hAnsi="黑体" w:eastAsia="黑体"/>
          <w:sz w:val="48"/>
          <w:szCs w:val="48"/>
        </w:rPr>
      </w:pPr>
    </w:p>
    <w:p w14:paraId="1DBE65F7">
      <w:pPr>
        <w:widowControl/>
        <w:jc w:val="center"/>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81BD76C">
      <w:pPr>
        <w:widowControl/>
        <w:jc w:val="center"/>
        <w:rPr>
          <w:rFonts w:ascii="黑体" w:hAnsi="黑体" w:eastAsia="黑体"/>
          <w:sz w:val="48"/>
          <w:szCs w:val="48"/>
        </w:rPr>
      </w:pPr>
      <w:r>
        <w:rPr>
          <w:rFonts w:hint="eastAsia" w:ascii="黑体" w:hAnsi="黑体" w:eastAsia="黑体"/>
          <w:sz w:val="48"/>
          <w:szCs w:val="48"/>
        </w:rPr>
        <w:t>目  录</w:t>
      </w:r>
    </w:p>
    <w:p w14:paraId="2CBD9BFB">
      <w:pPr>
        <w:pStyle w:val="11"/>
      </w:pPr>
      <w:r>
        <w:rPr>
          <w:rFonts w:hint="eastAsia"/>
        </w:rPr>
        <w:t>公开时间：2022年10月26日</w:t>
      </w:r>
    </w:p>
    <w:p w14:paraId="0EE05310"/>
    <w:sdt>
      <w:sdtPr>
        <w:rPr>
          <w:rFonts w:ascii="宋体" w:hAnsi="宋体"/>
        </w:rPr>
        <w:id w:val="147452350"/>
        <w:docPartObj>
          <w:docPartGallery w:val="Table of Contents"/>
          <w:docPartUnique/>
        </w:docPartObj>
      </w:sdtPr>
      <w:sdtEndPr>
        <w:rPr>
          <w:rFonts w:ascii="宋体" w:hAnsi="宋体"/>
          <w:b/>
        </w:rPr>
      </w:sdtEndPr>
      <w:sdtContent>
        <w:p w14:paraId="106F0093">
          <w:pPr>
            <w:jc w:val="center"/>
          </w:pPr>
        </w:p>
        <w:p w14:paraId="7575237E">
          <w:pPr>
            <w:pStyle w:val="33"/>
            <w:tabs>
              <w:tab w:val="right" w:leader="dot" w:pos="8306"/>
            </w:tabs>
            <w:rPr>
              <w:b/>
            </w:rPr>
          </w:pPr>
          <w:r>
            <w:fldChar w:fldCharType="begin"/>
          </w:r>
          <w:r>
            <w:instrText xml:space="preserve">TOC \o "1-2" \h \u </w:instrText>
          </w:r>
          <w:r>
            <w:fldChar w:fldCharType="separate"/>
          </w:r>
          <w:r>
            <w:fldChar w:fldCharType="begin"/>
          </w:r>
          <w:r>
            <w:instrText xml:space="preserve"> HYPERLINK \l "_Toc30314" </w:instrText>
          </w:r>
          <w:r>
            <w:fldChar w:fldCharType="separate"/>
          </w:r>
          <w:r>
            <w:rPr>
              <w:rFonts w:hint="eastAsia" w:ascii="黑体" w:hAnsi="黑体" w:eastAsia="黑体"/>
              <w:b/>
            </w:rPr>
            <w:t>第一部分 单位概况</w:t>
          </w:r>
          <w:r>
            <w:rPr>
              <w:b/>
            </w:rPr>
            <w:tab/>
          </w:r>
          <w:r>
            <w:rPr>
              <w:b/>
            </w:rPr>
            <w:fldChar w:fldCharType="begin"/>
          </w:r>
          <w:r>
            <w:rPr>
              <w:b/>
            </w:rPr>
            <w:instrText xml:space="preserve"> PAGEREF _Toc30314 \h </w:instrText>
          </w:r>
          <w:r>
            <w:rPr>
              <w:b/>
            </w:rPr>
            <w:fldChar w:fldCharType="separate"/>
          </w:r>
          <w:r>
            <w:rPr>
              <w:b/>
            </w:rPr>
            <w:t>1</w:t>
          </w:r>
          <w:r>
            <w:rPr>
              <w:b/>
            </w:rPr>
            <w:fldChar w:fldCharType="end"/>
          </w:r>
          <w:r>
            <w:rPr>
              <w:b/>
            </w:rPr>
            <w:fldChar w:fldCharType="end"/>
          </w:r>
        </w:p>
        <w:p w14:paraId="0E7F387D">
          <w:pPr>
            <w:pStyle w:val="34"/>
            <w:tabs>
              <w:tab w:val="right" w:leader="dot" w:pos="8306"/>
            </w:tabs>
            <w:ind w:left="420"/>
          </w:pPr>
          <w:r>
            <w:fldChar w:fldCharType="begin"/>
          </w:r>
          <w:r>
            <w:instrText xml:space="preserve"> HYPERLINK \l "_Toc22823" </w:instrText>
          </w:r>
          <w:r>
            <w:fldChar w:fldCharType="separate"/>
          </w:r>
          <w:r>
            <w:rPr>
              <w:rFonts w:hint="eastAsia" w:ascii="黑体" w:hAnsi="黑体" w:eastAsia="黑体"/>
            </w:rPr>
            <w:t>一、 职能简介</w:t>
          </w:r>
          <w:r>
            <w:tab/>
          </w:r>
          <w:r>
            <w:fldChar w:fldCharType="begin"/>
          </w:r>
          <w:r>
            <w:instrText xml:space="preserve"> PAGEREF _Toc22823 \h </w:instrText>
          </w:r>
          <w:r>
            <w:fldChar w:fldCharType="separate"/>
          </w:r>
          <w:r>
            <w:t>1</w:t>
          </w:r>
          <w:r>
            <w:fldChar w:fldCharType="end"/>
          </w:r>
          <w:r>
            <w:fldChar w:fldCharType="end"/>
          </w:r>
        </w:p>
        <w:p w14:paraId="57F70321">
          <w:pPr>
            <w:pStyle w:val="34"/>
            <w:tabs>
              <w:tab w:val="right" w:leader="dot" w:pos="8306"/>
            </w:tabs>
            <w:ind w:left="420"/>
          </w:pPr>
          <w:r>
            <w:fldChar w:fldCharType="begin"/>
          </w:r>
          <w:r>
            <w:instrText xml:space="preserve"> HYPERLINK \l "_Toc8090" </w:instrText>
          </w:r>
          <w:r>
            <w:fldChar w:fldCharType="separate"/>
          </w:r>
          <w:r>
            <w:rPr>
              <w:rFonts w:hint="eastAsia" w:ascii="黑体" w:hAnsi="黑体" w:eastAsia="黑体"/>
            </w:rPr>
            <w:t>二、2021年重点工作完成情况</w:t>
          </w:r>
          <w:r>
            <w:tab/>
          </w:r>
          <w:r>
            <w:fldChar w:fldCharType="begin"/>
          </w:r>
          <w:r>
            <w:instrText xml:space="preserve"> PAGEREF _Toc8090 \h </w:instrText>
          </w:r>
          <w:r>
            <w:fldChar w:fldCharType="separate"/>
          </w:r>
          <w:r>
            <w:t>1</w:t>
          </w:r>
          <w:r>
            <w:fldChar w:fldCharType="end"/>
          </w:r>
          <w:r>
            <w:fldChar w:fldCharType="end"/>
          </w:r>
        </w:p>
        <w:p w14:paraId="4232AC9D">
          <w:pPr>
            <w:pStyle w:val="33"/>
            <w:tabs>
              <w:tab w:val="right" w:leader="dot" w:pos="8306"/>
            </w:tabs>
            <w:rPr>
              <w:b/>
            </w:rPr>
          </w:pPr>
          <w:r>
            <w:fldChar w:fldCharType="begin"/>
          </w:r>
          <w:r>
            <w:instrText xml:space="preserve"> HYPERLINK \l "_Toc9648"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_Toc9648 \h </w:instrText>
          </w:r>
          <w:r>
            <w:rPr>
              <w:b/>
            </w:rPr>
            <w:fldChar w:fldCharType="separate"/>
          </w:r>
          <w:r>
            <w:rPr>
              <w:b/>
            </w:rPr>
            <w:t>10</w:t>
          </w:r>
          <w:r>
            <w:rPr>
              <w:b/>
            </w:rPr>
            <w:fldChar w:fldCharType="end"/>
          </w:r>
          <w:r>
            <w:rPr>
              <w:b/>
            </w:rPr>
            <w:fldChar w:fldCharType="end"/>
          </w:r>
        </w:p>
        <w:p w14:paraId="427E3C9B">
          <w:pPr>
            <w:pStyle w:val="34"/>
            <w:tabs>
              <w:tab w:val="right" w:leader="dot" w:pos="8306"/>
            </w:tabs>
            <w:ind w:left="420"/>
          </w:pPr>
          <w:r>
            <w:fldChar w:fldCharType="begin"/>
          </w:r>
          <w:r>
            <w:instrText xml:space="preserve"> HYPERLINK \l "_Toc22222"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_Toc22222 \h </w:instrText>
          </w:r>
          <w:r>
            <w:fldChar w:fldCharType="separate"/>
          </w:r>
          <w:r>
            <w:t>10</w:t>
          </w:r>
          <w:r>
            <w:fldChar w:fldCharType="end"/>
          </w:r>
          <w:r>
            <w:fldChar w:fldCharType="end"/>
          </w:r>
        </w:p>
        <w:p w14:paraId="553E6DF1">
          <w:pPr>
            <w:pStyle w:val="34"/>
            <w:tabs>
              <w:tab w:val="right" w:leader="dot" w:pos="8306"/>
            </w:tabs>
            <w:ind w:left="420"/>
          </w:pPr>
          <w:r>
            <w:fldChar w:fldCharType="begin"/>
          </w:r>
          <w:r>
            <w:instrText xml:space="preserve"> HYPERLINK \l "_Toc19014"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_Toc19014 \h </w:instrText>
          </w:r>
          <w:r>
            <w:fldChar w:fldCharType="separate"/>
          </w:r>
          <w:r>
            <w:t>10</w:t>
          </w:r>
          <w:r>
            <w:fldChar w:fldCharType="end"/>
          </w:r>
          <w:r>
            <w:fldChar w:fldCharType="end"/>
          </w:r>
        </w:p>
        <w:p w14:paraId="4CF1D1D1">
          <w:pPr>
            <w:pStyle w:val="34"/>
            <w:tabs>
              <w:tab w:val="right" w:leader="dot" w:pos="8306"/>
            </w:tabs>
            <w:ind w:left="420"/>
          </w:pPr>
          <w:r>
            <w:fldChar w:fldCharType="begin"/>
          </w:r>
          <w:r>
            <w:instrText xml:space="preserve"> HYPERLINK \l "_Toc11766"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_Toc11766 \h </w:instrText>
          </w:r>
          <w:r>
            <w:fldChar w:fldCharType="separate"/>
          </w:r>
          <w:r>
            <w:t>11</w:t>
          </w:r>
          <w:r>
            <w:fldChar w:fldCharType="end"/>
          </w:r>
          <w:r>
            <w:fldChar w:fldCharType="end"/>
          </w:r>
        </w:p>
        <w:p w14:paraId="6BA9C698">
          <w:pPr>
            <w:pStyle w:val="34"/>
            <w:tabs>
              <w:tab w:val="right" w:leader="dot" w:pos="8306"/>
            </w:tabs>
            <w:ind w:left="420"/>
          </w:pPr>
          <w:r>
            <w:fldChar w:fldCharType="begin"/>
          </w:r>
          <w:r>
            <w:instrText xml:space="preserve"> HYPERLINK \l "_Toc16904"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_Toc16904 \h </w:instrText>
          </w:r>
          <w:r>
            <w:fldChar w:fldCharType="separate"/>
          </w:r>
          <w:r>
            <w:t>11</w:t>
          </w:r>
          <w:r>
            <w:fldChar w:fldCharType="end"/>
          </w:r>
          <w:r>
            <w:fldChar w:fldCharType="end"/>
          </w:r>
        </w:p>
        <w:p w14:paraId="0EAD6410">
          <w:pPr>
            <w:pStyle w:val="34"/>
            <w:tabs>
              <w:tab w:val="right" w:leader="dot" w:pos="8306"/>
            </w:tabs>
            <w:ind w:left="420"/>
          </w:pPr>
          <w:r>
            <w:fldChar w:fldCharType="begin"/>
          </w:r>
          <w:r>
            <w:instrText xml:space="preserve"> HYPERLINK \l "_Toc1693"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_Toc1693 \h </w:instrText>
          </w:r>
          <w:r>
            <w:fldChar w:fldCharType="separate"/>
          </w:r>
          <w:r>
            <w:t>12</w:t>
          </w:r>
          <w:r>
            <w:fldChar w:fldCharType="end"/>
          </w:r>
          <w:r>
            <w:fldChar w:fldCharType="end"/>
          </w:r>
        </w:p>
        <w:p w14:paraId="0AAFAFF9">
          <w:pPr>
            <w:pStyle w:val="34"/>
            <w:tabs>
              <w:tab w:val="right" w:leader="dot" w:pos="8306"/>
            </w:tabs>
            <w:ind w:left="420"/>
          </w:pPr>
          <w:r>
            <w:fldChar w:fldCharType="begin"/>
          </w:r>
          <w:r>
            <w:instrText xml:space="preserve"> HYPERLINK \l "_Toc1406" </w:instrText>
          </w:r>
          <w:r>
            <w:fldChar w:fldCharType="separate"/>
          </w:r>
          <w:r>
            <w:rPr>
              <w:rFonts w:hint="eastAsia" w:ascii="黑体" w:hAnsi="黑体" w:eastAsia="黑体"/>
              <w:szCs w:val="32"/>
            </w:rPr>
            <w:t>六、一般公共预算财政拨款基本支出决算情况说明</w:t>
          </w:r>
          <w:r>
            <w:rPr>
              <w:rFonts w:hint="eastAsia" w:ascii="黑体" w:hAnsi="黑体" w:eastAsia="黑体"/>
              <w:szCs w:val="32"/>
            </w:rPr>
            <w:tab/>
          </w:r>
          <w:r>
            <w:fldChar w:fldCharType="begin"/>
          </w:r>
          <w:r>
            <w:instrText xml:space="preserve"> PAGEREF _Toc1406 \h </w:instrText>
          </w:r>
          <w:r>
            <w:fldChar w:fldCharType="separate"/>
          </w:r>
          <w:r>
            <w:t>15</w:t>
          </w:r>
          <w:r>
            <w:fldChar w:fldCharType="end"/>
          </w:r>
          <w:r>
            <w:fldChar w:fldCharType="end"/>
          </w:r>
        </w:p>
        <w:p w14:paraId="2A9F008C">
          <w:pPr>
            <w:pStyle w:val="34"/>
            <w:tabs>
              <w:tab w:val="right" w:leader="dot" w:pos="8306"/>
            </w:tabs>
            <w:ind w:left="420"/>
          </w:pPr>
          <w:r>
            <w:fldChar w:fldCharType="begin"/>
          </w:r>
          <w:r>
            <w:instrText xml:space="preserve"> HYPERLINK \l "_Toc7165"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_Toc7165 \h </w:instrText>
          </w:r>
          <w:r>
            <w:fldChar w:fldCharType="separate"/>
          </w:r>
          <w:r>
            <w:t>16</w:t>
          </w:r>
          <w:r>
            <w:fldChar w:fldCharType="end"/>
          </w:r>
          <w:r>
            <w:fldChar w:fldCharType="end"/>
          </w:r>
        </w:p>
        <w:p w14:paraId="16CE88BC">
          <w:pPr>
            <w:pStyle w:val="34"/>
            <w:tabs>
              <w:tab w:val="right" w:leader="dot" w:pos="8306"/>
            </w:tabs>
            <w:ind w:left="420"/>
          </w:pPr>
          <w:r>
            <w:fldChar w:fldCharType="begin"/>
          </w:r>
          <w:r>
            <w:instrText xml:space="preserve"> HYPERLINK \l "_Toc12217"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_Toc12217 \h </w:instrText>
          </w:r>
          <w:r>
            <w:fldChar w:fldCharType="separate"/>
          </w:r>
          <w:r>
            <w:t>17</w:t>
          </w:r>
          <w:r>
            <w:fldChar w:fldCharType="end"/>
          </w:r>
          <w:r>
            <w:fldChar w:fldCharType="end"/>
          </w:r>
        </w:p>
        <w:p w14:paraId="619CB31B">
          <w:pPr>
            <w:pStyle w:val="34"/>
            <w:tabs>
              <w:tab w:val="right" w:leader="dot" w:pos="8306"/>
            </w:tabs>
            <w:ind w:left="420"/>
          </w:pPr>
          <w:r>
            <w:fldChar w:fldCharType="begin"/>
          </w:r>
          <w:r>
            <w:instrText xml:space="preserve"> HYPERLINK \l "_Toc28878" </w:instrText>
          </w:r>
          <w:r>
            <w:fldChar w:fldCharType="separate"/>
          </w:r>
          <w:r>
            <w:rPr>
              <w:rFonts w:hint="eastAsia" w:ascii="黑体" w:hAnsi="黑体" w:eastAsia="黑体"/>
            </w:rPr>
            <w:t>九、 国有资本经营预算支出决算情况说明</w:t>
          </w:r>
          <w:r>
            <w:tab/>
          </w:r>
          <w:r>
            <w:fldChar w:fldCharType="begin"/>
          </w:r>
          <w:r>
            <w:instrText xml:space="preserve"> PAGEREF _Toc28878 \h </w:instrText>
          </w:r>
          <w:r>
            <w:fldChar w:fldCharType="separate"/>
          </w:r>
          <w:r>
            <w:t>17</w:t>
          </w:r>
          <w:r>
            <w:fldChar w:fldCharType="end"/>
          </w:r>
          <w:r>
            <w:fldChar w:fldCharType="end"/>
          </w:r>
        </w:p>
        <w:p w14:paraId="072F5281">
          <w:pPr>
            <w:pStyle w:val="34"/>
            <w:tabs>
              <w:tab w:val="right" w:leader="dot" w:pos="8306"/>
            </w:tabs>
            <w:ind w:left="420"/>
          </w:pPr>
          <w:r>
            <w:fldChar w:fldCharType="begin"/>
          </w:r>
          <w:r>
            <w:instrText xml:space="preserve"> HYPERLINK \l "_Toc29413" </w:instrText>
          </w:r>
          <w:r>
            <w:fldChar w:fldCharType="separate"/>
          </w:r>
          <w:r>
            <w:rPr>
              <w:rFonts w:hint="eastAsia" w:ascii="黑体" w:hAnsi="黑体" w:eastAsia="黑体"/>
            </w:rPr>
            <w:t>十、 其他重要事项的情况说明</w:t>
          </w:r>
          <w:r>
            <w:tab/>
          </w:r>
          <w:r>
            <w:fldChar w:fldCharType="begin"/>
          </w:r>
          <w:r>
            <w:instrText xml:space="preserve"> PAGEREF _Toc29413 \h </w:instrText>
          </w:r>
          <w:r>
            <w:fldChar w:fldCharType="separate"/>
          </w:r>
          <w:r>
            <w:t>18</w:t>
          </w:r>
          <w:r>
            <w:fldChar w:fldCharType="end"/>
          </w:r>
          <w:r>
            <w:fldChar w:fldCharType="end"/>
          </w:r>
        </w:p>
        <w:p w14:paraId="097A7C9B">
          <w:pPr>
            <w:pStyle w:val="33"/>
            <w:tabs>
              <w:tab w:val="right" w:leader="dot" w:pos="8306"/>
            </w:tabs>
            <w:rPr>
              <w:b/>
            </w:rPr>
          </w:pPr>
          <w:r>
            <w:fldChar w:fldCharType="begin"/>
          </w:r>
          <w:r>
            <w:instrText xml:space="preserve"> HYPERLINK \l "_Toc11790" </w:instrText>
          </w:r>
          <w: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_Toc11790 \h </w:instrText>
          </w:r>
          <w:r>
            <w:rPr>
              <w:b/>
            </w:rPr>
            <w:fldChar w:fldCharType="separate"/>
          </w:r>
          <w:r>
            <w:rPr>
              <w:b/>
            </w:rPr>
            <w:t>20</w:t>
          </w:r>
          <w:r>
            <w:rPr>
              <w:b/>
            </w:rPr>
            <w:fldChar w:fldCharType="end"/>
          </w:r>
          <w:r>
            <w:rPr>
              <w:b/>
            </w:rPr>
            <w:fldChar w:fldCharType="end"/>
          </w:r>
        </w:p>
        <w:p w14:paraId="040F5E51">
          <w:pPr>
            <w:pStyle w:val="33"/>
            <w:tabs>
              <w:tab w:val="right" w:leader="dot" w:pos="8306"/>
            </w:tabs>
            <w:rPr>
              <w:b/>
            </w:rPr>
          </w:pPr>
          <w:r>
            <w:fldChar w:fldCharType="begin"/>
          </w:r>
          <w:r>
            <w:instrText xml:space="preserve"> HYPERLINK \l "_Toc17397"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_Toc17397 \h </w:instrText>
          </w:r>
          <w:r>
            <w:rPr>
              <w:b/>
            </w:rPr>
            <w:fldChar w:fldCharType="separate"/>
          </w:r>
          <w:r>
            <w:rPr>
              <w:b/>
            </w:rPr>
            <w:t>23</w:t>
          </w:r>
          <w:r>
            <w:rPr>
              <w:b/>
            </w:rPr>
            <w:fldChar w:fldCharType="end"/>
          </w:r>
          <w:r>
            <w:rPr>
              <w:b/>
            </w:rPr>
            <w:fldChar w:fldCharType="end"/>
          </w:r>
        </w:p>
        <w:p w14:paraId="43395247">
          <w:pPr>
            <w:pStyle w:val="34"/>
            <w:tabs>
              <w:tab w:val="right" w:leader="dot" w:pos="8306"/>
            </w:tabs>
            <w:ind w:left="420"/>
          </w:pPr>
          <w:r>
            <w:fldChar w:fldCharType="begin"/>
          </w:r>
          <w:r>
            <w:instrText xml:space="preserve"> HYPERLINK \l "_Toc20133" </w:instrText>
          </w:r>
          <w:r>
            <w:fldChar w:fldCharType="separate"/>
          </w:r>
          <w:r>
            <w:rPr>
              <w:rFonts w:eastAsia="黑体"/>
              <w:szCs w:val="32"/>
            </w:rPr>
            <w:t>一、项目概况</w:t>
          </w:r>
          <w:r>
            <w:tab/>
          </w:r>
          <w:r>
            <w:fldChar w:fldCharType="begin"/>
          </w:r>
          <w:r>
            <w:instrText xml:space="preserve"> PAGEREF _Toc20133 \h </w:instrText>
          </w:r>
          <w:r>
            <w:fldChar w:fldCharType="separate"/>
          </w:r>
          <w:r>
            <w:t>24</w:t>
          </w:r>
          <w:r>
            <w:fldChar w:fldCharType="end"/>
          </w:r>
          <w:r>
            <w:fldChar w:fldCharType="end"/>
          </w:r>
        </w:p>
        <w:p w14:paraId="302FA6CE">
          <w:pPr>
            <w:pStyle w:val="34"/>
            <w:tabs>
              <w:tab w:val="right" w:leader="dot" w:pos="8306"/>
            </w:tabs>
            <w:ind w:left="420"/>
          </w:pPr>
          <w:r>
            <w:fldChar w:fldCharType="begin"/>
          </w:r>
          <w:r>
            <w:instrText xml:space="preserve"> HYPERLINK \l "_Toc956" </w:instrText>
          </w:r>
          <w:r>
            <w:fldChar w:fldCharType="separate"/>
          </w:r>
          <w:r>
            <w:rPr>
              <w:rFonts w:eastAsia="黑体"/>
              <w:szCs w:val="32"/>
            </w:rPr>
            <w:t>二、项目资金申报及使用情况</w:t>
          </w:r>
          <w:r>
            <w:tab/>
          </w:r>
          <w:r>
            <w:fldChar w:fldCharType="begin"/>
          </w:r>
          <w:r>
            <w:instrText xml:space="preserve"> PAGEREF _Toc956 \h </w:instrText>
          </w:r>
          <w:r>
            <w:fldChar w:fldCharType="separate"/>
          </w:r>
          <w:r>
            <w:t>26</w:t>
          </w:r>
          <w:r>
            <w:fldChar w:fldCharType="end"/>
          </w:r>
          <w:r>
            <w:fldChar w:fldCharType="end"/>
          </w:r>
        </w:p>
        <w:p w14:paraId="111BDEA0">
          <w:pPr>
            <w:pStyle w:val="34"/>
            <w:tabs>
              <w:tab w:val="right" w:leader="dot" w:pos="8306"/>
            </w:tabs>
            <w:ind w:left="420"/>
          </w:pPr>
          <w:r>
            <w:fldChar w:fldCharType="begin"/>
          </w:r>
          <w:r>
            <w:instrText xml:space="preserve"> HYPERLINK \l "_Toc17762" </w:instrText>
          </w:r>
          <w:r>
            <w:fldChar w:fldCharType="separate"/>
          </w:r>
          <w:r>
            <w:rPr>
              <w:rFonts w:eastAsia="黑体"/>
              <w:szCs w:val="32"/>
            </w:rPr>
            <w:t>三、项目实施及管理情况</w:t>
          </w:r>
          <w:r>
            <w:tab/>
          </w:r>
          <w:r>
            <w:fldChar w:fldCharType="begin"/>
          </w:r>
          <w:r>
            <w:instrText xml:space="preserve"> PAGEREF _Toc17762 \h </w:instrText>
          </w:r>
          <w:r>
            <w:fldChar w:fldCharType="separate"/>
          </w:r>
          <w:r>
            <w:t>28</w:t>
          </w:r>
          <w:r>
            <w:fldChar w:fldCharType="end"/>
          </w:r>
          <w:r>
            <w:fldChar w:fldCharType="end"/>
          </w:r>
        </w:p>
        <w:p w14:paraId="5B44E0E5">
          <w:pPr>
            <w:pStyle w:val="34"/>
            <w:tabs>
              <w:tab w:val="right" w:leader="dot" w:pos="8306"/>
            </w:tabs>
            <w:ind w:left="420"/>
          </w:pPr>
          <w:r>
            <w:fldChar w:fldCharType="begin"/>
          </w:r>
          <w:r>
            <w:instrText xml:space="preserve"> HYPERLINK \l "_Toc1443" </w:instrText>
          </w:r>
          <w:r>
            <w:fldChar w:fldCharType="separate"/>
          </w:r>
          <w:r>
            <w:rPr>
              <w:rFonts w:eastAsia="黑体"/>
              <w:szCs w:val="32"/>
            </w:rPr>
            <w:t>四、项目绩效情况</w:t>
          </w:r>
          <w:r>
            <w:tab/>
          </w:r>
          <w:r>
            <w:fldChar w:fldCharType="begin"/>
          </w:r>
          <w:r>
            <w:instrText xml:space="preserve"> PAGEREF _Toc1443 \h </w:instrText>
          </w:r>
          <w:r>
            <w:fldChar w:fldCharType="separate"/>
          </w:r>
          <w:r>
            <w:t>29</w:t>
          </w:r>
          <w:r>
            <w:fldChar w:fldCharType="end"/>
          </w:r>
          <w:r>
            <w:fldChar w:fldCharType="end"/>
          </w:r>
        </w:p>
        <w:p w14:paraId="3D0F851A">
          <w:pPr>
            <w:pStyle w:val="34"/>
            <w:tabs>
              <w:tab w:val="right" w:leader="dot" w:pos="8306"/>
            </w:tabs>
            <w:ind w:left="420"/>
          </w:pPr>
          <w:r>
            <w:fldChar w:fldCharType="begin"/>
          </w:r>
          <w:r>
            <w:instrText xml:space="preserve"> HYPERLINK \l "_Toc32114" </w:instrText>
          </w:r>
          <w:r>
            <w:fldChar w:fldCharType="separate"/>
          </w:r>
          <w:r>
            <w:rPr>
              <w:rFonts w:eastAsia="黑体"/>
              <w:szCs w:val="32"/>
            </w:rPr>
            <w:t>五、评价结论及建议</w:t>
          </w:r>
          <w:r>
            <w:tab/>
          </w:r>
          <w:r>
            <w:fldChar w:fldCharType="begin"/>
          </w:r>
          <w:r>
            <w:instrText xml:space="preserve"> PAGEREF _Toc32114 \h </w:instrText>
          </w:r>
          <w:r>
            <w:fldChar w:fldCharType="separate"/>
          </w:r>
          <w:r>
            <w:t>30</w:t>
          </w:r>
          <w:r>
            <w:fldChar w:fldCharType="end"/>
          </w:r>
          <w:r>
            <w:fldChar w:fldCharType="end"/>
          </w:r>
        </w:p>
        <w:p w14:paraId="419BC919">
          <w:pPr>
            <w:pStyle w:val="33"/>
            <w:tabs>
              <w:tab w:val="right" w:leader="dot" w:pos="8306"/>
            </w:tabs>
            <w:rPr>
              <w:b/>
            </w:rPr>
          </w:pPr>
          <w:r>
            <w:fldChar w:fldCharType="begin"/>
          </w:r>
          <w:r>
            <w:instrText xml:space="preserve"> HYPERLINK \l "_Toc21436" </w:instrText>
          </w:r>
          <w: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_Toc21436 \h </w:instrText>
          </w:r>
          <w:r>
            <w:rPr>
              <w:b/>
            </w:rPr>
            <w:fldChar w:fldCharType="separate"/>
          </w:r>
          <w:r>
            <w:rPr>
              <w:b/>
            </w:rPr>
            <w:t>31</w:t>
          </w:r>
          <w:r>
            <w:rPr>
              <w:b/>
            </w:rPr>
            <w:fldChar w:fldCharType="end"/>
          </w:r>
          <w:r>
            <w:rPr>
              <w:b/>
            </w:rPr>
            <w:fldChar w:fldCharType="end"/>
          </w:r>
        </w:p>
        <w:p w14:paraId="0F59F919">
          <w:pPr>
            <w:pStyle w:val="34"/>
            <w:tabs>
              <w:tab w:val="right" w:leader="dot" w:pos="8306"/>
            </w:tabs>
            <w:ind w:left="420"/>
          </w:pPr>
          <w:r>
            <w:fldChar w:fldCharType="begin"/>
          </w:r>
          <w:r>
            <w:instrText xml:space="preserve"> HYPERLINK \l "_Toc8553" </w:instrText>
          </w:r>
          <w:r>
            <w:fldChar w:fldCharType="separate"/>
          </w:r>
          <w:r>
            <w:rPr>
              <w:rFonts w:hint="eastAsia" w:ascii="仿宋" w:hAnsi="仿宋" w:eastAsia="仿宋"/>
            </w:rPr>
            <w:t>一、收入支出决算总表</w:t>
          </w:r>
          <w:r>
            <w:tab/>
          </w:r>
          <w:r>
            <w:fldChar w:fldCharType="begin"/>
          </w:r>
          <w:r>
            <w:instrText xml:space="preserve"> PAGEREF _Toc8553 \h </w:instrText>
          </w:r>
          <w:r>
            <w:fldChar w:fldCharType="separate"/>
          </w:r>
          <w:r>
            <w:t>31</w:t>
          </w:r>
          <w:r>
            <w:fldChar w:fldCharType="end"/>
          </w:r>
          <w:r>
            <w:fldChar w:fldCharType="end"/>
          </w:r>
        </w:p>
        <w:p w14:paraId="58743339">
          <w:pPr>
            <w:pStyle w:val="34"/>
            <w:tabs>
              <w:tab w:val="right" w:leader="dot" w:pos="8306"/>
            </w:tabs>
            <w:ind w:left="420"/>
          </w:pPr>
          <w:r>
            <w:fldChar w:fldCharType="begin"/>
          </w:r>
          <w:r>
            <w:instrText xml:space="preserve"> HYPERLINK \l "_Toc27055" </w:instrText>
          </w:r>
          <w:r>
            <w:fldChar w:fldCharType="separate"/>
          </w:r>
          <w:r>
            <w:rPr>
              <w:rFonts w:hint="eastAsia" w:ascii="仿宋" w:hAnsi="仿宋" w:eastAsia="仿宋"/>
            </w:rPr>
            <w:t>二、收入决算表</w:t>
          </w:r>
          <w:r>
            <w:tab/>
          </w:r>
          <w:r>
            <w:fldChar w:fldCharType="begin"/>
          </w:r>
          <w:r>
            <w:instrText xml:space="preserve"> PAGEREF _Toc27055 \h </w:instrText>
          </w:r>
          <w:r>
            <w:fldChar w:fldCharType="separate"/>
          </w:r>
          <w:r>
            <w:t>31</w:t>
          </w:r>
          <w:r>
            <w:fldChar w:fldCharType="end"/>
          </w:r>
          <w:r>
            <w:fldChar w:fldCharType="end"/>
          </w:r>
        </w:p>
        <w:p w14:paraId="43F378C0">
          <w:pPr>
            <w:pStyle w:val="34"/>
            <w:tabs>
              <w:tab w:val="right" w:leader="dot" w:pos="8306"/>
            </w:tabs>
            <w:ind w:left="420"/>
          </w:pPr>
          <w:r>
            <w:fldChar w:fldCharType="begin"/>
          </w:r>
          <w:r>
            <w:instrText xml:space="preserve"> HYPERLINK \l "_Toc21547" </w:instrText>
          </w:r>
          <w:r>
            <w:fldChar w:fldCharType="separate"/>
          </w:r>
          <w:r>
            <w:rPr>
              <w:rFonts w:hint="eastAsia" w:ascii="仿宋" w:hAnsi="仿宋" w:eastAsia="仿宋"/>
            </w:rPr>
            <w:t>三、支出决算表</w:t>
          </w:r>
          <w:r>
            <w:tab/>
          </w:r>
          <w:r>
            <w:fldChar w:fldCharType="begin"/>
          </w:r>
          <w:r>
            <w:instrText xml:space="preserve"> PAGEREF _Toc21547 \h </w:instrText>
          </w:r>
          <w:r>
            <w:fldChar w:fldCharType="separate"/>
          </w:r>
          <w:r>
            <w:t>31</w:t>
          </w:r>
          <w:r>
            <w:fldChar w:fldCharType="end"/>
          </w:r>
          <w:r>
            <w:fldChar w:fldCharType="end"/>
          </w:r>
        </w:p>
        <w:p w14:paraId="16521FE7">
          <w:pPr>
            <w:pStyle w:val="34"/>
            <w:tabs>
              <w:tab w:val="right" w:leader="dot" w:pos="8306"/>
            </w:tabs>
            <w:ind w:left="420"/>
          </w:pPr>
          <w:r>
            <w:fldChar w:fldCharType="begin"/>
          </w:r>
          <w:r>
            <w:instrText xml:space="preserve"> HYPERLINK \l "_Toc1347" </w:instrText>
          </w:r>
          <w:r>
            <w:fldChar w:fldCharType="separate"/>
          </w:r>
          <w:r>
            <w:rPr>
              <w:rFonts w:hint="eastAsia" w:ascii="仿宋" w:hAnsi="仿宋" w:eastAsia="仿宋"/>
            </w:rPr>
            <w:t>四、财政拨款收入支出决算总表</w:t>
          </w:r>
          <w:r>
            <w:tab/>
          </w:r>
          <w:r>
            <w:fldChar w:fldCharType="begin"/>
          </w:r>
          <w:r>
            <w:instrText xml:space="preserve"> PAGEREF _Toc1347 \h </w:instrText>
          </w:r>
          <w:r>
            <w:fldChar w:fldCharType="separate"/>
          </w:r>
          <w:r>
            <w:t>31</w:t>
          </w:r>
          <w:r>
            <w:fldChar w:fldCharType="end"/>
          </w:r>
          <w:r>
            <w:fldChar w:fldCharType="end"/>
          </w:r>
        </w:p>
        <w:p w14:paraId="7958FF6F">
          <w:pPr>
            <w:pStyle w:val="34"/>
            <w:tabs>
              <w:tab w:val="right" w:leader="dot" w:pos="8306"/>
            </w:tabs>
            <w:ind w:left="420"/>
          </w:pPr>
          <w:r>
            <w:fldChar w:fldCharType="begin"/>
          </w:r>
          <w:r>
            <w:instrText xml:space="preserve"> HYPERLINK \l "_Toc12549" </w:instrText>
          </w:r>
          <w:r>
            <w:fldChar w:fldCharType="separate"/>
          </w:r>
          <w:r>
            <w:rPr>
              <w:rFonts w:hint="eastAsia" w:ascii="仿宋" w:hAnsi="仿宋" w:eastAsia="仿宋"/>
            </w:rPr>
            <w:t>五、财政拨款支出决算明细表</w:t>
          </w:r>
          <w:r>
            <w:tab/>
          </w:r>
          <w:r>
            <w:fldChar w:fldCharType="begin"/>
          </w:r>
          <w:r>
            <w:instrText xml:space="preserve"> PAGEREF _Toc12549 \h </w:instrText>
          </w:r>
          <w:r>
            <w:fldChar w:fldCharType="separate"/>
          </w:r>
          <w:r>
            <w:t>31</w:t>
          </w:r>
          <w:r>
            <w:fldChar w:fldCharType="end"/>
          </w:r>
          <w:r>
            <w:fldChar w:fldCharType="end"/>
          </w:r>
        </w:p>
        <w:p w14:paraId="3A6770F7">
          <w:pPr>
            <w:pStyle w:val="34"/>
            <w:tabs>
              <w:tab w:val="right" w:leader="dot" w:pos="8306"/>
            </w:tabs>
            <w:ind w:left="420"/>
          </w:pPr>
          <w:r>
            <w:fldChar w:fldCharType="begin"/>
          </w:r>
          <w:r>
            <w:instrText xml:space="preserve"> HYPERLINK \l "_Toc32400" </w:instrText>
          </w:r>
          <w:r>
            <w:fldChar w:fldCharType="separate"/>
          </w:r>
          <w:r>
            <w:rPr>
              <w:rFonts w:hint="eastAsia" w:ascii="仿宋" w:hAnsi="仿宋" w:eastAsia="仿宋"/>
            </w:rPr>
            <w:t>六、一般公共预算财政拨款支出决算表</w:t>
          </w:r>
          <w:r>
            <w:tab/>
          </w:r>
          <w:r>
            <w:fldChar w:fldCharType="begin"/>
          </w:r>
          <w:r>
            <w:instrText xml:space="preserve"> PAGEREF _Toc32400 \h </w:instrText>
          </w:r>
          <w:r>
            <w:fldChar w:fldCharType="separate"/>
          </w:r>
          <w:r>
            <w:t>31</w:t>
          </w:r>
          <w:r>
            <w:fldChar w:fldCharType="end"/>
          </w:r>
          <w:r>
            <w:fldChar w:fldCharType="end"/>
          </w:r>
        </w:p>
        <w:p w14:paraId="634BF5BB">
          <w:pPr>
            <w:pStyle w:val="34"/>
            <w:tabs>
              <w:tab w:val="right" w:leader="dot" w:pos="8306"/>
            </w:tabs>
            <w:ind w:left="420"/>
          </w:pPr>
          <w:r>
            <w:fldChar w:fldCharType="begin"/>
          </w:r>
          <w:r>
            <w:instrText xml:space="preserve"> HYPERLINK \l "_Toc14766" </w:instrText>
          </w:r>
          <w:r>
            <w:fldChar w:fldCharType="separate"/>
          </w:r>
          <w:r>
            <w:rPr>
              <w:rFonts w:hint="eastAsia" w:ascii="仿宋" w:hAnsi="仿宋" w:eastAsia="仿宋"/>
            </w:rPr>
            <w:t>七、一般公共预算财政拨款支出决算明细表</w:t>
          </w:r>
          <w:r>
            <w:tab/>
          </w:r>
          <w:r>
            <w:fldChar w:fldCharType="begin"/>
          </w:r>
          <w:r>
            <w:instrText xml:space="preserve"> PAGEREF _Toc14766 \h </w:instrText>
          </w:r>
          <w:r>
            <w:fldChar w:fldCharType="separate"/>
          </w:r>
          <w:r>
            <w:t>31</w:t>
          </w:r>
          <w:r>
            <w:fldChar w:fldCharType="end"/>
          </w:r>
          <w:r>
            <w:fldChar w:fldCharType="end"/>
          </w:r>
        </w:p>
        <w:p w14:paraId="7517417D">
          <w:pPr>
            <w:pStyle w:val="34"/>
            <w:tabs>
              <w:tab w:val="right" w:leader="dot" w:pos="8306"/>
            </w:tabs>
            <w:ind w:left="420"/>
          </w:pPr>
          <w:r>
            <w:fldChar w:fldCharType="begin"/>
          </w:r>
          <w:r>
            <w:instrText xml:space="preserve"> HYPERLINK \l "_Toc6785" </w:instrText>
          </w:r>
          <w:r>
            <w:fldChar w:fldCharType="separate"/>
          </w:r>
          <w:r>
            <w:rPr>
              <w:rFonts w:hint="eastAsia" w:ascii="仿宋" w:hAnsi="仿宋" w:eastAsia="仿宋"/>
            </w:rPr>
            <w:t>八、一般公共预算财政拨款基本支出决算表</w:t>
          </w:r>
          <w:r>
            <w:tab/>
          </w:r>
          <w:r>
            <w:fldChar w:fldCharType="begin"/>
          </w:r>
          <w:r>
            <w:instrText xml:space="preserve"> PAGEREF _Toc6785 \h </w:instrText>
          </w:r>
          <w:r>
            <w:fldChar w:fldCharType="separate"/>
          </w:r>
          <w:r>
            <w:t>31</w:t>
          </w:r>
          <w:r>
            <w:fldChar w:fldCharType="end"/>
          </w:r>
          <w:r>
            <w:fldChar w:fldCharType="end"/>
          </w:r>
        </w:p>
        <w:p w14:paraId="021F839A">
          <w:pPr>
            <w:pStyle w:val="34"/>
            <w:tabs>
              <w:tab w:val="right" w:leader="dot" w:pos="8306"/>
            </w:tabs>
            <w:ind w:left="420"/>
          </w:pPr>
          <w:r>
            <w:fldChar w:fldCharType="begin"/>
          </w:r>
          <w:r>
            <w:instrText xml:space="preserve"> HYPERLINK \l "_Toc2351" </w:instrText>
          </w:r>
          <w:r>
            <w:fldChar w:fldCharType="separate"/>
          </w:r>
          <w:r>
            <w:rPr>
              <w:rFonts w:hint="eastAsia" w:ascii="仿宋" w:hAnsi="仿宋" w:eastAsia="仿宋"/>
            </w:rPr>
            <w:t>九、一般公共预算财政拨款项目支出决算表</w:t>
          </w:r>
          <w:r>
            <w:tab/>
          </w:r>
          <w:r>
            <w:fldChar w:fldCharType="begin"/>
          </w:r>
          <w:r>
            <w:instrText xml:space="preserve"> PAGEREF _Toc2351 \h </w:instrText>
          </w:r>
          <w:r>
            <w:fldChar w:fldCharType="separate"/>
          </w:r>
          <w:r>
            <w:t>31</w:t>
          </w:r>
          <w:r>
            <w:fldChar w:fldCharType="end"/>
          </w:r>
          <w:r>
            <w:fldChar w:fldCharType="end"/>
          </w:r>
        </w:p>
        <w:p w14:paraId="4C10FBB2">
          <w:pPr>
            <w:pStyle w:val="34"/>
            <w:tabs>
              <w:tab w:val="right" w:leader="dot" w:pos="8306"/>
            </w:tabs>
            <w:ind w:left="420"/>
          </w:pPr>
          <w:r>
            <w:fldChar w:fldCharType="begin"/>
          </w:r>
          <w:r>
            <w:instrText xml:space="preserve"> HYPERLINK \l "_Toc29350"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_Toc29350 \h </w:instrText>
          </w:r>
          <w:r>
            <w:fldChar w:fldCharType="separate"/>
          </w:r>
          <w:r>
            <w:t>31</w:t>
          </w:r>
          <w:r>
            <w:fldChar w:fldCharType="end"/>
          </w:r>
          <w:r>
            <w:fldChar w:fldCharType="end"/>
          </w:r>
        </w:p>
        <w:p w14:paraId="48F06402">
          <w:pPr>
            <w:pStyle w:val="34"/>
            <w:tabs>
              <w:tab w:val="right" w:leader="dot" w:pos="8306"/>
            </w:tabs>
            <w:ind w:left="420"/>
          </w:pPr>
          <w:r>
            <w:fldChar w:fldCharType="begin"/>
          </w:r>
          <w:r>
            <w:instrText xml:space="preserve"> HYPERLINK \l "_Toc6897"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_Toc6897 \h </w:instrText>
          </w:r>
          <w:r>
            <w:fldChar w:fldCharType="separate"/>
          </w:r>
          <w:r>
            <w:t>31</w:t>
          </w:r>
          <w:r>
            <w:fldChar w:fldCharType="end"/>
          </w:r>
          <w:r>
            <w:fldChar w:fldCharType="end"/>
          </w:r>
        </w:p>
        <w:p w14:paraId="49A5E36A">
          <w:pPr>
            <w:pStyle w:val="34"/>
            <w:tabs>
              <w:tab w:val="right" w:leader="dot" w:pos="8306"/>
            </w:tabs>
            <w:ind w:left="420"/>
          </w:pPr>
          <w:r>
            <w:fldChar w:fldCharType="begin"/>
          </w:r>
          <w:r>
            <w:instrText xml:space="preserve"> HYPERLINK \l "_Toc9323"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_Toc9323 \h </w:instrText>
          </w:r>
          <w:r>
            <w:fldChar w:fldCharType="separate"/>
          </w:r>
          <w:r>
            <w:t>31</w:t>
          </w:r>
          <w:r>
            <w:fldChar w:fldCharType="end"/>
          </w:r>
          <w:r>
            <w:fldChar w:fldCharType="end"/>
          </w:r>
        </w:p>
        <w:p w14:paraId="60A92D04">
          <w:pPr>
            <w:pStyle w:val="34"/>
            <w:tabs>
              <w:tab w:val="right" w:leader="dot" w:pos="8306"/>
            </w:tabs>
            <w:ind w:left="420"/>
          </w:pPr>
          <w:r>
            <w:fldChar w:fldCharType="begin"/>
          </w:r>
          <w:r>
            <w:instrText xml:space="preserve"> HYPERLINK \l "_Toc12185"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_Toc12185 \h </w:instrText>
          </w:r>
          <w:r>
            <w:fldChar w:fldCharType="separate"/>
          </w:r>
          <w:r>
            <w:t>31</w:t>
          </w:r>
          <w:r>
            <w:fldChar w:fldCharType="end"/>
          </w:r>
          <w:r>
            <w:fldChar w:fldCharType="end"/>
          </w:r>
        </w:p>
        <w:p w14:paraId="78CB39A0">
          <w:pPr>
            <w:pStyle w:val="34"/>
            <w:tabs>
              <w:tab w:val="right" w:leader="dot" w:pos="8306"/>
            </w:tabs>
            <w:ind w:left="420"/>
          </w:pPr>
          <w:r>
            <w:fldChar w:fldCharType="begin"/>
          </w:r>
          <w:r>
            <w:instrText xml:space="preserve"> HYPERLINK \l "_Toc19245"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_Toc19245 \h </w:instrText>
          </w:r>
          <w:r>
            <w:fldChar w:fldCharType="separate"/>
          </w:r>
          <w:r>
            <w:t>31</w:t>
          </w:r>
          <w:r>
            <w:fldChar w:fldCharType="end"/>
          </w:r>
          <w:r>
            <w:fldChar w:fldCharType="end"/>
          </w:r>
        </w:p>
        <w:p w14:paraId="2E728A6A">
          <w:pPr>
            <w:rPr>
              <w:b/>
            </w:rPr>
            <w:sectPr>
              <w:footerReference r:id="rId6" w:type="default"/>
              <w:pgSz w:w="11906" w:h="16838"/>
              <w:pgMar w:top="1440" w:right="1800" w:bottom="1440" w:left="1800" w:header="851" w:footer="992" w:gutter="0"/>
              <w:pgNumType w:start="1"/>
              <w:cols w:space="425" w:num="1"/>
              <w:docGrid w:type="lines" w:linePitch="312" w:charSpace="0"/>
            </w:sectPr>
          </w:pPr>
          <w:r>
            <w:rPr>
              <w:b/>
            </w:rPr>
            <w:fldChar w:fldCharType="end"/>
          </w:r>
        </w:p>
      </w:sdtContent>
    </w:sdt>
    <w:p w14:paraId="10385A10">
      <w:pPr>
        <w:rPr>
          <w:b/>
        </w:rPr>
      </w:pPr>
    </w:p>
    <w:p w14:paraId="6C4F93F9">
      <w:pPr>
        <w:pStyle w:val="3"/>
        <w:jc w:val="center"/>
        <w:rPr>
          <w:rStyle w:val="26"/>
          <w:rFonts w:ascii="黑体" w:hAnsi="黑体" w:eastAsia="黑体"/>
          <w:b/>
          <w:bCs w:val="0"/>
        </w:rPr>
      </w:pPr>
      <w:bookmarkStart w:id="15" w:name="_Toc30314"/>
      <w:bookmarkStart w:id="16" w:name="_Toc15396599"/>
      <w:bookmarkStart w:id="17" w:name="_Toc15377196"/>
      <w:r>
        <w:rPr>
          <w:rFonts w:hint="eastAsia" w:ascii="黑体" w:hAnsi="黑体" w:eastAsia="黑体"/>
          <w:b w:val="0"/>
        </w:rPr>
        <w:t>第一部分 单位</w:t>
      </w:r>
      <w:r>
        <w:rPr>
          <w:rStyle w:val="26"/>
          <w:rFonts w:hint="eastAsia" w:ascii="黑体" w:hAnsi="黑体" w:eastAsia="黑体"/>
          <w:b w:val="0"/>
          <w:bCs w:val="0"/>
        </w:rPr>
        <w:t>概况</w:t>
      </w:r>
      <w:bookmarkEnd w:id="15"/>
      <w:bookmarkEnd w:id="16"/>
      <w:bookmarkEnd w:id="17"/>
    </w:p>
    <w:p w14:paraId="20C0680D">
      <w:pPr>
        <w:widowControl/>
        <w:spacing w:line="560" w:lineRule="exact"/>
        <w:ind w:firstLine="620" w:firstLineChars="200"/>
        <w:jc w:val="left"/>
        <w:rPr>
          <w:rFonts w:ascii="仿宋_GB2312" w:hAnsi="宋体" w:eastAsia="仿宋_GB2312" w:cs="仿宋_GB2312"/>
          <w:color w:val="000000"/>
          <w:kern w:val="0"/>
          <w:sz w:val="31"/>
          <w:szCs w:val="31"/>
        </w:rPr>
      </w:pPr>
      <w:r>
        <w:rPr>
          <w:rFonts w:ascii="仿宋_GB2312" w:hAnsi="宋体" w:eastAsia="仿宋_GB2312" w:cs="仿宋_GB2312"/>
          <w:color w:val="000000"/>
          <w:kern w:val="0"/>
          <w:sz w:val="31"/>
          <w:szCs w:val="31"/>
        </w:rPr>
        <w:t xml:space="preserve">为进一步推进 </w:t>
      </w:r>
      <w:r>
        <w:rPr>
          <w:color w:val="000000"/>
          <w:kern w:val="0"/>
          <w:sz w:val="31"/>
          <w:szCs w:val="31"/>
        </w:rPr>
        <w:t xml:space="preserve">2021 </w:t>
      </w:r>
      <w:r>
        <w:rPr>
          <w:rFonts w:ascii="仿宋_GB2312" w:hAnsi="宋体" w:eastAsia="仿宋_GB2312" w:cs="仿宋_GB2312"/>
          <w:color w:val="000000"/>
          <w:kern w:val="0"/>
          <w:sz w:val="31"/>
          <w:szCs w:val="31"/>
        </w:rPr>
        <w:t xml:space="preserve">年度决算信息公开工作，根据《预算法》及相关文件规定，现就 </w:t>
      </w:r>
      <w:r>
        <w:rPr>
          <w:color w:val="000000"/>
          <w:kern w:val="0"/>
          <w:sz w:val="31"/>
          <w:szCs w:val="31"/>
        </w:rPr>
        <w:t xml:space="preserve">2021 </w:t>
      </w:r>
      <w:r>
        <w:rPr>
          <w:rFonts w:ascii="仿宋_GB2312" w:hAnsi="宋体" w:eastAsia="仿宋_GB2312" w:cs="仿宋_GB2312"/>
          <w:color w:val="000000"/>
          <w:kern w:val="0"/>
          <w:sz w:val="31"/>
          <w:szCs w:val="31"/>
        </w:rPr>
        <w:t>年度</w:t>
      </w:r>
      <w:r>
        <w:rPr>
          <w:rFonts w:hint="eastAsia" w:ascii="仿宋_GB2312" w:hAnsi="宋体" w:eastAsia="仿宋_GB2312" w:cs="仿宋_GB2312"/>
          <w:color w:val="000000"/>
          <w:kern w:val="0"/>
          <w:sz w:val="31"/>
          <w:szCs w:val="31"/>
        </w:rPr>
        <w:t>我校</w:t>
      </w:r>
      <w:r>
        <w:rPr>
          <w:rFonts w:ascii="仿宋_GB2312" w:hAnsi="宋体" w:eastAsia="仿宋_GB2312" w:cs="仿宋_GB2312"/>
          <w:color w:val="000000"/>
          <w:kern w:val="0"/>
          <w:sz w:val="31"/>
          <w:szCs w:val="31"/>
        </w:rPr>
        <w:t>部门决算和</w:t>
      </w:r>
      <w:r>
        <w:rPr>
          <w:color w:val="000000"/>
          <w:kern w:val="0"/>
          <w:sz w:val="31"/>
          <w:szCs w:val="31"/>
        </w:rPr>
        <w:t>“</w:t>
      </w:r>
      <w:r>
        <w:rPr>
          <w:rFonts w:ascii="仿宋_GB2312" w:hAnsi="宋体" w:eastAsia="仿宋_GB2312" w:cs="仿宋_GB2312"/>
          <w:color w:val="000000"/>
          <w:kern w:val="0"/>
          <w:sz w:val="31"/>
          <w:szCs w:val="31"/>
        </w:rPr>
        <w:t>三 公</w:t>
      </w:r>
      <w:r>
        <w:rPr>
          <w:color w:val="000000"/>
          <w:kern w:val="0"/>
          <w:sz w:val="31"/>
          <w:szCs w:val="31"/>
        </w:rPr>
        <w:t>”</w:t>
      </w:r>
      <w:r>
        <w:rPr>
          <w:rFonts w:ascii="仿宋_GB2312" w:hAnsi="宋体" w:eastAsia="仿宋_GB2312" w:cs="仿宋_GB2312"/>
          <w:color w:val="000000"/>
          <w:kern w:val="0"/>
          <w:sz w:val="31"/>
          <w:szCs w:val="31"/>
        </w:rPr>
        <w:t>经费信息公开如下：</w:t>
      </w:r>
      <w:bookmarkStart w:id="18" w:name="_Toc15377197"/>
      <w:bookmarkStart w:id="19" w:name="_Toc15396600"/>
    </w:p>
    <w:p w14:paraId="6291766E">
      <w:pPr>
        <w:widowControl/>
        <w:numPr>
          <w:ilvl w:val="0"/>
          <w:numId w:val="1"/>
        </w:numPr>
        <w:spacing w:line="560" w:lineRule="exact"/>
        <w:ind w:firstLine="640" w:firstLineChars="200"/>
        <w:jc w:val="left"/>
        <w:outlineLvl w:val="1"/>
        <w:rPr>
          <w:rStyle w:val="27"/>
          <w:rFonts w:ascii="黑体" w:hAnsi="黑体" w:eastAsia="黑体"/>
          <w:b w:val="0"/>
          <w:bCs w:val="0"/>
        </w:rPr>
      </w:pPr>
      <w:bookmarkStart w:id="20" w:name="_Toc22823"/>
      <w:r>
        <w:rPr>
          <w:rStyle w:val="27"/>
          <w:rFonts w:hint="eastAsia" w:ascii="黑体" w:hAnsi="黑体" w:eastAsia="黑体"/>
          <w:b w:val="0"/>
          <w:bCs w:val="0"/>
        </w:rPr>
        <w:t>职能简介</w:t>
      </w:r>
      <w:bookmarkEnd w:id="20"/>
    </w:p>
    <w:p w14:paraId="7160FC19">
      <w:pPr>
        <w:snapToGrid w:val="0"/>
        <w:spacing w:line="52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实施小学义务教育,促进基础教育发展,小学学历教育( 相关社会服务)。</w:t>
      </w:r>
    </w:p>
    <w:p w14:paraId="69C87C64">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14:paraId="5DE12AD9">
      <w:pPr>
        <w:spacing w:line="600" w:lineRule="exact"/>
        <w:ind w:firstLine="560" w:firstLineChars="200"/>
        <w:jc w:val="left"/>
        <w:rPr>
          <w:rFonts w:ascii="宋体" w:hAnsi="宋体"/>
          <w:sz w:val="28"/>
          <w:szCs w:val="28"/>
        </w:rPr>
      </w:pPr>
      <w:r>
        <w:rPr>
          <w:rFonts w:hint="eastAsia" w:ascii="宋体" w:hAnsi="宋体"/>
          <w:sz w:val="28"/>
          <w:szCs w:val="28"/>
        </w:rPr>
        <w:t>机构情况：我校属事业编制一级预算单位，2021年末单位机构数1，预算单位数1。机构无变动情况。</w:t>
      </w:r>
    </w:p>
    <w:p w14:paraId="4CAED3E2">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14:paraId="2CDABFA8">
      <w:pPr>
        <w:spacing w:line="600" w:lineRule="exact"/>
        <w:ind w:firstLine="560" w:firstLineChars="200"/>
        <w:jc w:val="left"/>
        <w:rPr>
          <w:rFonts w:ascii="宋体" w:hAnsi="宋体"/>
          <w:sz w:val="28"/>
          <w:szCs w:val="28"/>
        </w:rPr>
      </w:pPr>
      <w:r>
        <w:rPr>
          <w:rFonts w:hint="eastAsia" w:ascii="宋体" w:hAnsi="宋体"/>
          <w:sz w:val="28"/>
          <w:szCs w:val="28"/>
        </w:rPr>
        <w:t xml:space="preserve">人员情况：2021年末财政供养人数为：在职人员205人，副高30人，中级75人，助理91人，员级9人，退休人员51人.遗属人员10人,在校生人数2689人，住校生365人，随班就读9人，教学班75个， </w:t>
      </w:r>
    </w:p>
    <w:p w14:paraId="4A71E2F8">
      <w:pPr>
        <w:pStyle w:val="4"/>
        <w:ind w:firstLine="640" w:firstLineChars="200"/>
        <w:rPr>
          <w:rFonts w:ascii="黑体" w:hAnsi="黑体" w:eastAsia="黑体"/>
          <w:b w:val="0"/>
        </w:rPr>
      </w:pPr>
      <w:bookmarkStart w:id="21" w:name="_Toc8090"/>
      <w:r>
        <w:rPr>
          <w:rFonts w:hint="eastAsia" w:ascii="黑体" w:hAnsi="黑体" w:eastAsia="黑体"/>
          <w:b w:val="0"/>
        </w:rPr>
        <w:t>二、2021年重点工作</w:t>
      </w:r>
      <w:bookmarkEnd w:id="18"/>
      <w:bookmarkEnd w:id="19"/>
      <w:r>
        <w:rPr>
          <w:rFonts w:hint="eastAsia" w:ascii="黑体" w:hAnsi="黑体" w:eastAsia="黑体"/>
          <w:b w:val="0"/>
        </w:rPr>
        <w:t>完成情况</w:t>
      </w:r>
      <w:bookmarkEnd w:id="21"/>
    </w:p>
    <w:p w14:paraId="05E65A70">
      <w:pPr>
        <w:spacing w:line="560" w:lineRule="exact"/>
        <w:ind w:firstLine="640"/>
        <w:rPr>
          <w:rFonts w:ascii="仿宋_GB2312" w:hAnsi="仿宋_GB2312" w:eastAsia="仿宋_GB2312" w:cs="仿宋_GB2312"/>
          <w:sz w:val="32"/>
          <w:szCs w:val="32"/>
        </w:rPr>
      </w:pPr>
      <w:r>
        <w:rPr>
          <w:rFonts w:hint="eastAsia" w:ascii="仿宋_GB2312" w:eastAsia="仿宋_GB2312" w:hAnsiTheme="minorEastAsia"/>
          <w:sz w:val="32"/>
          <w:szCs w:val="32"/>
        </w:rPr>
        <w:t>渔门镇中心学校占地面积19840</w:t>
      </w:r>
      <w:r>
        <w:rPr>
          <w:rFonts w:hint="eastAsia" w:ascii="仿宋_GB2312" w:hAnsiTheme="minorEastAsia"/>
          <w:sz w:val="32"/>
          <w:szCs w:val="32"/>
        </w:rPr>
        <w:t>㎡</w:t>
      </w:r>
      <w:r>
        <w:rPr>
          <w:rFonts w:hint="eastAsia" w:ascii="仿宋_GB2312" w:eastAsia="仿宋_GB2312" w:hAnsiTheme="minorEastAsia"/>
          <w:sz w:val="32"/>
          <w:szCs w:val="32"/>
        </w:rPr>
        <w:t>总建筑面积11525</w:t>
      </w:r>
      <w:r>
        <w:rPr>
          <w:rFonts w:hint="eastAsia" w:ascii="仿宋_GB2312" w:hAnsiTheme="minorEastAsia"/>
          <w:sz w:val="32"/>
          <w:szCs w:val="32"/>
        </w:rPr>
        <w:t>㎡</w:t>
      </w:r>
      <w:r>
        <w:rPr>
          <w:rFonts w:hint="eastAsia" w:ascii="仿宋_GB2312" w:eastAsia="仿宋_GB2312" w:hAnsiTheme="minorEastAsia"/>
          <w:sz w:val="32"/>
          <w:szCs w:val="32"/>
        </w:rPr>
        <w:t>,校舍占地面积为8591</w:t>
      </w:r>
      <w:r>
        <w:rPr>
          <w:rFonts w:hint="eastAsia" w:ascii="仿宋_GB2312" w:hAnsiTheme="minorEastAsia"/>
          <w:sz w:val="32"/>
          <w:szCs w:val="32"/>
        </w:rPr>
        <w:t>㎡</w:t>
      </w:r>
      <w:r>
        <w:rPr>
          <w:rFonts w:hint="eastAsia" w:ascii="仿宋_GB2312" w:eastAsia="仿宋_GB2312" w:hAnsiTheme="minorEastAsia"/>
          <w:sz w:val="32"/>
          <w:szCs w:val="32"/>
        </w:rPr>
        <w:t>。学校辖区内有四个村教学点:高坪教学点、逸夫教学点、龙胜教学点和力马教学点</w:t>
      </w:r>
      <w:r>
        <w:rPr>
          <w:rFonts w:hint="eastAsia" w:ascii="仿宋_GB2312" w:hAnsi="仿宋_GB2312" w:eastAsia="仿宋_GB2312" w:cs="仿宋_GB2312"/>
          <w:sz w:val="32"/>
          <w:szCs w:val="32"/>
        </w:rPr>
        <w:t>，村教学点设1--4年级和学前班。</w:t>
      </w:r>
    </w:p>
    <w:p w14:paraId="34F28F56">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全校共有班级71个，中心校50个，村小21个。共有教师205人，在岗上课教师167人，交流教师38人，注册学生2546人(中心校2329人，村小217人)。</w:t>
      </w:r>
    </w:p>
    <w:p w14:paraId="0D9F4783">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学校功能齐全，设施完善，功能室有音乐室.美术室.体育器材室.科学实验室.教具室.图书室和两个微机室。图书室共有图书40249册，微机室共有电脑114台。中心校每间教室都装备了比较先进的多媒体一体机。各功能室配有教师专管。</w:t>
      </w:r>
    </w:p>
    <w:p w14:paraId="00972368">
      <w:pPr>
        <w:spacing w:line="560" w:lineRule="exact"/>
        <w:ind w:firstLine="643"/>
        <w:rPr>
          <w:rFonts w:ascii="黑体" w:hAnsi="黑体" w:eastAsia="黑体"/>
          <w:b/>
          <w:sz w:val="32"/>
          <w:szCs w:val="32"/>
        </w:rPr>
      </w:pPr>
      <w:r>
        <w:rPr>
          <w:rFonts w:hint="eastAsia" w:ascii="黑体" w:hAnsi="黑体" w:eastAsia="黑体"/>
          <w:b/>
          <w:sz w:val="32"/>
          <w:szCs w:val="32"/>
        </w:rPr>
        <w:t>工作开展情况</w:t>
      </w:r>
    </w:p>
    <w:p w14:paraId="0AE0F6A9">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（一）坚持以“鱼跃教育”文化为主线，建设学校精神文化体系，为学校特色立魂，不断地充实、完善渔小特色文化体系。</w:t>
      </w:r>
    </w:p>
    <w:p w14:paraId="5CD1F140">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办学理念：以德为先、质量强校、特色兴校、品牌亮校让教师幸福工作、让学生快乐成长，办人民满意的学校</w:t>
      </w:r>
    </w:p>
    <w:p w14:paraId="4D84FFCA">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核心价值：笮山若水、鱼跃渔门。</w:t>
      </w:r>
    </w:p>
    <w:p w14:paraId="1D00E91E">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培养目标：培养有真知识、真才能、真道德的全面发展的完美人。</w:t>
      </w:r>
    </w:p>
    <w:p w14:paraId="590534C2">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年来通过制度领导、校长垂范、环境熏陶、榜样示范、故事启迪、仪式激励、课程载体和培训强化等途径，使“鱼跃”精神文化内化为广大师生的信念和追求，并体现在自己的教育行为之中，渗透于学校的课程、教学、管理和环境之中，以“鱼跃”文化引领特色学校的建设。</w:t>
      </w:r>
    </w:p>
    <w:p w14:paraId="1F726F78">
      <w:pPr>
        <w:spacing w:line="560" w:lineRule="exact"/>
        <w:ind w:firstLine="640"/>
        <w:rPr>
          <w:rFonts w:ascii="楷体" w:hAnsi="楷体" w:eastAsia="楷体"/>
          <w:bCs/>
          <w:sz w:val="32"/>
          <w:szCs w:val="32"/>
        </w:rPr>
      </w:pPr>
      <w:r>
        <w:rPr>
          <w:rFonts w:hint="eastAsia" w:ascii="楷体" w:hAnsi="楷体" w:eastAsia="楷体"/>
          <w:bCs/>
          <w:sz w:val="32"/>
          <w:szCs w:val="32"/>
        </w:rPr>
        <w:t>（二）坚持构建鱼跃课堂，为鱼跃教育开辟主渠道。</w:t>
      </w:r>
    </w:p>
    <w:p w14:paraId="6AA60A18">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1.继续推行《笮山若水  鱼跃渔门渔门镇中心学校特色学校建设方案》，继续构建鱼跃课堂。“鱼跃课堂”是扎实、充实、丰实、常实和真实有效的课堂。“扎实”是指学生的学习是有意义的。扎实的标准是看学生学月初与学月末相比是否有了变化，有多大变化；“充实”是指对每一位学生有效，效率有多高；“丰实”是指课堂是生成互动的过程，课堂中有师生真实的、情感的、智慧的、思维的、能力的投入；“常实”是指课堂的常态性，是平时都能上的课，因而也是有推广价值的课；“真实”是指有待完善的课。生活中的课是有缺憾的，而非十全十美。有缺憾的、有待完善的课才是真实的课。</w:t>
      </w:r>
    </w:p>
    <w:p w14:paraId="3EC17AFE">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2.在“五实”理念引领下，构建自主学习课堂教学指导的一般模式、鱼跃教育的课堂教学是以学生为中心的教学，是引导学生自主学习，学会学习的教学。自主学习教学指导的一般模式在教学目标上，不仅教授知识技能，更强调培养学生自主学习能力；在教与学的关系上，主张先学后教，教师的教围绕学生的学进行，教服从于学；在教师角色作用上，定位于引导、点拨、组织、评价、激励等方面；在教学组织形式上，提倡班级授课与小组合作学习、个别个性教学相结合，教师精讲与学生自学相结合。</w:t>
      </w:r>
    </w:p>
    <w:p w14:paraId="3727118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3.自主学习教学指导的一般模式的操作步骤：学案先行，自主学习——同伴互助，合作交流——重点讲授，互动生成——练习达标，总结提升——拓展延伸，迁移运用。这一模式的运用要体现出“学生是学习和发展的主人”，把课堂真正还给学生，让学生“自我导向，自我选择，自我激励，自我监控”，真正走上一条自主学习，自主发展之路。</w:t>
      </w:r>
    </w:p>
    <w:p w14:paraId="46D6C504">
      <w:pPr>
        <w:spacing w:line="560" w:lineRule="exact"/>
        <w:ind w:firstLine="640"/>
        <w:rPr>
          <w:rFonts w:ascii="楷体" w:hAnsi="楷体" w:eastAsia="楷体"/>
          <w:bCs/>
          <w:sz w:val="32"/>
          <w:szCs w:val="32"/>
        </w:rPr>
      </w:pPr>
      <w:r>
        <w:rPr>
          <w:rFonts w:hint="eastAsia" w:ascii="楷体" w:hAnsi="楷体" w:eastAsia="楷体"/>
          <w:bCs/>
          <w:sz w:val="32"/>
          <w:szCs w:val="32"/>
        </w:rPr>
        <w:t>（三）加强教师队伍建设，提升教师自身修养。</w:t>
      </w:r>
    </w:p>
    <w:p w14:paraId="105C1E93">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1.强化工作指导与问题研究。坚持每周一工作例会，谋划好本周工作；同时分年级组抓好每周三教学研究会，集中解决教学实际工作中遇到的问题，以促进个人业务素质和教学质量的提升。</w:t>
      </w:r>
    </w:p>
    <w:p w14:paraId="7C7F9712">
      <w:pPr>
        <w:rPr>
          <w:rFonts w:ascii="仿宋_GB2312" w:hAnsi="仿宋_GB2312" w:eastAsia="仿宋_GB2312" w:cs="仿宋_GB2312"/>
          <w:sz w:val="32"/>
          <w:szCs w:val="32"/>
        </w:rPr>
      </w:pPr>
      <w:bookmarkStart w:id="22" w:name="_Hlk38370645"/>
      <w:r>
        <w:rPr>
          <w:rFonts w:hint="eastAsia" w:ascii="仿宋_GB2312" w:hAnsi="仿宋_GB2312" w:eastAsia="仿宋_GB2312" w:cs="仿宋_GB2312"/>
          <w:sz w:val="32"/>
          <w:szCs w:val="32"/>
        </w:rPr>
        <w:t>2.开展师德师风教育。利用教师例会、假期培训对教师进行师德师风教育。学习《攀枝花市中小学教师职业道德基本要求》《攀枝花市中小学教师 “十禁”“十要”》，组织观看师德警示教育片，与教职工签订师德师风目标责任书。</w:t>
      </w:r>
    </w:p>
    <w:bookmarkEnd w:id="22"/>
    <w:p w14:paraId="5FBD9CBA">
      <w:pPr>
        <w:ind w:firstLine="640" w:firstLineChars="200"/>
        <w:rPr>
          <w:rFonts w:ascii="仿宋_GB2312" w:hAnsi="仿宋_GB2312" w:eastAsia="仿宋_GB2312" w:cs="仿宋_GB2312"/>
          <w:sz w:val="32"/>
          <w:szCs w:val="32"/>
        </w:rPr>
      </w:pPr>
      <w:bookmarkStart w:id="23" w:name="_Hlk69237882"/>
      <w:bookmarkStart w:id="24" w:name="_Hlk38370834"/>
      <w:r>
        <w:rPr>
          <w:rFonts w:hint="eastAsia" w:ascii="仿宋_GB2312" w:hAnsi="仿宋_GB2312" w:eastAsia="仿宋_GB2312" w:cs="仿宋_GB2312"/>
          <w:sz w:val="32"/>
          <w:szCs w:val="32"/>
        </w:rPr>
        <w:t>3.发挥骨干教师引领作用。评选骨干教师23名，其中省级骨干教师1名，市级骨干教师12名，县级学科带头人5名，县骨干教师5人。建立骨干教师评选考核机制，制订有“学校骨干教师选拔和管理办法”，全年骨干教师上公开课20节。</w:t>
      </w:r>
    </w:p>
    <w:bookmarkEnd w:id="23"/>
    <w:p w14:paraId="5F683EBF">
      <w:pPr>
        <w:ind w:firstLine="640" w:firstLineChars="200"/>
        <w:rPr>
          <w:rFonts w:ascii="仿宋_GB2312" w:hAnsi="仿宋_GB2312" w:eastAsia="仿宋_GB2312" w:cs="仿宋_GB2312"/>
          <w:sz w:val="32"/>
          <w:szCs w:val="32"/>
        </w:rPr>
      </w:pPr>
      <w:bookmarkStart w:id="25" w:name="_Hlk41333898"/>
      <w:bookmarkStart w:id="26" w:name="_Hlk37228695"/>
      <w:r>
        <w:rPr>
          <w:rFonts w:hint="eastAsia" w:ascii="仿宋_GB2312" w:hAnsi="仿宋_GB2312" w:eastAsia="仿宋_GB2312" w:cs="仿宋_GB2312"/>
          <w:sz w:val="32"/>
          <w:szCs w:val="32"/>
        </w:rPr>
        <w:t>4.开展好教学业务培训。本年度完成国家级培训555人次，完成省级培训191人次，完成市级培训40人次，完成县级培训10人次，共支出培训费11.89万元。</w:t>
      </w:r>
      <w:bookmarkEnd w:id="25"/>
      <w:bookmarkEnd w:id="26"/>
    </w:p>
    <w:bookmarkEnd w:id="24"/>
    <w:p w14:paraId="522DB3B0">
      <w:pPr>
        <w:spacing w:line="560" w:lineRule="exact"/>
        <w:ind w:firstLine="640"/>
        <w:rPr>
          <w:rFonts w:ascii="楷体" w:hAnsi="楷体" w:eastAsia="楷体"/>
          <w:bCs/>
          <w:sz w:val="32"/>
          <w:szCs w:val="32"/>
        </w:rPr>
      </w:pPr>
      <w:r>
        <w:rPr>
          <w:rFonts w:hint="eastAsia" w:ascii="楷体" w:hAnsi="楷体" w:eastAsia="楷体"/>
          <w:bCs/>
          <w:sz w:val="32"/>
          <w:szCs w:val="32"/>
        </w:rPr>
        <w:t>（四）加强德育工作，建设文明校风。</w:t>
      </w:r>
    </w:p>
    <w:p w14:paraId="3C60B7F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1.成立以校长为组长，德育校长为执行副组长的德育工作领导小组，下设德育处和少先队大队，设专职德育主任、德育副主任各1名，专职大队辅导员1名。有71个中队，2546名少先队员，配有71个中队辅导员。</w:t>
      </w:r>
    </w:p>
    <w:p w14:paraId="62A92D8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2.我校积极开展特色教育，开展校园艺术节、六•一儿童节文艺汇演、庆祝中国共产党成立100周年书画展活动。以庆祝中国共产党成立 100 周年为契机，通过开展主题诵读活动、主题征文活动、主题书画比赛、艺术展演活动、主题观影活动、讲故事等活动，教育引领学生认识红色政权来之不易、新中国来之不易、中国特色社会主义来之不易，更好践行初心使命，使党的优良传统和热爱祖国、热爱人民、热爱社会主义的高尚情怀代代相传。</w:t>
      </w:r>
    </w:p>
    <w:p w14:paraId="56F03C3F">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整体优化校风、教风、学风、班风，达到全员育人的目标。我校请法制副校长、法律顾问、法制班主任和法治辅导员进校园，对全校师生进行了法制教育。定期开展了主题活动，并通过主题班会，黑板报，红领巾广播站，对学生进行了爱国主义教育、安全教育、行为习惯养成教育和良好的品德教育。</w:t>
      </w:r>
    </w:p>
    <w:p w14:paraId="1214CF9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4.为了进一步加强家长与学校的交流与沟通，每学期至少召开一次全校性的家长会，让家长在教育理念、教育方法上和学校达成共识，共同促使孩子健康发展和顺利成长。</w:t>
      </w:r>
    </w:p>
    <w:p w14:paraId="140F1356">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 我校认真贯彻落实上级关于疫情防控工作部署，制定“两案九制”指导渔门小学疫情防控工作，同时组织师生认真学习的疫情防控文件精神，做到疫情防控常态化。</w:t>
      </w:r>
    </w:p>
    <w:p w14:paraId="4AACC746">
      <w:pPr>
        <w:spacing w:line="560" w:lineRule="exact"/>
        <w:ind w:firstLine="640"/>
        <w:rPr>
          <w:rFonts w:ascii="楷体" w:hAnsi="楷体" w:eastAsia="楷体"/>
          <w:bCs/>
          <w:sz w:val="32"/>
          <w:szCs w:val="32"/>
        </w:rPr>
      </w:pPr>
      <w:r>
        <w:rPr>
          <w:rFonts w:hint="eastAsia" w:ascii="楷体" w:hAnsi="楷体" w:eastAsia="楷体"/>
          <w:bCs/>
          <w:sz w:val="32"/>
          <w:szCs w:val="32"/>
        </w:rPr>
        <w:t>（五）认真分析质量提升瓶颈，努力寻求提升质量办法。</w:t>
      </w:r>
    </w:p>
    <w:p w14:paraId="7F51B646">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1.认真开展教学常规工作，做到有方案、有制度、有落实。</w:t>
      </w:r>
    </w:p>
    <w:p w14:paraId="27F669F0">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2.抓好入口年级，确保出口质量。一年级要求语、数学科消灭不及格；六年级监测努力提升语、数、外三科合格率，语、数、外单科尽力提升及格率，实现市抽测年级提升至全县第5位。</w:t>
      </w:r>
    </w:p>
    <w:p w14:paraId="25B306A9">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3.提升薄弱学科质量，缩小村小与中心校差距。长期以来，我校的英语学科是薄弱学科，特别是村小的英语更是拖了后腿。为此学校召开动员会，加强与英语学科教师交流，群策群力共同商讨提升英语教学质量的办法，同时调派英语教师到村小任课，通过一年的努力，全校英语教学质量有明显的提升，确保出口年级语、数、外三科教学质量。</w:t>
      </w:r>
    </w:p>
    <w:p w14:paraId="3F3D4467">
      <w:pPr>
        <w:spacing w:line="560" w:lineRule="exact"/>
        <w:ind w:firstLine="640"/>
        <w:rPr>
          <w:rFonts w:ascii="楷体" w:hAnsi="楷体" w:eastAsia="楷体"/>
          <w:bCs/>
          <w:sz w:val="32"/>
          <w:szCs w:val="32"/>
        </w:rPr>
      </w:pPr>
      <w:r>
        <w:rPr>
          <w:rFonts w:hint="eastAsia" w:ascii="楷体" w:hAnsi="楷体" w:eastAsia="楷体"/>
          <w:bCs/>
          <w:sz w:val="32"/>
          <w:szCs w:val="32"/>
        </w:rPr>
        <w:t>（六）重视安全工作，构建平安校园。</w:t>
      </w:r>
    </w:p>
    <w:p w14:paraId="23098110">
      <w:pPr>
        <w:tabs>
          <w:tab w:val="left" w:pos="7770"/>
        </w:tabs>
        <w:ind w:right="-9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1.学校成立校长为组长，4名副校长为副组长，中层干部，班主任，任课教师，保安为成员的安全工作组织机构。有9名专职保安，实行24小时轮流值班。制订有“门卫管理制度”，对外来人员实行出入登记制度。</w:t>
      </w:r>
    </w:p>
    <w:p w14:paraId="587289FA">
      <w:pPr>
        <w:ind w:right="10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安保设备设施齐全。重点部位均已安装监控且保证监控设施24小时正常有效运转。操场装有安全照明灯。教学楼、寝室配置灭火器、每层装有应急灯和安全指示牌。门卫值班室设有报警电话，值班人员和“护校队”配备有警棍、电棒、手电筒等必要的防护器械。</w:t>
      </w:r>
    </w:p>
    <w:p w14:paraId="19984B2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过悬挂宣传标语，各班黑板报，每周五安全讲话，主题班会等形式，在重要节假日、周末向师生宣传交通、用电、食品卫生、防溺水、防火、防震等安全知识，开展安全教育。与教师、家长、学生签订相应安全承诺书。</w:t>
      </w:r>
    </w:p>
    <w:p w14:paraId="24957F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安全应急疏散演练包括地震疏散演练、消防安全疏散演练、火灾逃生应急疏散演练等，为确保每次演练活动顺利进行，演练活动领导小组在演练的前要召开教师会，明确疏散路线、疏散顺序、集合地点和注意事项。</w:t>
      </w:r>
    </w:p>
    <w:p w14:paraId="48D3689C">
      <w:pPr>
        <w:ind w:firstLine="640" w:firstLineChars="200"/>
        <w:rPr>
          <w:rFonts w:ascii="楷体" w:hAnsi="楷体" w:eastAsia="楷体" w:cs="楷体"/>
          <w:bCs/>
          <w:sz w:val="32"/>
          <w:szCs w:val="32"/>
        </w:rPr>
      </w:pPr>
      <w:r>
        <w:rPr>
          <w:rFonts w:hint="eastAsia" w:ascii="楷体" w:hAnsi="楷体" w:eastAsia="楷体" w:cs="楷体"/>
          <w:bCs/>
          <w:sz w:val="32"/>
          <w:szCs w:val="32"/>
        </w:rPr>
        <w:t>（七）开展体育</w:t>
      </w:r>
      <w:bookmarkStart w:id="27" w:name="_Hlk62803364"/>
      <w:r>
        <w:rPr>
          <w:rFonts w:hint="eastAsia" w:ascii="楷体" w:hAnsi="楷体" w:eastAsia="楷体" w:cs="楷体"/>
          <w:bCs/>
          <w:sz w:val="32"/>
          <w:szCs w:val="32"/>
        </w:rPr>
        <w:t>、艺术活动，丰富学生校园生活。</w:t>
      </w:r>
    </w:p>
    <w:p w14:paraId="236DBE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校本课程为依托，开展阳光体育运动。落实每天一小时的体育活动要求，每天上午安排30分钟的课间体操（课间体操与跑操相结合的特色大课间活动）和每天下午统一安排30分钟的大课间体育活动（没有体育课的当天，安排丰富多样的阳光体育活动）。</w:t>
      </w:r>
    </w:p>
    <w:p w14:paraId="2C9A3F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2.学校成立了“健魄笮人”运动队，有教练员5名，学生运动员47名。组建了“巧手笮艺”艺术社团，开展了绘画、手工活动，参加艺术社团学生70余名。</w:t>
      </w:r>
    </w:p>
    <w:p w14:paraId="5B3CD5B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3.举办了第二十三届学校冬季运动会。共有6个年级50个班2329名运动员参赛，设置有100米短跑比赛，接力比赛，3分钟跳长绳、1分钟跳短绳，垒球比赛，扔沙包等比赛项目。</w:t>
      </w:r>
    </w:p>
    <w:bookmarkEnd w:id="27"/>
    <w:p w14:paraId="7B53CA33">
      <w:pPr>
        <w:spacing w:line="560" w:lineRule="exact"/>
        <w:ind w:firstLine="643"/>
        <w:rPr>
          <w:rFonts w:ascii="黑体" w:hAnsi="黑体" w:eastAsia="黑体"/>
          <w:b/>
          <w:sz w:val="32"/>
          <w:szCs w:val="32"/>
        </w:rPr>
      </w:pPr>
      <w:r>
        <w:rPr>
          <w:rFonts w:hint="eastAsia" w:ascii="黑体" w:hAnsi="黑体" w:eastAsia="黑体"/>
          <w:b/>
          <w:sz w:val="32"/>
          <w:szCs w:val="32"/>
        </w:rPr>
        <w:t>取得的主要成效</w:t>
      </w:r>
    </w:p>
    <w:p w14:paraId="6F4B0FE1">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（一）坚持以“鱼跃教育”文化为主线，建设学校精神文化体系，为学校特色立魂，不断地充实、完善渔小特色文化体系。</w:t>
      </w:r>
    </w:p>
    <w:p w14:paraId="3A180458">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（二）继续推行《笮山若水  鱼跃渔门渔门镇中心学校特色学校建设方案》，继续构建鱼跃课堂。</w:t>
      </w:r>
    </w:p>
    <w:p w14:paraId="14633299">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（三）在“五实”理念引领下，构建自主学习课堂教学指导的一般模式、鱼跃教育的课堂教学是以学生为中心的教学，是引导学生自主学习，学会学习的教学。</w:t>
      </w:r>
    </w:p>
    <w:p w14:paraId="6927C111">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（四）</w:t>
      </w:r>
      <w:r>
        <w:rPr>
          <w:rStyle w:val="32"/>
          <w:rFonts w:hint="eastAsia" w:ascii="仿宋_GB2312" w:eastAsia="仿宋_GB2312" w:hAnsiTheme="minorEastAsia"/>
          <w:color w:val="000000"/>
          <w:kern w:val="2"/>
          <w:sz w:val="32"/>
          <w:szCs w:val="32"/>
          <w:lang w:bidi="ar-SA"/>
        </w:rPr>
        <w:t>2021—2022年度，渔门镇中心学校在市县教育体局和渔门学区的正确领导下，经过全校师生的共同努力，完成全学年的教学任务，毕业年级县监测和四年级市抽测实现的进位，实现了学年初既定的“小步慢走，稳中求进”教学目标。</w:t>
      </w:r>
    </w:p>
    <w:p w14:paraId="7C1E4853">
      <w:pPr>
        <w:spacing w:line="560" w:lineRule="exact"/>
        <w:ind w:firstLine="640"/>
        <w:rPr>
          <w:rStyle w:val="32"/>
          <w:rFonts w:ascii="仿宋_GB2312" w:hAnsi="仿宋_GB2312" w:eastAsia="仿宋_GB2312" w:cs="仿宋_GB2312"/>
          <w:color w:val="000000"/>
          <w:kern w:val="2"/>
          <w:sz w:val="32"/>
          <w:szCs w:val="32"/>
          <w:lang w:bidi="ar-SA"/>
        </w:rPr>
      </w:pPr>
      <w:r>
        <w:rPr>
          <w:rStyle w:val="32"/>
          <w:rFonts w:hint="eastAsia" w:ascii="仿宋_GB2312" w:hAnsi="仿宋_GB2312" w:eastAsia="仿宋_GB2312" w:cs="仿宋_GB2312"/>
          <w:color w:val="000000"/>
          <w:kern w:val="2"/>
          <w:sz w:val="32"/>
          <w:szCs w:val="32"/>
          <w:lang w:bidi="ar-SA"/>
        </w:rPr>
        <w:t>（五）教研方面。</w:t>
      </w:r>
    </w:p>
    <w:p w14:paraId="7512B7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1.本学年开展教研课题两项：游文刚主研的省级课题“农村少先队活动课的校本化实施及校本研究”，彭丝娟主研的市级课题“信息技术环境下微视频应用于乡村小学高段数学课后作业辅导的应用研究”。</w:t>
      </w:r>
    </w:p>
    <w:p w14:paraId="41F95A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竹林在《时代教育》中发表的《农村小学信息技术教育的现状发展对策探究》获得一等奖；苏洪平2021年在《全国教育管理理论与实践创新论坛》发表的《浅谈美术教学中学生审美能力的培养》荣获一等奖；徐昌军在《中华传奇》中发表的《小组学习模式下的小学（道德与法治）教学策略探究》获得一等奖。</w:t>
      </w:r>
    </w:p>
    <w:p w14:paraId="1A748848">
      <w:pPr>
        <w:spacing w:line="560" w:lineRule="exact"/>
        <w:ind w:firstLine="640"/>
        <w:rPr>
          <w:rStyle w:val="32"/>
          <w:rFonts w:ascii="仿宋_GB2312" w:hAnsi="仿宋_GB2312" w:eastAsia="仿宋_GB2312" w:cs="仿宋_GB2312"/>
          <w:color w:val="000000"/>
          <w:kern w:val="2"/>
          <w:sz w:val="32"/>
          <w:szCs w:val="32"/>
          <w:lang w:bidi="ar-SA"/>
        </w:rPr>
      </w:pPr>
      <w:r>
        <w:rPr>
          <w:rStyle w:val="32"/>
          <w:rFonts w:hint="eastAsia" w:ascii="仿宋_GB2312" w:hAnsi="仿宋_GB2312" w:eastAsia="仿宋_GB2312" w:cs="仿宋_GB2312"/>
          <w:color w:val="000000"/>
          <w:kern w:val="2"/>
          <w:sz w:val="32"/>
          <w:szCs w:val="32"/>
          <w:lang w:bidi="ar-SA"/>
        </w:rPr>
        <w:t xml:space="preserve"> (六）教育方面。</w:t>
      </w:r>
    </w:p>
    <w:p w14:paraId="567AC0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被县教育和体育局评为“德育工作先进单位”。教师徐昌军被市委宣传部和市教育和体育局评为“优秀德育管理干部”，李许容被市政府评为2021年攀枝花市优秀乡村教师，周佳佳被评为“优秀班主任”，冉金超被县教育和体育局评为“优秀德育管理干部”。</w:t>
      </w:r>
    </w:p>
    <w:p w14:paraId="4CA6318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冉书瑜、安星语、张志豪被团市委、市教育和体育局、市少工委评为“攀枝花市优秀少先队员”；13名学生被市教育和体育局评为三好学生，8名学生被评为优秀学生干部；32名学生被县教育和体育局评为三好学生，16名学生被评为优秀学生干部。</w:t>
      </w:r>
    </w:p>
    <w:p w14:paraId="360F4D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3.2021年12月，学校运动员代表盐边县参加市教育和体育局组织的攀枝花市第四十届中小学校暨中等职业学校学生田径运动会。学生刘雪碧获小学女子组垒球第二名，学生沙家财获小学男子组400米第二名。</w:t>
      </w:r>
    </w:p>
    <w:p w14:paraId="48005CC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4.在2021年全国少年儿童世界和平海报第十展区（四川）盐边分展区初赛活动中获得县级一等奖5个，二等奖9个，三等奖10个，优秀奖10个。其中：贺金海等三名学生获B组一等奖，肖官艺等两名学生获A组一等奖。</w:t>
      </w:r>
    </w:p>
    <w:p w14:paraId="3C3EA794">
      <w:pPr>
        <w:spacing w:line="560" w:lineRule="exact"/>
        <w:ind w:firstLine="643"/>
        <w:rPr>
          <w:rFonts w:ascii="黑体" w:hAnsi="黑体" w:eastAsia="黑体"/>
          <w:b/>
          <w:sz w:val="32"/>
          <w:szCs w:val="32"/>
        </w:rPr>
      </w:pPr>
      <w:r>
        <w:rPr>
          <w:rFonts w:hint="eastAsia" w:ascii="黑体" w:hAnsi="黑体" w:eastAsia="黑体"/>
          <w:b/>
          <w:sz w:val="32"/>
          <w:szCs w:val="32"/>
        </w:rPr>
        <w:t>存在的主要问题、困难和改进措施</w:t>
      </w:r>
    </w:p>
    <w:p w14:paraId="33F81ED7">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（一）部分教师的责任心还不够强，工作不够细致。</w:t>
      </w:r>
    </w:p>
    <w:p w14:paraId="5A3344E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（二）还需要加强班级管理，规范学生的行为习惯。</w:t>
      </w:r>
    </w:p>
    <w:p w14:paraId="2EF4276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（三）对教学过程中的难点解决、后进生转化等问题组织相关人员探究，进一步提高学校的整体教育教学质量。</w:t>
      </w:r>
    </w:p>
    <w:p w14:paraId="42CAA185">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（四）语言文字工作还要进一步加强，师生在校园内还未形成说普通话的氛围。</w:t>
      </w:r>
    </w:p>
    <w:p w14:paraId="05806D0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（五）为教师搭建教学交流平台，如定期在学校中开展“师徒结对”活动。</w:t>
      </w:r>
    </w:p>
    <w:p w14:paraId="0E6AB5EA">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（六）多了解教职工的思想动向，做好心理疏导工作。</w:t>
      </w:r>
    </w:p>
    <w:p w14:paraId="63FC4B25">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（七）学校无周转房，年轻教师流失严重。学校积极向政府争取修建周转房，解决年轻教师住房问题。</w:t>
      </w:r>
    </w:p>
    <w:p w14:paraId="4B5F57CA"/>
    <w:p w14:paraId="221EC9FC">
      <w:pPr>
        <w:pStyle w:val="3"/>
        <w:spacing w:before="0" w:after="0" w:line="520" w:lineRule="exact"/>
        <w:ind w:right="440"/>
        <w:jc w:val="center"/>
      </w:pPr>
      <w:bookmarkStart w:id="28" w:name="_Toc9648"/>
      <w:bookmarkStart w:id="29" w:name="_Toc15377204"/>
      <w:bookmarkStart w:id="30" w:name="_Toc15396602"/>
      <w:r>
        <w:rPr>
          <w:rFonts w:hint="eastAsia" w:ascii="黑体" w:hAnsi="黑体" w:eastAsia="黑体"/>
          <w:b w:val="0"/>
        </w:rPr>
        <w:t>第二部分 2021年度</w:t>
      </w:r>
      <w:r>
        <w:rPr>
          <w:rStyle w:val="26"/>
          <w:rFonts w:hint="eastAsia" w:ascii="黑体" w:hAnsi="黑体" w:eastAsia="黑体"/>
          <w:b w:val="0"/>
          <w:bCs/>
        </w:rPr>
        <w:t>单位决算情况说明</w:t>
      </w:r>
      <w:bookmarkEnd w:id="28"/>
      <w:bookmarkEnd w:id="29"/>
      <w:bookmarkEnd w:id="30"/>
    </w:p>
    <w:p w14:paraId="779AF8A9">
      <w:pPr>
        <w:pStyle w:val="25"/>
        <w:numPr>
          <w:ilvl w:val="0"/>
          <w:numId w:val="2"/>
        </w:numPr>
        <w:spacing w:line="520" w:lineRule="exact"/>
        <w:ind w:firstLineChars="0"/>
        <w:outlineLvl w:val="1"/>
        <w:rPr>
          <w:rStyle w:val="27"/>
          <w:rFonts w:ascii="黑体" w:hAnsi="黑体" w:eastAsia="黑体"/>
          <w:b w:val="0"/>
        </w:rPr>
      </w:pPr>
      <w:bookmarkStart w:id="31" w:name="_Toc22222"/>
      <w:bookmarkStart w:id="32" w:name="_Toc15396603"/>
      <w:bookmarkStart w:id="33"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31"/>
      <w:bookmarkEnd w:id="32"/>
      <w:bookmarkEnd w:id="33"/>
    </w:p>
    <w:p w14:paraId="3FF21E2C">
      <w:pPr>
        <w:spacing w:line="520" w:lineRule="exact"/>
        <w:ind w:firstLine="640" w:firstLineChars="200"/>
        <w:rPr>
          <w:rFonts w:ascii="仿宋" w:hAnsi="仿宋" w:eastAsia="仿宋"/>
          <w:sz w:val="32"/>
          <w:szCs w:val="32"/>
        </w:rPr>
      </w:pPr>
      <w:r>
        <w:rPr>
          <w:rFonts w:hint="eastAsia" w:ascii="仿宋" w:hAnsi="仿宋" w:eastAsia="仿宋"/>
          <w:sz w:val="32"/>
          <w:szCs w:val="32"/>
        </w:rPr>
        <w:t>2021年度收、支总计3,996.96万元。与2020年财政拨款收、支总计3,333.59万元相比，收、支总计各增加663.37万元，增长19.9</w:t>
      </w:r>
      <w:r>
        <w:rPr>
          <w:rFonts w:ascii="仿宋" w:hAnsi="仿宋" w:eastAsia="仿宋"/>
          <w:sz w:val="32"/>
          <w:szCs w:val="32"/>
        </w:rPr>
        <w:t>%</w:t>
      </w:r>
      <w:r>
        <w:rPr>
          <w:rFonts w:hint="eastAsia" w:ascii="仿宋" w:hAnsi="仿宋" w:eastAsia="仿宋"/>
          <w:sz w:val="32"/>
          <w:szCs w:val="32"/>
        </w:rPr>
        <w:t>。主要变动原因是教师工资调整，职称变动，社保基数调整，2020年末结余结转。</w:t>
      </w:r>
    </w:p>
    <w:p w14:paraId="63849B00">
      <w:pPr>
        <w:spacing w:line="52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38CD1EA">
      <w:pPr>
        <w:pStyle w:val="2"/>
        <w:spacing w:before="93"/>
      </w:pPr>
      <w:r>
        <w:drawing>
          <wp:inline distT="0" distB="0" distL="114300" distR="114300">
            <wp:extent cx="3943350" cy="1724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43350" cy="1724025"/>
                    </a:xfrm>
                    <a:prstGeom prst="rect">
                      <a:avLst/>
                    </a:prstGeom>
                    <a:noFill/>
                    <a:ln>
                      <a:noFill/>
                    </a:ln>
                  </pic:spPr>
                </pic:pic>
              </a:graphicData>
            </a:graphic>
          </wp:inline>
        </w:drawing>
      </w:r>
    </w:p>
    <w:p w14:paraId="3DC18523">
      <w:pPr>
        <w:pStyle w:val="25"/>
        <w:numPr>
          <w:ilvl w:val="0"/>
          <w:numId w:val="2"/>
        </w:numPr>
        <w:spacing w:line="520" w:lineRule="exact"/>
        <w:ind w:firstLineChars="0"/>
        <w:outlineLvl w:val="1"/>
        <w:rPr>
          <w:rStyle w:val="27"/>
          <w:rFonts w:ascii="黑体" w:hAnsi="黑体" w:eastAsia="黑体"/>
          <w:b w:val="0"/>
        </w:rPr>
      </w:pPr>
      <w:bookmarkStart w:id="34" w:name="_Toc15396604"/>
      <w:bookmarkStart w:id="35" w:name="_Toc15377206"/>
      <w:bookmarkStart w:id="36" w:name="_Toc19014"/>
      <w:r>
        <w:rPr>
          <w:rFonts w:hint="eastAsia" w:ascii="黑体" w:hAnsi="黑体" w:eastAsia="黑体"/>
          <w:sz w:val="32"/>
          <w:szCs w:val="32"/>
        </w:rPr>
        <w:t>收</w:t>
      </w:r>
      <w:r>
        <w:rPr>
          <w:rStyle w:val="27"/>
          <w:rFonts w:hint="eastAsia" w:ascii="黑体" w:hAnsi="黑体" w:eastAsia="黑体"/>
          <w:b w:val="0"/>
        </w:rPr>
        <w:t>入决算情况说明</w:t>
      </w:r>
      <w:bookmarkEnd w:id="34"/>
      <w:bookmarkEnd w:id="35"/>
      <w:bookmarkEnd w:id="36"/>
    </w:p>
    <w:p w14:paraId="57D7590A">
      <w:pPr>
        <w:spacing w:line="520" w:lineRule="exact"/>
        <w:ind w:firstLine="640" w:firstLineChars="200"/>
        <w:outlineLvl w:val="1"/>
        <w:rPr>
          <w:rFonts w:ascii="仿宋" w:hAnsi="仿宋" w:eastAsia="仿宋"/>
          <w:sz w:val="32"/>
          <w:szCs w:val="32"/>
        </w:rPr>
      </w:pPr>
      <w:bookmarkStart w:id="37" w:name="_Toc10391"/>
      <w:r>
        <w:rPr>
          <w:rFonts w:ascii="仿宋" w:hAnsi="仿宋" w:eastAsia="仿宋"/>
          <w:sz w:val="32"/>
          <w:szCs w:val="32"/>
        </w:rPr>
        <w:t>20</w:t>
      </w:r>
      <w:r>
        <w:rPr>
          <w:rFonts w:hint="eastAsia" w:ascii="仿宋" w:hAnsi="仿宋" w:eastAsia="仿宋"/>
          <w:sz w:val="32"/>
          <w:szCs w:val="32"/>
        </w:rPr>
        <w:t>21年本年收入合计3,905.33万元，其中：一般公共预算财政拨款收入3,905.33万元，占100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7"/>
    </w:p>
    <w:p w14:paraId="3954C972">
      <w:pPr>
        <w:spacing w:line="52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7B698023">
      <w:pPr>
        <w:pStyle w:val="2"/>
        <w:spacing w:before="93"/>
      </w:pPr>
      <w:r>
        <w:drawing>
          <wp:inline distT="0" distB="0" distL="114300" distR="114300">
            <wp:extent cx="3276600" cy="1809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276600" cy="1809750"/>
                    </a:xfrm>
                    <a:prstGeom prst="rect">
                      <a:avLst/>
                    </a:prstGeom>
                    <a:noFill/>
                    <a:ln>
                      <a:noFill/>
                    </a:ln>
                  </pic:spPr>
                </pic:pic>
              </a:graphicData>
            </a:graphic>
          </wp:inline>
        </w:drawing>
      </w:r>
    </w:p>
    <w:p w14:paraId="58D81C73">
      <w:pPr>
        <w:pStyle w:val="25"/>
        <w:numPr>
          <w:ilvl w:val="0"/>
          <w:numId w:val="2"/>
        </w:numPr>
        <w:spacing w:line="520" w:lineRule="exact"/>
        <w:ind w:firstLineChars="0"/>
        <w:outlineLvl w:val="1"/>
        <w:rPr>
          <w:rStyle w:val="27"/>
          <w:rFonts w:ascii="黑体" w:hAnsi="黑体" w:eastAsia="黑体"/>
          <w:b w:val="0"/>
        </w:rPr>
      </w:pPr>
      <w:bookmarkStart w:id="38" w:name="_Toc15396605"/>
      <w:bookmarkStart w:id="39" w:name="_Toc15377207"/>
      <w:bookmarkStart w:id="40" w:name="_Toc11766"/>
      <w:r>
        <w:rPr>
          <w:rFonts w:hint="eastAsia" w:ascii="黑体" w:hAnsi="黑体" w:eastAsia="黑体"/>
          <w:sz w:val="32"/>
          <w:szCs w:val="32"/>
        </w:rPr>
        <w:t>支</w:t>
      </w:r>
      <w:r>
        <w:rPr>
          <w:rStyle w:val="27"/>
          <w:rFonts w:hint="eastAsia" w:ascii="黑体" w:hAnsi="黑体" w:eastAsia="黑体"/>
          <w:b w:val="0"/>
        </w:rPr>
        <w:t>出决算情况说明</w:t>
      </w:r>
      <w:bookmarkEnd w:id="38"/>
      <w:bookmarkEnd w:id="39"/>
      <w:bookmarkEnd w:id="40"/>
    </w:p>
    <w:p w14:paraId="21F5DC14">
      <w:pPr>
        <w:spacing w:line="520" w:lineRule="exact"/>
        <w:ind w:firstLine="640" w:firstLineChars="200"/>
        <w:outlineLvl w:val="1"/>
        <w:rPr>
          <w:rFonts w:ascii="仿宋" w:hAnsi="仿宋" w:eastAsia="仿宋"/>
          <w:sz w:val="32"/>
          <w:szCs w:val="32"/>
        </w:rPr>
      </w:pPr>
      <w:bookmarkStart w:id="41" w:name="_Toc28618"/>
      <w:r>
        <w:rPr>
          <w:rFonts w:ascii="仿宋" w:hAnsi="仿宋" w:eastAsia="仿宋"/>
          <w:sz w:val="32"/>
          <w:szCs w:val="32"/>
        </w:rPr>
        <w:t>20</w:t>
      </w:r>
      <w:r>
        <w:rPr>
          <w:rFonts w:hint="eastAsia" w:ascii="仿宋" w:hAnsi="仿宋" w:eastAsia="仿宋"/>
          <w:sz w:val="32"/>
          <w:szCs w:val="32"/>
        </w:rPr>
        <w:t>21年本年支出合计3,996.96万元，其中：基本支出3,278.15万元，占82.02</w:t>
      </w:r>
      <w:r>
        <w:rPr>
          <w:rFonts w:ascii="仿宋" w:hAnsi="仿宋" w:eastAsia="仿宋"/>
          <w:sz w:val="32"/>
          <w:szCs w:val="32"/>
        </w:rPr>
        <w:t>%</w:t>
      </w:r>
      <w:r>
        <w:rPr>
          <w:rFonts w:hint="eastAsia" w:ascii="仿宋" w:hAnsi="仿宋" w:eastAsia="仿宋"/>
          <w:sz w:val="32"/>
          <w:szCs w:val="32"/>
        </w:rPr>
        <w:t>；项目支出718.81万元，占17.98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1"/>
    </w:p>
    <w:p w14:paraId="3DAB26FD">
      <w:pPr>
        <w:spacing w:line="520" w:lineRule="exact"/>
        <w:ind w:firstLine="640"/>
        <w:rPr>
          <w:rFonts w:ascii="仿宋" w:hAnsi="仿宋" w:eastAsia="仿宋"/>
          <w:sz w:val="32"/>
          <w:szCs w:val="32"/>
          <w:shd w:val="pct10" w:color="auto" w:fill="FFFFFF"/>
        </w:rPr>
      </w:pPr>
    </w:p>
    <w:p w14:paraId="5B946E2F">
      <w:pPr>
        <w:spacing w:line="52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28A0CA08">
      <w:pPr>
        <w:spacing w:line="520" w:lineRule="exact"/>
        <w:ind w:firstLine="420" w:firstLineChars="200"/>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561975</wp:posOffset>
            </wp:positionH>
            <wp:positionV relativeFrom="paragraph">
              <wp:posOffset>126365</wp:posOffset>
            </wp:positionV>
            <wp:extent cx="3686175" cy="1804670"/>
            <wp:effectExtent l="0" t="0" r="9525"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686175" cy="1804670"/>
                    </a:xfrm>
                    <a:prstGeom prst="rect">
                      <a:avLst/>
                    </a:prstGeom>
                    <a:noFill/>
                    <a:ln>
                      <a:noFill/>
                    </a:ln>
                  </pic:spPr>
                </pic:pic>
              </a:graphicData>
            </a:graphic>
          </wp:anchor>
        </w:drawing>
      </w:r>
    </w:p>
    <w:p w14:paraId="3B91725A">
      <w:pPr>
        <w:spacing w:line="520" w:lineRule="exact"/>
        <w:ind w:firstLine="640" w:firstLineChars="200"/>
        <w:rPr>
          <w:rFonts w:ascii="黑体" w:hAnsi="黑体" w:eastAsia="黑体"/>
          <w:sz w:val="32"/>
          <w:szCs w:val="32"/>
        </w:rPr>
      </w:pPr>
      <w:bookmarkStart w:id="42" w:name="_Toc15396606"/>
      <w:bookmarkStart w:id="43" w:name="_Toc15377208"/>
    </w:p>
    <w:p w14:paraId="3042994F">
      <w:pPr>
        <w:spacing w:line="520" w:lineRule="exact"/>
        <w:ind w:firstLine="640" w:firstLineChars="200"/>
        <w:rPr>
          <w:rFonts w:ascii="黑体" w:hAnsi="黑体" w:eastAsia="黑体"/>
          <w:sz w:val="32"/>
          <w:szCs w:val="32"/>
        </w:rPr>
      </w:pPr>
    </w:p>
    <w:p w14:paraId="0B75985E">
      <w:pPr>
        <w:spacing w:line="520" w:lineRule="exact"/>
        <w:ind w:firstLine="640" w:firstLineChars="200"/>
        <w:rPr>
          <w:rFonts w:ascii="黑体" w:hAnsi="黑体" w:eastAsia="黑体"/>
          <w:sz w:val="32"/>
          <w:szCs w:val="32"/>
        </w:rPr>
      </w:pPr>
    </w:p>
    <w:p w14:paraId="74E96ACD">
      <w:pPr>
        <w:spacing w:line="520" w:lineRule="exact"/>
        <w:ind w:firstLine="640" w:firstLineChars="200"/>
        <w:rPr>
          <w:rFonts w:ascii="黑体" w:hAnsi="黑体" w:eastAsia="黑体"/>
          <w:sz w:val="32"/>
          <w:szCs w:val="32"/>
        </w:rPr>
      </w:pPr>
    </w:p>
    <w:p w14:paraId="1652945E">
      <w:pPr>
        <w:spacing w:line="520" w:lineRule="exact"/>
        <w:ind w:firstLine="640" w:firstLineChars="200"/>
        <w:rPr>
          <w:rFonts w:ascii="黑体" w:hAnsi="黑体" w:eastAsia="黑体"/>
          <w:sz w:val="32"/>
          <w:szCs w:val="32"/>
        </w:rPr>
      </w:pPr>
    </w:p>
    <w:p w14:paraId="312B6506">
      <w:pPr>
        <w:spacing w:line="520" w:lineRule="exact"/>
        <w:ind w:firstLine="640" w:firstLineChars="200"/>
        <w:outlineLvl w:val="1"/>
        <w:rPr>
          <w:rStyle w:val="27"/>
          <w:rFonts w:ascii="黑体" w:hAnsi="黑体" w:eastAsia="黑体"/>
          <w:b w:val="0"/>
        </w:rPr>
      </w:pPr>
      <w:bookmarkStart w:id="44" w:name="_Toc16904"/>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42"/>
      <w:bookmarkEnd w:id="43"/>
      <w:bookmarkEnd w:id="44"/>
    </w:p>
    <w:p w14:paraId="4ACA5D6E">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21年财政拨款收、支总计3,996.96万元。与</w:t>
      </w:r>
      <w:r>
        <w:rPr>
          <w:rFonts w:ascii="仿宋" w:hAnsi="仿宋" w:eastAsia="仿宋"/>
          <w:sz w:val="32"/>
          <w:szCs w:val="32"/>
        </w:rPr>
        <w:t>20</w:t>
      </w:r>
      <w:r>
        <w:rPr>
          <w:rFonts w:hint="eastAsia" w:ascii="仿宋" w:hAnsi="仿宋" w:eastAsia="仿宋"/>
          <w:sz w:val="32"/>
          <w:szCs w:val="32"/>
        </w:rPr>
        <w:t>20年财政拨款收、支总计3,333.59万元相比，财政拨款收、支总计各增加663.37万元，增长19.9</w:t>
      </w:r>
      <w:r>
        <w:rPr>
          <w:rFonts w:ascii="仿宋" w:hAnsi="仿宋" w:eastAsia="仿宋"/>
          <w:sz w:val="32"/>
          <w:szCs w:val="32"/>
        </w:rPr>
        <w:t>%</w:t>
      </w:r>
      <w:r>
        <w:rPr>
          <w:rFonts w:hint="eastAsia" w:ascii="仿宋" w:hAnsi="仿宋" w:eastAsia="仿宋"/>
          <w:sz w:val="32"/>
          <w:szCs w:val="32"/>
        </w:rPr>
        <w:t>。主要变动原因是教师工资调整，职称变动，社保基数调整，2020年末结余结转。</w:t>
      </w:r>
    </w:p>
    <w:p w14:paraId="0D9E0FE5">
      <w:pPr>
        <w:spacing w:line="52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79D91CAA">
      <w:pPr>
        <w:spacing w:line="520" w:lineRule="exact"/>
        <w:ind w:firstLine="640"/>
        <w:rPr>
          <w:rFonts w:ascii="仿宋" w:hAnsi="仿宋" w:eastAsia="仿宋"/>
          <w:b/>
          <w:sz w:val="32"/>
          <w:szCs w:val="32"/>
        </w:rPr>
      </w:pPr>
    </w:p>
    <w:p w14:paraId="2A245EAD">
      <w:pPr>
        <w:pStyle w:val="2"/>
        <w:spacing w:before="93"/>
      </w:pPr>
      <w:r>
        <w:drawing>
          <wp:inline distT="0" distB="0" distL="114300" distR="114300">
            <wp:extent cx="3390900" cy="181927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3390900" cy="1819275"/>
                    </a:xfrm>
                    <a:prstGeom prst="rect">
                      <a:avLst/>
                    </a:prstGeom>
                    <a:noFill/>
                    <a:ln>
                      <a:noFill/>
                    </a:ln>
                  </pic:spPr>
                </pic:pic>
              </a:graphicData>
            </a:graphic>
          </wp:inline>
        </w:drawing>
      </w:r>
    </w:p>
    <w:p w14:paraId="7B09F6BC">
      <w:pPr>
        <w:spacing w:line="520" w:lineRule="exact"/>
        <w:ind w:firstLine="640" w:firstLineChars="200"/>
        <w:rPr>
          <w:rFonts w:ascii="黑体" w:hAnsi="黑体" w:eastAsia="黑体"/>
          <w:sz w:val="32"/>
          <w:szCs w:val="32"/>
        </w:rPr>
      </w:pPr>
      <w:bookmarkStart w:id="45" w:name="_Toc15396607"/>
      <w:bookmarkStart w:id="46" w:name="_Toc15377209"/>
    </w:p>
    <w:p w14:paraId="29128612">
      <w:pPr>
        <w:spacing w:line="520" w:lineRule="exact"/>
        <w:ind w:firstLine="640" w:firstLineChars="200"/>
        <w:outlineLvl w:val="1"/>
        <w:rPr>
          <w:rStyle w:val="27"/>
          <w:rFonts w:ascii="黑体" w:hAnsi="黑体" w:eastAsia="黑体"/>
          <w:b w:val="0"/>
        </w:rPr>
      </w:pPr>
      <w:bookmarkStart w:id="47" w:name="_Toc1693"/>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45"/>
      <w:bookmarkEnd w:id="46"/>
      <w:bookmarkEnd w:id="47"/>
    </w:p>
    <w:p w14:paraId="7D7A6A47">
      <w:pPr>
        <w:spacing w:line="520" w:lineRule="exact"/>
        <w:ind w:firstLine="643" w:firstLineChars="200"/>
        <w:outlineLvl w:val="2"/>
        <w:rPr>
          <w:rFonts w:ascii="仿宋" w:hAnsi="仿宋" w:eastAsia="仿宋"/>
          <w:b/>
          <w:sz w:val="32"/>
          <w:szCs w:val="32"/>
        </w:rPr>
      </w:pPr>
      <w:bookmarkStart w:id="48" w:name="_Toc15377210"/>
      <w:r>
        <w:rPr>
          <w:rFonts w:hint="eastAsia" w:ascii="仿宋" w:hAnsi="仿宋" w:eastAsia="仿宋"/>
          <w:b/>
          <w:sz w:val="32"/>
          <w:szCs w:val="32"/>
        </w:rPr>
        <w:t>（一）一般公共预算财政拨款支出决算总体情况</w:t>
      </w:r>
      <w:bookmarkEnd w:id="48"/>
    </w:p>
    <w:p w14:paraId="6680881F">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21年一般公共预算财政拨款支出3,905.33万元，占本年支出合计的100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20年一般公共预算财政拨款支出3,276.27万元相比，一般公共预算财政拨款支出增加629.06万元，增长19.2</w:t>
      </w:r>
      <w:r>
        <w:rPr>
          <w:rFonts w:ascii="仿宋" w:hAnsi="仿宋" w:eastAsia="仿宋"/>
          <w:sz w:val="32"/>
          <w:szCs w:val="32"/>
        </w:rPr>
        <w:t>%</w:t>
      </w:r>
      <w:r>
        <w:rPr>
          <w:rFonts w:hint="eastAsia" w:ascii="仿宋" w:hAnsi="仿宋" w:eastAsia="仿宋"/>
          <w:sz w:val="32"/>
          <w:szCs w:val="32"/>
        </w:rPr>
        <w:t>。主要变动原因是主要变动原因是教师工资调整，职称变动，社保基数调整，2020年末结余结转。</w:t>
      </w:r>
    </w:p>
    <w:p w14:paraId="1C7D1F6A">
      <w:pPr>
        <w:spacing w:line="520" w:lineRule="exact"/>
        <w:ind w:firstLine="420" w:firstLineChars="20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266700</wp:posOffset>
            </wp:positionH>
            <wp:positionV relativeFrom="paragraph">
              <wp:posOffset>524510</wp:posOffset>
            </wp:positionV>
            <wp:extent cx="2819400" cy="12001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819400" cy="1200150"/>
                    </a:xfrm>
                    <a:prstGeom prst="rect">
                      <a:avLst/>
                    </a:prstGeom>
                    <a:noFill/>
                    <a:ln>
                      <a:noFill/>
                    </a:ln>
                  </pic:spPr>
                </pic:pic>
              </a:graphicData>
            </a:graphic>
          </wp:anchor>
        </w:drawing>
      </w:r>
      <w:r>
        <w:rPr>
          <w:rFonts w:hint="eastAsia" w:ascii="仿宋" w:hAnsi="仿宋" w:eastAsia="仿宋"/>
          <w:sz w:val="32"/>
          <w:szCs w:val="32"/>
        </w:rPr>
        <w:t>（图5：一般公共预算财政拨款支出决算变动情况）</w:t>
      </w:r>
    </w:p>
    <w:p w14:paraId="46597D27">
      <w:pPr>
        <w:pStyle w:val="2"/>
        <w:spacing w:before="93"/>
      </w:pPr>
    </w:p>
    <w:p w14:paraId="5F8B0694">
      <w:pPr>
        <w:spacing w:line="520" w:lineRule="exact"/>
        <w:ind w:firstLine="640" w:firstLineChars="200"/>
        <w:rPr>
          <w:rFonts w:ascii="仿宋" w:hAnsi="仿宋" w:eastAsia="仿宋"/>
          <w:sz w:val="32"/>
          <w:szCs w:val="32"/>
        </w:rPr>
      </w:pPr>
    </w:p>
    <w:p w14:paraId="0146DCC7">
      <w:pPr>
        <w:spacing w:line="520" w:lineRule="exact"/>
        <w:ind w:firstLine="643" w:firstLineChars="200"/>
        <w:rPr>
          <w:rFonts w:ascii="仿宋" w:hAnsi="仿宋" w:eastAsia="仿宋"/>
          <w:b/>
          <w:sz w:val="32"/>
          <w:szCs w:val="32"/>
        </w:rPr>
      </w:pPr>
      <w:bookmarkStart w:id="49" w:name="_Toc15377211"/>
    </w:p>
    <w:p w14:paraId="202BAB3A">
      <w:pPr>
        <w:spacing w:line="520" w:lineRule="exact"/>
        <w:ind w:firstLine="643" w:firstLineChars="200"/>
        <w:rPr>
          <w:rFonts w:ascii="仿宋" w:hAnsi="仿宋" w:eastAsia="仿宋"/>
          <w:b/>
          <w:sz w:val="32"/>
          <w:szCs w:val="32"/>
        </w:rPr>
      </w:pPr>
    </w:p>
    <w:p w14:paraId="35CE7CF6">
      <w:pPr>
        <w:spacing w:line="52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9"/>
    </w:p>
    <w:p w14:paraId="60815AEB">
      <w:pPr>
        <w:spacing w:line="52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21年一般公共预算财政拨款支出3,905.33万元，主要用于以下方面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3,246.33万元，占83.13</w:t>
      </w:r>
      <w:r>
        <w:rPr>
          <w:rFonts w:ascii="仿宋" w:hAnsi="仿宋" w:eastAsia="仿宋"/>
          <w:sz w:val="32"/>
          <w:szCs w:val="32"/>
        </w:rPr>
        <w:t>%</w:t>
      </w:r>
      <w:r>
        <w:rPr>
          <w:rFonts w:hint="eastAsia" w:ascii="仿宋" w:hAnsi="仿宋" w:eastAsia="仿宋"/>
          <w:sz w:val="32"/>
          <w:szCs w:val="32"/>
        </w:rPr>
        <w:t>；教育费附加安排的支出(类)57.65万元，占1.48%；</w:t>
      </w:r>
      <w:r>
        <w:rPr>
          <w:rFonts w:hint="eastAsia" w:ascii="仿宋" w:hAnsi="仿宋" w:eastAsia="仿宋"/>
          <w:b/>
          <w:sz w:val="32"/>
          <w:szCs w:val="32"/>
        </w:rPr>
        <w:t>社会保障和就业（类）</w:t>
      </w:r>
      <w:r>
        <w:rPr>
          <w:rFonts w:hint="eastAsia" w:ascii="仿宋" w:hAnsi="仿宋" w:eastAsia="仿宋"/>
          <w:sz w:val="32"/>
          <w:szCs w:val="32"/>
        </w:rPr>
        <w:t>支出311.66万元，占7.98</w:t>
      </w:r>
      <w:r>
        <w:rPr>
          <w:rFonts w:ascii="仿宋" w:hAnsi="仿宋" w:eastAsia="仿宋"/>
          <w:sz w:val="32"/>
          <w:szCs w:val="32"/>
        </w:rPr>
        <w:t>%</w:t>
      </w:r>
      <w:r>
        <w:rPr>
          <w:rFonts w:hint="eastAsia" w:ascii="仿宋" w:hAnsi="仿宋" w:eastAsia="仿宋"/>
          <w:sz w:val="32"/>
          <w:szCs w:val="32"/>
        </w:rPr>
        <w:t>；住房保障支出289.7万元，占7.42</w:t>
      </w:r>
      <w:r>
        <w:rPr>
          <w:rFonts w:ascii="仿宋" w:hAnsi="仿宋" w:eastAsia="仿宋"/>
          <w:sz w:val="32"/>
          <w:szCs w:val="32"/>
        </w:rPr>
        <w:t>%</w:t>
      </w:r>
      <w:r>
        <w:rPr>
          <w:rFonts w:hint="eastAsia" w:ascii="仿宋" w:hAnsi="仿宋" w:eastAsia="仿宋"/>
          <w:sz w:val="32"/>
          <w:szCs w:val="32"/>
        </w:rPr>
        <w:t>；抚恤(类)0.07万元。</w:t>
      </w:r>
    </w:p>
    <w:p w14:paraId="1B87CE51">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205类02款02项  小学教育支出</w:t>
      </w:r>
      <w:r>
        <w:rPr>
          <w:rFonts w:hint="eastAsia" w:ascii="仿宋" w:hAnsi="仿宋" w:eastAsia="仿宋"/>
          <w:sz w:val="32"/>
          <w:szCs w:val="32"/>
        </w:rPr>
        <w:t>3,241.68</w:t>
      </w:r>
      <w:r>
        <w:rPr>
          <w:rFonts w:hint="eastAsia" w:ascii="仿宋" w:hAnsi="仿宋" w:eastAsia="仿宋"/>
          <w:b/>
          <w:color w:val="000000"/>
          <w:sz w:val="32"/>
          <w:szCs w:val="32"/>
        </w:rPr>
        <w:t>万元</w:t>
      </w:r>
    </w:p>
    <w:p w14:paraId="6EE005D6">
      <w:pPr>
        <w:pStyle w:val="2"/>
        <w:spacing w:before="93"/>
        <w:ind w:firstLine="643" w:firstLineChars="200"/>
        <w:rPr>
          <w:rFonts w:ascii="仿宋" w:hAnsi="仿宋" w:eastAsia="仿宋"/>
          <w:b/>
          <w:color w:val="000000"/>
          <w:sz w:val="32"/>
          <w:szCs w:val="32"/>
        </w:rPr>
      </w:pPr>
      <w:r>
        <w:rPr>
          <w:rFonts w:hint="eastAsia" w:ascii="仿宋" w:hAnsi="仿宋" w:eastAsia="仿宋"/>
          <w:b/>
          <w:color w:val="000000"/>
          <w:sz w:val="32"/>
          <w:szCs w:val="32"/>
        </w:rPr>
        <w:t>205类02款01项  学前教育支出4.65万元</w:t>
      </w:r>
    </w:p>
    <w:p w14:paraId="6E78C37E">
      <w:pPr>
        <w:pStyle w:val="2"/>
        <w:spacing w:before="93"/>
        <w:ind w:firstLine="643" w:firstLineChars="200"/>
        <w:rPr>
          <w:rFonts w:ascii="仿宋" w:hAnsi="仿宋" w:eastAsia="仿宋"/>
          <w:b/>
          <w:color w:val="000000"/>
          <w:sz w:val="32"/>
          <w:szCs w:val="32"/>
        </w:rPr>
      </w:pPr>
      <w:r>
        <w:rPr>
          <w:rFonts w:ascii="仿宋" w:hAnsi="仿宋" w:eastAsia="仿宋"/>
          <w:b/>
          <w:color w:val="000000"/>
          <w:sz w:val="32"/>
          <w:szCs w:val="32"/>
        </w:rPr>
        <w:t>205</w:t>
      </w:r>
      <w:r>
        <w:rPr>
          <w:rFonts w:hint="eastAsia" w:ascii="仿宋" w:hAnsi="仿宋" w:eastAsia="仿宋"/>
          <w:b/>
          <w:color w:val="000000"/>
          <w:sz w:val="32"/>
          <w:szCs w:val="32"/>
        </w:rPr>
        <w:t>类</w:t>
      </w:r>
      <w:r>
        <w:rPr>
          <w:rFonts w:ascii="仿宋" w:hAnsi="仿宋" w:eastAsia="仿宋"/>
          <w:b/>
          <w:color w:val="000000"/>
          <w:sz w:val="32"/>
          <w:szCs w:val="32"/>
        </w:rPr>
        <w:t>09</w:t>
      </w:r>
      <w:r>
        <w:rPr>
          <w:rFonts w:hint="eastAsia" w:ascii="仿宋" w:hAnsi="仿宋" w:eastAsia="仿宋"/>
          <w:b/>
          <w:color w:val="000000"/>
          <w:sz w:val="32"/>
          <w:szCs w:val="32"/>
        </w:rPr>
        <w:t>款</w:t>
      </w:r>
      <w:r>
        <w:rPr>
          <w:rFonts w:ascii="仿宋" w:hAnsi="仿宋" w:eastAsia="仿宋"/>
          <w:b/>
          <w:color w:val="000000"/>
          <w:sz w:val="32"/>
          <w:szCs w:val="32"/>
        </w:rPr>
        <w:t>99</w:t>
      </w:r>
      <w:r>
        <w:rPr>
          <w:rFonts w:hint="eastAsia" w:ascii="仿宋" w:hAnsi="仿宋" w:eastAsia="仿宋"/>
          <w:b/>
          <w:color w:val="000000"/>
          <w:sz w:val="32"/>
          <w:szCs w:val="32"/>
        </w:rPr>
        <w:t>项  其他教育费附加安排的支出57.65万元</w:t>
      </w:r>
    </w:p>
    <w:p w14:paraId="29E14AEC">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208类05款05项  机关事业单位基本养老保险缴费支出291.1万元</w:t>
      </w:r>
    </w:p>
    <w:p w14:paraId="70DAC194">
      <w:pPr>
        <w:pStyle w:val="2"/>
        <w:spacing w:before="93"/>
        <w:ind w:firstLine="643" w:firstLineChars="200"/>
        <w:rPr>
          <w:rFonts w:ascii="仿宋" w:hAnsi="仿宋" w:eastAsia="仿宋"/>
          <w:b/>
          <w:color w:val="000000"/>
          <w:sz w:val="32"/>
          <w:szCs w:val="32"/>
        </w:rPr>
      </w:pPr>
      <w:r>
        <w:rPr>
          <w:rFonts w:hint="eastAsia" w:ascii="仿宋" w:hAnsi="仿宋" w:eastAsia="仿宋"/>
          <w:b/>
          <w:color w:val="000000"/>
          <w:sz w:val="32"/>
          <w:szCs w:val="32"/>
        </w:rPr>
        <w:t>208类05款06项  机关事业单位职业年金缴费支出20.49万元</w:t>
      </w:r>
    </w:p>
    <w:p w14:paraId="05B0D3BB">
      <w:pPr>
        <w:pStyle w:val="2"/>
        <w:spacing w:before="93"/>
        <w:ind w:firstLine="643" w:firstLineChars="200"/>
        <w:rPr>
          <w:rFonts w:ascii="仿宋" w:hAnsi="仿宋" w:eastAsia="仿宋"/>
          <w:b/>
          <w:color w:val="000000"/>
          <w:sz w:val="32"/>
          <w:szCs w:val="32"/>
        </w:rPr>
      </w:pPr>
      <w:r>
        <w:rPr>
          <w:rFonts w:ascii="仿宋" w:hAnsi="仿宋" w:eastAsia="仿宋"/>
          <w:b/>
          <w:color w:val="000000"/>
          <w:sz w:val="32"/>
          <w:szCs w:val="32"/>
        </w:rPr>
        <w:t>208</w:t>
      </w:r>
      <w:r>
        <w:rPr>
          <w:rFonts w:hint="eastAsia" w:ascii="仿宋" w:hAnsi="仿宋" w:eastAsia="仿宋"/>
          <w:b/>
          <w:color w:val="000000"/>
          <w:sz w:val="32"/>
          <w:szCs w:val="32"/>
        </w:rPr>
        <w:t>类</w:t>
      </w:r>
      <w:r>
        <w:rPr>
          <w:rFonts w:ascii="仿宋" w:hAnsi="仿宋" w:eastAsia="仿宋"/>
          <w:b/>
          <w:color w:val="000000"/>
          <w:sz w:val="32"/>
          <w:szCs w:val="32"/>
        </w:rPr>
        <w:t>08</w:t>
      </w:r>
      <w:r>
        <w:rPr>
          <w:rFonts w:hint="eastAsia" w:ascii="仿宋" w:hAnsi="仿宋" w:eastAsia="仿宋"/>
          <w:b/>
          <w:color w:val="000000"/>
          <w:sz w:val="32"/>
          <w:szCs w:val="32"/>
        </w:rPr>
        <w:t>款</w:t>
      </w:r>
      <w:r>
        <w:rPr>
          <w:rFonts w:ascii="仿宋" w:hAnsi="仿宋" w:eastAsia="仿宋"/>
          <w:b/>
          <w:color w:val="000000"/>
          <w:sz w:val="32"/>
          <w:szCs w:val="32"/>
        </w:rPr>
        <w:t>02</w:t>
      </w:r>
      <w:r>
        <w:rPr>
          <w:rFonts w:hint="eastAsia" w:ascii="仿宋" w:hAnsi="仿宋" w:eastAsia="仿宋"/>
          <w:b/>
          <w:color w:val="000000"/>
          <w:sz w:val="32"/>
          <w:szCs w:val="32"/>
        </w:rPr>
        <w:t>项    伤残抚恤0.07万元</w:t>
      </w:r>
    </w:p>
    <w:p w14:paraId="1890A634">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221类02款01项  住房公积金支出289.7万元</w:t>
      </w:r>
    </w:p>
    <w:p w14:paraId="77EF7F8C">
      <w:pPr>
        <w:spacing w:line="520" w:lineRule="exact"/>
        <w:ind w:firstLine="420" w:firstLineChars="200"/>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371475</wp:posOffset>
            </wp:positionH>
            <wp:positionV relativeFrom="paragraph">
              <wp:posOffset>327660</wp:posOffset>
            </wp:positionV>
            <wp:extent cx="3038475" cy="18859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3038475" cy="1885950"/>
                    </a:xfrm>
                    <a:prstGeom prst="rect">
                      <a:avLst/>
                    </a:prstGeom>
                    <a:noFill/>
                    <a:ln>
                      <a:noFill/>
                    </a:ln>
                  </pic:spPr>
                </pic:pic>
              </a:graphicData>
            </a:graphic>
          </wp:anchor>
        </w:drawing>
      </w:r>
      <w:r>
        <w:rPr>
          <w:rFonts w:hint="eastAsia" w:ascii="仿宋" w:hAnsi="仿宋" w:eastAsia="仿宋"/>
          <w:sz w:val="32"/>
          <w:szCs w:val="32"/>
        </w:rPr>
        <w:t>（图6：一般公共预算财政拨款支出决算结构）</w:t>
      </w:r>
    </w:p>
    <w:p w14:paraId="270F7E2B">
      <w:pPr>
        <w:spacing w:line="520" w:lineRule="exact"/>
        <w:ind w:firstLine="640" w:firstLineChars="200"/>
        <w:rPr>
          <w:rFonts w:ascii="仿宋" w:hAnsi="仿宋" w:eastAsia="仿宋"/>
          <w:sz w:val="32"/>
          <w:szCs w:val="32"/>
        </w:rPr>
      </w:pPr>
    </w:p>
    <w:p w14:paraId="23C01E66">
      <w:pPr>
        <w:pStyle w:val="2"/>
        <w:spacing w:before="93"/>
      </w:pPr>
    </w:p>
    <w:p w14:paraId="1B28467B">
      <w:pPr>
        <w:spacing w:line="520" w:lineRule="exact"/>
        <w:ind w:firstLine="643" w:firstLineChars="200"/>
        <w:rPr>
          <w:rFonts w:ascii="仿宋" w:hAnsi="仿宋" w:eastAsia="仿宋"/>
          <w:b/>
          <w:sz w:val="32"/>
          <w:szCs w:val="32"/>
        </w:rPr>
      </w:pPr>
      <w:bookmarkStart w:id="50" w:name="_Toc15377212"/>
    </w:p>
    <w:p w14:paraId="7C6DBDB3">
      <w:pPr>
        <w:spacing w:line="520" w:lineRule="exact"/>
        <w:ind w:firstLine="643" w:firstLineChars="200"/>
        <w:rPr>
          <w:rFonts w:ascii="仿宋" w:hAnsi="仿宋" w:eastAsia="仿宋"/>
          <w:b/>
          <w:sz w:val="32"/>
          <w:szCs w:val="32"/>
        </w:rPr>
      </w:pPr>
    </w:p>
    <w:p w14:paraId="02D0C13E">
      <w:pPr>
        <w:spacing w:line="520" w:lineRule="exact"/>
        <w:ind w:firstLine="643" w:firstLineChars="200"/>
        <w:rPr>
          <w:rFonts w:ascii="仿宋" w:hAnsi="仿宋" w:eastAsia="仿宋"/>
          <w:b/>
          <w:sz w:val="32"/>
          <w:szCs w:val="32"/>
        </w:rPr>
      </w:pPr>
    </w:p>
    <w:p w14:paraId="30A8A228">
      <w:pPr>
        <w:spacing w:line="52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50"/>
    </w:p>
    <w:p w14:paraId="0DABB81F">
      <w:pPr>
        <w:spacing w:line="500" w:lineRule="exact"/>
        <w:ind w:firstLine="643" w:firstLineChars="200"/>
        <w:outlineLvl w:val="1"/>
        <w:rPr>
          <w:rFonts w:ascii="仿宋" w:hAnsi="仿宋" w:eastAsia="仿宋"/>
          <w:sz w:val="32"/>
          <w:szCs w:val="32"/>
        </w:rPr>
      </w:pPr>
      <w:bookmarkStart w:id="51" w:name="_Toc6920"/>
      <w:bookmarkStart w:id="52" w:name="_Toc12500"/>
      <w:r>
        <w:rPr>
          <w:rFonts w:hint="eastAsia" w:ascii="仿宋" w:hAnsi="仿宋" w:eastAsia="仿宋"/>
          <w:b/>
          <w:sz w:val="32"/>
          <w:szCs w:val="32"/>
        </w:rPr>
        <w:t>2021年一般公共预算支出决算数为</w:t>
      </w:r>
      <w:r>
        <w:rPr>
          <w:rFonts w:hint="eastAsia" w:ascii="仿宋" w:hAnsi="仿宋" w:eastAsia="仿宋"/>
          <w:sz w:val="32"/>
          <w:szCs w:val="32"/>
        </w:rPr>
        <w:t>3,996.96万元，</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51"/>
      <w:bookmarkEnd w:id="52"/>
    </w:p>
    <w:p w14:paraId="395EE39B">
      <w:pPr>
        <w:numPr>
          <w:ilvl w:val="0"/>
          <w:numId w:val="3"/>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教育205（类）02（款）02（项）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Fonts w:hint="eastAsia" w:ascii="仿宋" w:hAnsi="仿宋" w:eastAsia="仿宋"/>
          <w:sz w:val="32"/>
          <w:szCs w:val="32"/>
        </w:rPr>
        <w:t>3,318.67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C322C75">
      <w:pPr>
        <w:pStyle w:val="2"/>
        <w:spacing w:before="93" w:line="440" w:lineRule="exact"/>
        <w:ind w:firstLine="643" w:firstLineChars="200"/>
        <w:rPr>
          <w:rStyle w:val="16"/>
          <w:rFonts w:ascii="仿宋" w:hAnsi="仿宋" w:eastAsia="仿宋"/>
          <w:color w:val="000000"/>
          <w:sz w:val="32"/>
          <w:szCs w:val="32"/>
        </w:rPr>
      </w:pPr>
      <w:r>
        <w:rPr>
          <w:rStyle w:val="16"/>
          <w:rFonts w:hint="eastAsia" w:ascii="仿宋" w:hAnsi="仿宋" w:eastAsia="仿宋"/>
          <w:color w:val="000000"/>
          <w:sz w:val="32"/>
          <w:szCs w:val="32"/>
        </w:rPr>
        <w:t>（1）其中人员经费支出3,205.6万元，分别为：</w:t>
      </w:r>
    </w:p>
    <w:p w14:paraId="5DC4525A">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30101基本工资支出为938万元；</w:t>
      </w:r>
    </w:p>
    <w:p w14:paraId="7F04E00B">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30102津贴补贴支出为205.08万元；</w:t>
      </w:r>
    </w:p>
    <w:p w14:paraId="5C9AD045">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30107绩效工资支出为942.35万元</w:t>
      </w:r>
    </w:p>
    <w:p w14:paraId="4FEE630B">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30108机关事业单位基本养老保险费</w:t>
      </w:r>
      <w:r>
        <w:rPr>
          <w:rStyle w:val="16"/>
          <w:rFonts w:hint="eastAsia" w:ascii="仿宋" w:hAnsi="仿宋" w:eastAsia="仿宋"/>
          <w:b w:val="0"/>
          <w:bCs/>
          <w:color w:val="000000"/>
          <w:sz w:val="32"/>
          <w:szCs w:val="32"/>
        </w:rPr>
        <w:t>支出为</w:t>
      </w:r>
      <w:r>
        <w:rPr>
          <w:rStyle w:val="16"/>
          <w:rFonts w:ascii="仿宋" w:hAnsi="仿宋" w:eastAsia="仿宋"/>
          <w:b w:val="0"/>
          <w:bCs/>
          <w:color w:val="000000"/>
          <w:sz w:val="32"/>
          <w:szCs w:val="32"/>
        </w:rPr>
        <w:t>291.17</w:t>
      </w:r>
      <w:r>
        <w:rPr>
          <w:rStyle w:val="16"/>
          <w:rFonts w:hint="eastAsia" w:ascii="仿宋" w:hAnsi="仿宋" w:eastAsia="仿宋"/>
          <w:b w:val="0"/>
          <w:bCs/>
          <w:color w:val="000000"/>
          <w:sz w:val="32"/>
          <w:szCs w:val="32"/>
        </w:rPr>
        <w:t>万元</w:t>
      </w:r>
    </w:p>
    <w:p w14:paraId="3E735F28">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30109职业年金缴费支出为20.49万元</w:t>
      </w:r>
    </w:p>
    <w:p w14:paraId="7473CE89">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w:t>
      </w:r>
      <w:r>
        <w:rPr>
          <w:rStyle w:val="16"/>
          <w:rFonts w:ascii="仿宋" w:hAnsi="仿宋" w:eastAsia="仿宋"/>
          <w:b w:val="0"/>
          <w:bCs/>
          <w:color w:val="000000"/>
          <w:sz w:val="32"/>
          <w:szCs w:val="32"/>
        </w:rPr>
        <w:t>30110职工基本医疗保险缴费</w:t>
      </w:r>
      <w:r>
        <w:rPr>
          <w:rStyle w:val="16"/>
          <w:rFonts w:hint="eastAsia" w:ascii="仿宋" w:hAnsi="仿宋" w:eastAsia="仿宋"/>
          <w:b w:val="0"/>
          <w:bCs/>
          <w:color w:val="000000"/>
          <w:sz w:val="32"/>
          <w:szCs w:val="32"/>
        </w:rPr>
        <w:t>支出为</w:t>
      </w:r>
      <w:r>
        <w:rPr>
          <w:rStyle w:val="16"/>
          <w:rFonts w:ascii="仿宋" w:hAnsi="仿宋" w:eastAsia="仿宋"/>
          <w:b w:val="0"/>
          <w:bCs/>
          <w:color w:val="000000"/>
          <w:sz w:val="32"/>
          <w:szCs w:val="32"/>
        </w:rPr>
        <w:t>160.49</w:t>
      </w:r>
      <w:r>
        <w:rPr>
          <w:rStyle w:val="16"/>
          <w:rFonts w:hint="eastAsia" w:ascii="仿宋" w:hAnsi="仿宋" w:eastAsia="仿宋"/>
          <w:b w:val="0"/>
          <w:bCs/>
          <w:color w:val="000000"/>
          <w:sz w:val="32"/>
          <w:szCs w:val="32"/>
        </w:rPr>
        <w:t>万元</w:t>
      </w:r>
    </w:p>
    <w:p w14:paraId="0B02BB2D">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30111公务员医疗补助缴费支出为16.64万元</w:t>
      </w:r>
    </w:p>
    <w:p w14:paraId="1BC6723D">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30112其他社会保障缴费支出为32.76万元</w:t>
      </w:r>
    </w:p>
    <w:p w14:paraId="2F41BECA">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30113住房公积金支出为289.7万元</w:t>
      </w:r>
    </w:p>
    <w:p w14:paraId="7D7B7375">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w:t>
      </w:r>
      <w:r>
        <w:rPr>
          <w:rStyle w:val="16"/>
          <w:rFonts w:ascii="仿宋" w:hAnsi="仿宋" w:eastAsia="仿宋"/>
          <w:b w:val="0"/>
          <w:bCs/>
          <w:color w:val="000000"/>
          <w:sz w:val="32"/>
          <w:szCs w:val="32"/>
        </w:rPr>
        <w:t>30199其他工资福利支出</w:t>
      </w:r>
      <w:r>
        <w:rPr>
          <w:rStyle w:val="16"/>
          <w:rFonts w:hint="eastAsia" w:ascii="仿宋" w:hAnsi="仿宋" w:eastAsia="仿宋"/>
          <w:b w:val="0"/>
          <w:bCs/>
          <w:color w:val="000000"/>
          <w:sz w:val="32"/>
          <w:szCs w:val="32"/>
        </w:rPr>
        <w:t>为147.72万元</w:t>
      </w:r>
    </w:p>
    <w:p w14:paraId="03089AE5">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30304抚恤金支出为0.07万元</w:t>
      </w:r>
    </w:p>
    <w:p w14:paraId="5B6A335C">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30305生活补助</w:t>
      </w:r>
      <w:r>
        <w:rPr>
          <w:rStyle w:val="16"/>
          <w:rFonts w:hint="eastAsia" w:ascii="仿宋" w:hAnsi="仿宋" w:eastAsia="仿宋"/>
          <w:b w:val="0"/>
          <w:bCs/>
          <w:color w:val="000000"/>
          <w:sz w:val="32"/>
          <w:szCs w:val="32"/>
        </w:rPr>
        <w:t>支出为</w:t>
      </w:r>
      <w:r>
        <w:rPr>
          <w:rStyle w:val="16"/>
          <w:rFonts w:ascii="仿宋" w:hAnsi="仿宋" w:eastAsia="仿宋"/>
          <w:b w:val="0"/>
          <w:bCs/>
          <w:color w:val="000000"/>
          <w:sz w:val="32"/>
          <w:szCs w:val="32"/>
        </w:rPr>
        <w:t>148.6</w:t>
      </w:r>
      <w:r>
        <w:rPr>
          <w:rStyle w:val="16"/>
          <w:rFonts w:hint="eastAsia" w:ascii="仿宋" w:hAnsi="仿宋" w:eastAsia="仿宋"/>
          <w:b w:val="0"/>
          <w:bCs/>
          <w:color w:val="000000"/>
          <w:sz w:val="32"/>
          <w:szCs w:val="32"/>
        </w:rPr>
        <w:t>万元</w:t>
      </w:r>
    </w:p>
    <w:p w14:paraId="32214C3F">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30307</w:t>
      </w:r>
      <w:r>
        <w:rPr>
          <w:rStyle w:val="16"/>
          <w:rFonts w:ascii="仿宋" w:hAnsi="仿宋" w:eastAsia="仿宋"/>
          <w:b w:val="0"/>
          <w:bCs/>
          <w:color w:val="000000"/>
          <w:sz w:val="32"/>
          <w:szCs w:val="32"/>
        </w:rPr>
        <w:t>医疗费补助</w:t>
      </w:r>
      <w:r>
        <w:rPr>
          <w:rStyle w:val="16"/>
          <w:rFonts w:hint="eastAsia" w:ascii="仿宋" w:hAnsi="仿宋" w:eastAsia="仿宋"/>
          <w:b w:val="0"/>
          <w:bCs/>
          <w:color w:val="000000"/>
          <w:sz w:val="32"/>
          <w:szCs w:val="32"/>
        </w:rPr>
        <w:t>支出为3.91万元</w:t>
      </w:r>
    </w:p>
    <w:p w14:paraId="1DC6363D">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30309</w:t>
      </w:r>
      <w:r>
        <w:rPr>
          <w:rStyle w:val="16"/>
          <w:rFonts w:ascii="仿宋" w:hAnsi="仿宋" w:eastAsia="仿宋"/>
          <w:b w:val="0"/>
          <w:bCs/>
          <w:color w:val="000000"/>
          <w:sz w:val="32"/>
          <w:szCs w:val="32"/>
        </w:rPr>
        <w:t>奖励金</w:t>
      </w:r>
      <w:r>
        <w:rPr>
          <w:rStyle w:val="16"/>
          <w:rFonts w:hint="eastAsia" w:ascii="仿宋" w:hAnsi="仿宋" w:eastAsia="仿宋"/>
          <w:b w:val="0"/>
          <w:bCs/>
          <w:color w:val="000000"/>
          <w:sz w:val="32"/>
          <w:szCs w:val="32"/>
        </w:rPr>
        <w:t>支出为0.17万元</w:t>
      </w:r>
    </w:p>
    <w:p w14:paraId="7208BF7F">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30399</w:t>
      </w:r>
      <w:r>
        <w:rPr>
          <w:rStyle w:val="16"/>
          <w:rFonts w:ascii="仿宋" w:hAnsi="仿宋" w:eastAsia="仿宋"/>
          <w:b w:val="0"/>
          <w:bCs/>
          <w:color w:val="000000"/>
          <w:sz w:val="32"/>
          <w:szCs w:val="32"/>
        </w:rPr>
        <w:t>其他个人和家庭的补助支出8.52</w:t>
      </w:r>
    </w:p>
    <w:p w14:paraId="62B67571">
      <w:pPr>
        <w:pStyle w:val="2"/>
        <w:spacing w:before="93"/>
        <w:ind w:firstLine="643" w:firstLineChars="200"/>
        <w:rPr>
          <w:rStyle w:val="16"/>
          <w:rFonts w:ascii="仿宋" w:hAnsi="仿宋" w:eastAsia="仿宋"/>
          <w:color w:val="000000"/>
          <w:sz w:val="32"/>
          <w:szCs w:val="32"/>
        </w:rPr>
      </w:pPr>
      <w:r>
        <w:rPr>
          <w:rStyle w:val="16"/>
          <w:rFonts w:hint="eastAsia" w:ascii="仿宋" w:hAnsi="仿宋" w:eastAsia="仿宋"/>
          <w:color w:val="000000"/>
          <w:sz w:val="32"/>
          <w:szCs w:val="32"/>
        </w:rPr>
        <w:t>（2）</w:t>
      </w:r>
      <w:r>
        <w:rPr>
          <w:rStyle w:val="16"/>
          <w:rFonts w:ascii="仿宋" w:hAnsi="仿宋" w:eastAsia="仿宋"/>
          <w:color w:val="000000"/>
          <w:sz w:val="32"/>
          <w:szCs w:val="32"/>
        </w:rPr>
        <w:t>公用经费</w:t>
      </w:r>
      <w:r>
        <w:rPr>
          <w:rStyle w:val="16"/>
          <w:rFonts w:hint="eastAsia" w:ascii="仿宋" w:hAnsi="仿宋" w:eastAsia="仿宋"/>
          <w:color w:val="000000"/>
          <w:sz w:val="32"/>
          <w:szCs w:val="32"/>
        </w:rPr>
        <w:t>支出71.67万元，分别为：</w:t>
      </w:r>
    </w:p>
    <w:p w14:paraId="28C3D3E7">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30201办公费</w:t>
      </w:r>
      <w:r>
        <w:rPr>
          <w:rStyle w:val="16"/>
          <w:rFonts w:hint="eastAsia" w:ascii="仿宋" w:hAnsi="仿宋" w:eastAsia="仿宋"/>
          <w:b w:val="0"/>
          <w:bCs/>
          <w:color w:val="000000"/>
          <w:sz w:val="32"/>
          <w:szCs w:val="32"/>
        </w:rPr>
        <w:t>支出为1万元</w:t>
      </w:r>
    </w:p>
    <w:p w14:paraId="3A7BD6FD">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30213维修（护）费</w:t>
      </w:r>
      <w:r>
        <w:rPr>
          <w:rStyle w:val="16"/>
          <w:rFonts w:hint="eastAsia" w:ascii="仿宋" w:hAnsi="仿宋" w:eastAsia="仿宋"/>
          <w:b w:val="0"/>
          <w:bCs/>
          <w:color w:val="000000"/>
          <w:sz w:val="32"/>
          <w:szCs w:val="32"/>
        </w:rPr>
        <w:t>支出为1.91万元</w:t>
      </w:r>
    </w:p>
    <w:p w14:paraId="62E1971F">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30226劳务费支出为7.83万元</w:t>
      </w:r>
    </w:p>
    <w:p w14:paraId="79F15255">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30228工会经费</w:t>
      </w:r>
      <w:r>
        <w:rPr>
          <w:rStyle w:val="16"/>
          <w:rFonts w:hint="eastAsia" w:ascii="仿宋" w:hAnsi="仿宋" w:eastAsia="仿宋"/>
          <w:b w:val="0"/>
          <w:bCs/>
          <w:color w:val="000000"/>
          <w:sz w:val="32"/>
          <w:szCs w:val="32"/>
        </w:rPr>
        <w:t>支出为36.99万元</w:t>
      </w:r>
    </w:p>
    <w:p w14:paraId="090FD992">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30229</w:t>
      </w:r>
      <w:r>
        <w:rPr>
          <w:rStyle w:val="16"/>
          <w:rFonts w:hint="eastAsia" w:ascii="仿宋" w:hAnsi="仿宋" w:eastAsia="仿宋"/>
          <w:b w:val="0"/>
          <w:bCs/>
          <w:color w:val="000000"/>
          <w:sz w:val="32"/>
          <w:szCs w:val="32"/>
        </w:rPr>
        <w:t>福利费支出为23.94万元</w:t>
      </w:r>
    </w:p>
    <w:p w14:paraId="7CC8844E">
      <w:pPr>
        <w:pStyle w:val="2"/>
        <w:spacing w:before="93"/>
        <w:ind w:firstLine="640"/>
        <w:rPr>
          <w:rStyle w:val="16"/>
          <w:rFonts w:ascii="仿宋" w:hAnsi="仿宋" w:eastAsia="仿宋"/>
          <w:color w:val="000000"/>
          <w:sz w:val="32"/>
          <w:szCs w:val="32"/>
        </w:rPr>
      </w:pPr>
      <w:r>
        <w:rPr>
          <w:rStyle w:val="16"/>
          <w:rFonts w:hint="eastAsia" w:ascii="仿宋" w:hAnsi="仿宋" w:eastAsia="仿宋"/>
          <w:color w:val="000000"/>
          <w:sz w:val="32"/>
          <w:szCs w:val="32"/>
        </w:rPr>
        <w:t>（3）</w:t>
      </w:r>
      <w:r>
        <w:rPr>
          <w:rStyle w:val="16"/>
          <w:rFonts w:ascii="仿宋" w:hAnsi="仿宋" w:eastAsia="仿宋"/>
          <w:color w:val="000000"/>
          <w:sz w:val="32"/>
          <w:szCs w:val="32"/>
        </w:rPr>
        <w:t>资本性支出0.88</w:t>
      </w:r>
      <w:r>
        <w:rPr>
          <w:rStyle w:val="16"/>
          <w:rFonts w:hint="eastAsia" w:ascii="仿宋" w:hAnsi="仿宋" w:eastAsia="仿宋"/>
          <w:color w:val="000000"/>
          <w:sz w:val="32"/>
          <w:szCs w:val="32"/>
        </w:rPr>
        <w:t>万元，分别为：</w:t>
      </w:r>
    </w:p>
    <w:p w14:paraId="2996E542">
      <w:pPr>
        <w:pStyle w:val="2"/>
        <w:spacing w:before="93"/>
        <w:ind w:firstLine="640"/>
        <w:rPr>
          <w:rStyle w:val="16"/>
          <w:rFonts w:ascii="仿宋" w:hAnsi="仿宋" w:eastAsia="仿宋"/>
          <w:b w:val="0"/>
          <w:bCs/>
          <w:color w:val="000000"/>
          <w:sz w:val="32"/>
          <w:szCs w:val="32"/>
        </w:rPr>
      </w:pPr>
      <w:r>
        <w:rPr>
          <w:rStyle w:val="16"/>
          <w:rFonts w:ascii="仿宋" w:hAnsi="仿宋" w:eastAsia="仿宋"/>
          <w:b w:val="0"/>
          <w:bCs/>
          <w:color w:val="000000"/>
          <w:sz w:val="32"/>
          <w:szCs w:val="32"/>
        </w:rPr>
        <w:t>31002办公设备购置</w:t>
      </w:r>
      <w:r>
        <w:rPr>
          <w:rStyle w:val="16"/>
          <w:rFonts w:hint="eastAsia" w:ascii="仿宋" w:hAnsi="仿宋" w:eastAsia="仿宋"/>
          <w:b w:val="0"/>
          <w:bCs/>
          <w:color w:val="000000"/>
          <w:sz w:val="32"/>
          <w:szCs w:val="32"/>
        </w:rPr>
        <w:t>0.88万元</w:t>
      </w:r>
    </w:p>
    <w:p w14:paraId="0121315B">
      <w:pPr>
        <w:numPr>
          <w:ilvl w:val="0"/>
          <w:numId w:val="4"/>
        </w:numPr>
        <w:spacing w:line="600" w:lineRule="exact"/>
        <w:ind w:firstLine="643"/>
        <w:rPr>
          <w:rStyle w:val="16"/>
          <w:rFonts w:ascii="仿宋" w:hAnsi="仿宋" w:eastAsia="仿宋" w:cstheme="minorBidi"/>
          <w:color w:val="000000"/>
          <w:kern w:val="0"/>
          <w:sz w:val="32"/>
          <w:szCs w:val="32"/>
        </w:rPr>
      </w:pPr>
      <w:r>
        <w:rPr>
          <w:rStyle w:val="16"/>
          <w:rFonts w:hint="eastAsia" w:ascii="仿宋" w:hAnsi="仿宋" w:eastAsia="仿宋" w:cstheme="minorBidi"/>
          <w:color w:val="000000"/>
          <w:kern w:val="0"/>
          <w:sz w:val="32"/>
          <w:szCs w:val="32"/>
        </w:rPr>
        <w:t>学前教育205（类）02（款）01（项）：支出决算为4.65万元，完成预算100%</w:t>
      </w:r>
    </w:p>
    <w:p w14:paraId="0CFBA230">
      <w:pPr>
        <w:pStyle w:val="2"/>
        <w:spacing w:before="93"/>
        <w:rPr>
          <w:b/>
          <w:bCs/>
        </w:rPr>
      </w:pPr>
      <w:r>
        <w:rPr>
          <w:rFonts w:hint="eastAsia"/>
          <w:b/>
          <w:bCs/>
        </w:rPr>
        <w:t xml:space="preserve">   3、其他教育费附加安排的支出 205(类)09（款）99（项）支出决算数为61.72万元，完成预算100%</w:t>
      </w:r>
    </w:p>
    <w:p w14:paraId="641A0E26">
      <w:pPr>
        <w:spacing w:line="600" w:lineRule="exact"/>
        <w:ind w:left="630"/>
        <w:rPr>
          <w:rStyle w:val="16"/>
          <w:rFonts w:ascii="仿宋" w:hAnsi="仿宋" w:eastAsia="仿宋"/>
          <w:color w:val="000000"/>
          <w:sz w:val="32"/>
          <w:szCs w:val="32"/>
        </w:rPr>
      </w:pPr>
      <w:r>
        <w:rPr>
          <w:rStyle w:val="16"/>
          <w:rFonts w:hint="eastAsia" w:ascii="仿宋" w:hAnsi="仿宋" w:eastAsia="仿宋"/>
          <w:bCs/>
          <w:color w:val="000000"/>
          <w:sz w:val="32"/>
          <w:szCs w:val="32"/>
        </w:rPr>
        <w:t>4、保障和就业208（类）05（款）05（项）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w:t>
      </w:r>
      <w:r>
        <w:rPr>
          <w:rStyle w:val="16"/>
          <w:rFonts w:hint="eastAsia" w:ascii="仿宋" w:hAnsi="仿宋" w:eastAsia="仿宋"/>
          <w:color w:val="000000"/>
          <w:sz w:val="32"/>
          <w:szCs w:val="32"/>
        </w:rPr>
        <w:t>决算</w:t>
      </w:r>
    </w:p>
    <w:p w14:paraId="5385053C">
      <w:pPr>
        <w:spacing w:line="600" w:lineRule="exact"/>
        <w:rPr>
          <w:rStyle w:val="16"/>
          <w:rFonts w:ascii="仿宋" w:hAnsi="仿宋" w:eastAsia="仿宋"/>
          <w:color w:val="000000"/>
          <w:sz w:val="32"/>
          <w:szCs w:val="32"/>
        </w:rPr>
      </w:pPr>
      <w:r>
        <w:rPr>
          <w:rStyle w:val="16"/>
          <w:rFonts w:hint="eastAsia" w:ascii="仿宋" w:hAnsi="仿宋" w:eastAsia="仿宋"/>
          <w:color w:val="000000"/>
          <w:sz w:val="32"/>
          <w:szCs w:val="32"/>
        </w:rPr>
        <w:t>为291.1万元，完成预算100</w:t>
      </w:r>
      <w:r>
        <w:rPr>
          <w:rStyle w:val="16"/>
          <w:rFonts w:ascii="仿宋" w:hAnsi="仿宋" w:eastAsia="仿宋"/>
          <w:color w:val="000000"/>
          <w:sz w:val="32"/>
          <w:szCs w:val="32"/>
        </w:rPr>
        <w:t>%</w:t>
      </w:r>
      <w:r>
        <w:rPr>
          <w:rStyle w:val="16"/>
          <w:rFonts w:hint="eastAsia" w:ascii="仿宋" w:hAnsi="仿宋" w:eastAsia="仿宋"/>
          <w:color w:val="000000"/>
          <w:sz w:val="32"/>
          <w:szCs w:val="32"/>
        </w:rPr>
        <w:t>，</w:t>
      </w:r>
    </w:p>
    <w:p w14:paraId="6B67ED03">
      <w:pPr>
        <w:pStyle w:val="2"/>
        <w:spacing w:before="93"/>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5、208（类）05（款）06（项）</w:t>
      </w:r>
      <w:r>
        <w:rPr>
          <w:rFonts w:hint="eastAsia"/>
          <w:b/>
          <w:bCs/>
        </w:rPr>
        <w:t>机关事业单位职业年金缴费支出20.49万元，</w:t>
      </w:r>
      <w:r>
        <w:rPr>
          <w:rStyle w:val="16"/>
          <w:rFonts w:hint="eastAsia" w:ascii="仿宋" w:hAnsi="仿宋" w:eastAsia="仿宋"/>
          <w:bCs/>
          <w:color w:val="000000"/>
          <w:sz w:val="32"/>
          <w:szCs w:val="32"/>
        </w:rPr>
        <w:t>完成预算100</w:t>
      </w:r>
      <w:r>
        <w:rPr>
          <w:rStyle w:val="16"/>
          <w:rFonts w:ascii="仿宋" w:hAnsi="仿宋" w:eastAsia="仿宋"/>
          <w:bCs/>
          <w:color w:val="000000"/>
          <w:sz w:val="32"/>
          <w:szCs w:val="32"/>
        </w:rPr>
        <w:t>%</w:t>
      </w:r>
    </w:p>
    <w:p w14:paraId="2D3DE8FB">
      <w:pPr>
        <w:pStyle w:val="2"/>
        <w:spacing w:before="93"/>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6、208（类）08（款）02（项）伤残抚恤支出为0.07万元，完成预算100%</w:t>
      </w:r>
    </w:p>
    <w:p w14:paraId="7E4D42EC">
      <w:pPr>
        <w:numPr>
          <w:ilvl w:val="0"/>
          <w:numId w:val="5"/>
        </w:numPr>
        <w:spacing w:line="600" w:lineRule="exact"/>
        <w:ind w:firstLine="643"/>
        <w:rPr>
          <w:rStyle w:val="16"/>
          <w:rFonts w:ascii="仿宋" w:hAnsi="仿宋" w:eastAsia="仿宋"/>
          <w:bCs/>
          <w:color w:val="000000"/>
          <w:sz w:val="32"/>
          <w:szCs w:val="32"/>
        </w:rPr>
      </w:pPr>
      <w:r>
        <w:rPr>
          <w:rStyle w:val="16"/>
          <w:rFonts w:hint="eastAsia" w:ascii="仿宋" w:hAnsi="仿宋" w:eastAsia="仿宋"/>
          <w:bCs/>
          <w:color w:val="000000"/>
          <w:sz w:val="32"/>
          <w:szCs w:val="32"/>
        </w:rPr>
        <w:t>221（类）02（款）01（项）</w:t>
      </w:r>
      <w:r>
        <w:rPr>
          <w:rStyle w:val="16"/>
          <w:rFonts w:ascii="仿宋" w:hAnsi="仿宋" w:eastAsia="仿宋"/>
          <w:bCs/>
          <w:color w:val="000000"/>
          <w:sz w:val="32"/>
          <w:szCs w:val="32"/>
        </w:rPr>
        <w:t xml:space="preserve">: </w:t>
      </w:r>
      <w:r>
        <w:rPr>
          <w:rFonts w:hint="eastAsia" w:ascii="仿宋" w:hAnsi="仿宋" w:eastAsia="仿宋"/>
          <w:b/>
          <w:bCs/>
          <w:color w:val="000000"/>
          <w:sz w:val="32"/>
          <w:szCs w:val="32"/>
        </w:rPr>
        <w:t>住房公积金</w:t>
      </w:r>
      <w:r>
        <w:rPr>
          <w:rStyle w:val="16"/>
          <w:rFonts w:hint="eastAsia" w:ascii="仿宋" w:hAnsi="仿宋" w:eastAsia="仿宋"/>
          <w:bCs/>
          <w:color w:val="000000"/>
          <w:sz w:val="32"/>
          <w:szCs w:val="32"/>
        </w:rPr>
        <w:t>支出决算为289.7万元，完成预算100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0AF2E3D1">
      <w:pPr>
        <w:pStyle w:val="2"/>
        <w:spacing w:before="93"/>
        <w:rPr>
          <w:b/>
          <w:bCs/>
        </w:rPr>
      </w:pPr>
      <w:r>
        <w:rPr>
          <w:rFonts w:hint="eastAsia"/>
          <w:b/>
          <w:bCs/>
        </w:rPr>
        <w:t xml:space="preserve">   8、购房补贴  221（类）02（款）03（项）：支出决算数8.25万元</w:t>
      </w:r>
    </w:p>
    <w:p w14:paraId="4B3148B5">
      <w:pPr>
        <w:pStyle w:val="2"/>
        <w:spacing w:before="93"/>
        <w:ind w:firstLine="602" w:firstLineChars="200"/>
        <w:rPr>
          <w:b/>
          <w:bCs/>
        </w:rPr>
      </w:pPr>
      <w:r>
        <w:rPr>
          <w:b/>
          <w:bCs/>
        </w:rPr>
        <w:t xml:space="preserve"> </w:t>
      </w:r>
      <w:r>
        <w:rPr>
          <w:rFonts w:hint="eastAsia"/>
          <w:b/>
          <w:bCs/>
        </w:rPr>
        <w:t>9、</w:t>
      </w:r>
      <w:r>
        <w:rPr>
          <w:b/>
          <w:bCs/>
        </w:rPr>
        <w:t>用于教育事业的彩票公益金支出229</w:t>
      </w:r>
      <w:r>
        <w:rPr>
          <w:rFonts w:hint="eastAsia"/>
          <w:b/>
          <w:bCs/>
        </w:rPr>
        <w:t>(类)</w:t>
      </w:r>
      <w:r>
        <w:rPr>
          <w:b/>
          <w:bCs/>
        </w:rPr>
        <w:t>60</w:t>
      </w:r>
      <w:r>
        <w:rPr>
          <w:rFonts w:hint="eastAsia"/>
          <w:b/>
          <w:bCs/>
        </w:rPr>
        <w:t>(款)</w:t>
      </w:r>
      <w:r>
        <w:rPr>
          <w:b/>
          <w:bCs/>
        </w:rPr>
        <w:t>04</w:t>
      </w:r>
      <w:r>
        <w:rPr>
          <w:rFonts w:hint="eastAsia"/>
          <w:b/>
          <w:bCs/>
        </w:rPr>
        <w:t>(项)</w:t>
      </w:r>
      <w:r>
        <w:rPr>
          <w:b/>
          <w:bCs/>
        </w:rPr>
        <w:t xml:space="preserve"> </w:t>
      </w:r>
      <w:r>
        <w:rPr>
          <w:rFonts w:hint="eastAsia"/>
          <w:b/>
          <w:bCs/>
        </w:rPr>
        <w:t>:支出决算数2.32万元</w:t>
      </w:r>
    </w:p>
    <w:p w14:paraId="50590A9E">
      <w:pPr>
        <w:spacing w:line="520" w:lineRule="exact"/>
        <w:ind w:firstLine="645"/>
        <w:outlineLvl w:val="1"/>
        <w:rPr>
          <w:rFonts w:ascii="仿宋" w:hAnsi="仿宋" w:eastAsia="仿宋"/>
          <w:sz w:val="32"/>
          <w:szCs w:val="32"/>
        </w:rPr>
      </w:pPr>
      <w:bookmarkStart w:id="53" w:name="_Toc1406"/>
      <w:bookmarkStart w:id="54" w:name="_Toc15377214"/>
      <w:bookmarkStart w:id="55" w:name="_Toc15396608"/>
      <w:r>
        <w:rPr>
          <w:rFonts w:hint="eastAsia" w:ascii="仿宋" w:hAnsi="仿宋" w:eastAsia="仿宋"/>
          <w:sz w:val="32"/>
          <w:szCs w:val="32"/>
        </w:rPr>
        <w:t>六、一般公共预算财政拨款基本支出决算情况说明</w:t>
      </w:r>
      <w:bookmarkEnd w:id="53"/>
      <w:bookmarkEnd w:id="54"/>
      <w:bookmarkEnd w:id="55"/>
      <w:r>
        <w:rPr>
          <w:rFonts w:hint="eastAsia" w:ascii="仿宋" w:hAnsi="仿宋" w:eastAsia="仿宋"/>
          <w:sz w:val="32"/>
          <w:szCs w:val="32"/>
        </w:rPr>
        <w:tab/>
      </w:r>
    </w:p>
    <w:p w14:paraId="635F0519">
      <w:pPr>
        <w:spacing w:line="520" w:lineRule="exact"/>
        <w:ind w:firstLine="645"/>
        <w:rPr>
          <w:rFonts w:ascii="仿宋" w:hAnsi="仿宋" w:eastAsia="仿宋"/>
          <w:sz w:val="32"/>
          <w:szCs w:val="32"/>
        </w:rPr>
      </w:pPr>
      <w:r>
        <w:rPr>
          <w:rFonts w:hint="eastAsia" w:ascii="仿宋" w:hAnsi="仿宋" w:eastAsia="仿宋"/>
          <w:sz w:val="32"/>
          <w:szCs w:val="32"/>
        </w:rPr>
        <w:t>2021年一般公共预算财政拨款基本支出3,278.15万元，其中：</w:t>
      </w:r>
    </w:p>
    <w:p w14:paraId="4CEB2A61">
      <w:pPr>
        <w:spacing w:line="520" w:lineRule="exact"/>
        <w:ind w:firstLine="645"/>
        <w:rPr>
          <w:rFonts w:ascii="仿宋" w:hAnsi="仿宋" w:eastAsia="仿宋"/>
          <w:sz w:val="32"/>
          <w:szCs w:val="32"/>
        </w:rPr>
      </w:pPr>
      <w:r>
        <w:rPr>
          <w:rFonts w:hint="eastAsia" w:ascii="仿宋" w:hAnsi="仿宋" w:eastAsia="仿宋"/>
          <w:sz w:val="32"/>
          <w:szCs w:val="32"/>
        </w:rPr>
        <w:t>人员经费3,205.6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0FF0B0D3">
      <w:pPr>
        <w:spacing w:line="520" w:lineRule="exact"/>
        <w:ind w:firstLine="645"/>
        <w:rPr>
          <w:rFonts w:ascii="仿宋" w:hAnsi="仿宋" w:eastAsia="仿宋"/>
          <w:sz w:val="32"/>
          <w:szCs w:val="32"/>
        </w:rPr>
      </w:pPr>
      <w:r>
        <w:rPr>
          <w:rFonts w:hint="eastAsia" w:ascii="仿宋" w:hAnsi="仿宋" w:eastAsia="仿宋"/>
          <w:sz w:val="32"/>
          <w:szCs w:val="32"/>
        </w:rPr>
        <w:t>公用经费72.55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F0F7DD6">
      <w:pPr>
        <w:spacing w:line="520" w:lineRule="exact"/>
        <w:ind w:firstLine="640"/>
        <w:outlineLvl w:val="1"/>
        <w:rPr>
          <w:rStyle w:val="27"/>
          <w:rFonts w:ascii="黑体" w:hAnsi="黑体" w:eastAsia="黑体"/>
          <w:b w:val="0"/>
        </w:rPr>
      </w:pPr>
      <w:bookmarkStart w:id="56" w:name="_Toc15396609"/>
      <w:bookmarkStart w:id="57" w:name="_Toc15377215"/>
      <w:bookmarkStart w:id="58" w:name="_Toc716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56"/>
      <w:bookmarkEnd w:id="57"/>
      <w:bookmarkEnd w:id="58"/>
    </w:p>
    <w:p w14:paraId="66C70E8A">
      <w:pPr>
        <w:spacing w:line="520" w:lineRule="exact"/>
        <w:ind w:firstLine="640"/>
        <w:outlineLvl w:val="2"/>
        <w:rPr>
          <w:rFonts w:ascii="仿宋" w:hAnsi="仿宋" w:eastAsia="仿宋"/>
          <w:b/>
          <w:sz w:val="32"/>
          <w:szCs w:val="32"/>
        </w:rPr>
      </w:pPr>
      <w:bookmarkStart w:id="59" w:name="_Toc15377216"/>
      <w:r>
        <w:rPr>
          <w:rFonts w:hint="eastAsia" w:ascii="仿宋" w:hAnsi="仿宋" w:eastAsia="仿宋"/>
          <w:b/>
          <w:sz w:val="32"/>
          <w:szCs w:val="32"/>
        </w:rPr>
        <w:t>（一）“三公”经费财政拨款支出决算总体情况说明</w:t>
      </w:r>
      <w:bookmarkEnd w:id="59"/>
    </w:p>
    <w:p w14:paraId="193C8AE9">
      <w:pPr>
        <w:spacing w:line="52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21年“三公”经费财政拨款4.08万元，“三公”经费财政拨款支出决算为0.69万元，完成预算16.91</w:t>
      </w:r>
      <w:r>
        <w:rPr>
          <w:rFonts w:ascii="仿宋" w:hAnsi="仿宋" w:eastAsia="仿宋"/>
          <w:sz w:val="32"/>
          <w:szCs w:val="32"/>
        </w:rPr>
        <w:t>%</w:t>
      </w:r>
      <w:r>
        <w:rPr>
          <w:rFonts w:hint="eastAsia" w:ascii="仿宋" w:hAnsi="仿宋" w:eastAsia="仿宋"/>
          <w:sz w:val="32"/>
          <w:szCs w:val="32"/>
        </w:rPr>
        <w:t>，决算数小于预算数的主要原因是公用经费压缩。</w:t>
      </w:r>
    </w:p>
    <w:p w14:paraId="7A850948">
      <w:pPr>
        <w:spacing w:line="520" w:lineRule="exact"/>
        <w:ind w:firstLine="640"/>
        <w:outlineLvl w:val="2"/>
        <w:rPr>
          <w:rFonts w:ascii="仿宋" w:hAnsi="仿宋" w:eastAsia="仿宋"/>
          <w:b/>
          <w:sz w:val="32"/>
          <w:szCs w:val="32"/>
        </w:rPr>
      </w:pPr>
      <w:bookmarkStart w:id="60" w:name="_Toc15377217"/>
      <w:r>
        <w:rPr>
          <w:rFonts w:hint="eastAsia" w:ascii="仿宋" w:hAnsi="仿宋" w:eastAsia="仿宋"/>
          <w:b/>
          <w:sz w:val="32"/>
          <w:szCs w:val="32"/>
        </w:rPr>
        <w:t>（二）“三公”经费财政拨款支出决算具体情况说明</w:t>
      </w:r>
      <w:bookmarkEnd w:id="60"/>
    </w:p>
    <w:p w14:paraId="6A414CAD">
      <w:pPr>
        <w:spacing w:line="52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；公务接待费支出决算0.69万元，占100</w:t>
      </w:r>
      <w:r>
        <w:rPr>
          <w:rFonts w:ascii="仿宋" w:hAnsi="仿宋" w:eastAsia="仿宋"/>
          <w:sz w:val="32"/>
          <w:szCs w:val="32"/>
        </w:rPr>
        <w:t>%</w:t>
      </w:r>
      <w:r>
        <w:rPr>
          <w:rFonts w:hint="eastAsia" w:ascii="仿宋" w:hAnsi="仿宋" w:eastAsia="仿宋"/>
          <w:sz w:val="32"/>
          <w:szCs w:val="32"/>
        </w:rPr>
        <w:t>。具体情况如下：</w:t>
      </w:r>
    </w:p>
    <w:p w14:paraId="739E77D3">
      <w:pPr>
        <w:spacing w:line="52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6CA65972">
      <w:pPr>
        <w:pStyle w:val="2"/>
        <w:spacing w:before="93"/>
        <w:jc w:val="center"/>
      </w:pPr>
      <w:r>
        <w:drawing>
          <wp:inline distT="0" distB="0" distL="114300" distR="114300">
            <wp:extent cx="3686175" cy="159004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3686175" cy="1590040"/>
                    </a:xfrm>
                    <a:prstGeom prst="rect">
                      <a:avLst/>
                    </a:prstGeom>
                    <a:noFill/>
                    <a:ln>
                      <a:noFill/>
                    </a:ln>
                  </pic:spPr>
                </pic:pic>
              </a:graphicData>
            </a:graphic>
          </wp:inline>
        </w:drawing>
      </w:r>
    </w:p>
    <w:p w14:paraId="4B436501">
      <w:pPr>
        <w:spacing w:line="52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20年持平，主要原因是我校无公务出国(境)</w:t>
      </w:r>
      <w:bookmarkStart w:id="114" w:name="_GoBack"/>
      <w:r>
        <w:rPr>
          <w:rFonts w:hint="eastAsia" w:ascii="仿宋_GB2312" w:eastAsia="仿宋_GB2312"/>
          <w:sz w:val="32"/>
          <w:szCs w:val="32"/>
          <w:lang w:val="en-US" w:eastAsia="zh-CN"/>
        </w:rPr>
        <w:t>安排</w:t>
      </w:r>
      <w:bookmarkEnd w:id="114"/>
      <w:r>
        <w:rPr>
          <w:rFonts w:hint="eastAsia" w:ascii="仿宋_GB2312" w:eastAsia="仿宋_GB2312"/>
          <w:sz w:val="32"/>
          <w:szCs w:val="32"/>
        </w:rPr>
        <w:t>。</w:t>
      </w:r>
    </w:p>
    <w:p w14:paraId="68D3FEEC">
      <w:pPr>
        <w:spacing w:line="52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20年持平。主要原因是学校无公务用车。</w:t>
      </w:r>
    </w:p>
    <w:p w14:paraId="0118CA37">
      <w:pPr>
        <w:spacing w:line="52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0876AE80">
      <w:pPr>
        <w:spacing w:line="52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2BC74615">
      <w:pPr>
        <w:numPr>
          <w:ilvl w:val="0"/>
          <w:numId w:val="3"/>
        </w:numPr>
        <w:spacing w:line="520" w:lineRule="exact"/>
        <w:ind w:firstLine="643" w:firstLineChars="200"/>
        <w:rPr>
          <w:rFonts w:ascii="仿宋_GB2312" w:eastAsia="仿宋_GB2312"/>
          <w:sz w:val="32"/>
          <w:szCs w:val="32"/>
        </w:rPr>
      </w:pPr>
      <w:r>
        <w:rPr>
          <w:rFonts w:hint="eastAsia" w:ascii="仿宋_GB2312" w:eastAsia="仿宋_GB2312"/>
          <w:b/>
          <w:sz w:val="32"/>
          <w:szCs w:val="32"/>
        </w:rPr>
        <w:t>公务接待费支出0.69</w:t>
      </w:r>
      <w:r>
        <w:rPr>
          <w:rFonts w:hint="eastAsia" w:ascii="仿宋_GB2312" w:eastAsia="仿宋_GB2312"/>
          <w:sz w:val="32"/>
          <w:szCs w:val="32"/>
        </w:rPr>
        <w:t>万元，</w:t>
      </w:r>
      <w:r>
        <w:rPr>
          <w:rStyle w:val="16"/>
          <w:rFonts w:hint="eastAsia" w:ascii="仿宋" w:hAnsi="仿宋" w:eastAsia="仿宋"/>
          <w:b w:val="0"/>
          <w:bCs/>
          <w:sz w:val="32"/>
          <w:szCs w:val="32"/>
        </w:rPr>
        <w:t>完成预算16.91</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20年公务接待费支出0.24万元，增加0.45万元，增长65.22</w:t>
      </w:r>
      <w:r>
        <w:rPr>
          <w:rFonts w:ascii="仿宋_GB2312" w:eastAsia="仿宋_GB2312"/>
          <w:sz w:val="32"/>
          <w:szCs w:val="32"/>
        </w:rPr>
        <w:t>%</w:t>
      </w:r>
      <w:r>
        <w:rPr>
          <w:rFonts w:hint="eastAsia" w:ascii="仿宋_GB2312" w:eastAsia="仿宋_GB2312"/>
          <w:sz w:val="32"/>
          <w:szCs w:val="32"/>
        </w:rPr>
        <w:t>。主要原因是：因公务接待木里县被帮扶教师跟岗学习，接待小学品格教育实操培训专家团队。</w:t>
      </w:r>
    </w:p>
    <w:p w14:paraId="0FED9078">
      <w:pPr>
        <w:spacing w:line="52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0.69</w:t>
      </w:r>
      <w:r>
        <w:rPr>
          <w:rFonts w:hint="eastAsia" w:ascii="仿宋_GB2312" w:eastAsia="仿宋_GB2312"/>
          <w:sz w:val="32"/>
          <w:szCs w:val="32"/>
        </w:rPr>
        <w:t>万元，主要用于执行公务、开展业务活动开支的交通费、住宿费、用餐费等。国内公务接待5批次，46人次，共计支出0.96万元，具体内容包括：接待木里县被帮扶教师跟岗学习4天，9人次，食宿费用0.61万元，接待小学品格教育实操培训专家团队1批次，11人接待费用0.08万元。</w:t>
      </w:r>
    </w:p>
    <w:p w14:paraId="436AF02B">
      <w:pPr>
        <w:spacing w:line="52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3E3B1A2E">
      <w:pPr>
        <w:spacing w:line="520" w:lineRule="exact"/>
        <w:ind w:firstLine="640"/>
        <w:outlineLvl w:val="1"/>
        <w:rPr>
          <w:rStyle w:val="27"/>
          <w:rFonts w:ascii="黑体" w:hAnsi="黑体" w:eastAsia="黑体"/>
        </w:rPr>
      </w:pPr>
      <w:bookmarkStart w:id="61" w:name="_Toc12217"/>
      <w:bookmarkStart w:id="62" w:name="_Toc15396610"/>
      <w:bookmarkStart w:id="63" w:name="_Toc15377218"/>
      <w:r>
        <w:rPr>
          <w:rFonts w:hint="eastAsia" w:ascii="黑体" w:eastAsia="黑体"/>
          <w:sz w:val="32"/>
          <w:szCs w:val="32"/>
        </w:rPr>
        <w:t>八、</w:t>
      </w:r>
      <w:r>
        <w:rPr>
          <w:rStyle w:val="27"/>
          <w:rFonts w:hint="eastAsia" w:ascii="黑体" w:hAnsi="黑体" w:eastAsia="黑体"/>
          <w:b w:val="0"/>
        </w:rPr>
        <w:t>政府性基金预算支出决算情况说明</w:t>
      </w:r>
      <w:bookmarkEnd w:id="61"/>
      <w:bookmarkEnd w:id="62"/>
      <w:bookmarkEnd w:id="63"/>
    </w:p>
    <w:p w14:paraId="5C7CD649">
      <w:pPr>
        <w:spacing w:line="52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5EFC9763">
      <w:pPr>
        <w:numPr>
          <w:ilvl w:val="0"/>
          <w:numId w:val="6"/>
        </w:numPr>
        <w:spacing w:line="520" w:lineRule="exact"/>
        <w:ind w:firstLine="640"/>
        <w:outlineLvl w:val="1"/>
        <w:rPr>
          <w:rStyle w:val="27"/>
          <w:rFonts w:ascii="黑体" w:hAnsi="黑体" w:eastAsia="黑体"/>
          <w:b w:val="0"/>
        </w:rPr>
      </w:pPr>
      <w:bookmarkStart w:id="64" w:name="_Toc28878"/>
      <w:bookmarkStart w:id="65" w:name="_Toc15377219"/>
      <w:bookmarkStart w:id="66" w:name="_Toc15396611"/>
      <w:r>
        <w:rPr>
          <w:rStyle w:val="27"/>
          <w:rFonts w:hint="eastAsia" w:ascii="黑体" w:hAnsi="黑体" w:eastAsia="黑体"/>
          <w:b w:val="0"/>
        </w:rPr>
        <w:t>国有资本经营预算支出决算情况说明</w:t>
      </w:r>
      <w:bookmarkEnd w:id="64"/>
      <w:bookmarkEnd w:id="65"/>
      <w:bookmarkEnd w:id="66"/>
    </w:p>
    <w:p w14:paraId="360384F0">
      <w:pPr>
        <w:spacing w:line="52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34E44681">
      <w:pPr>
        <w:numPr>
          <w:ilvl w:val="0"/>
          <w:numId w:val="6"/>
        </w:numPr>
        <w:spacing w:line="520" w:lineRule="exact"/>
        <w:ind w:firstLine="640"/>
        <w:outlineLvl w:val="1"/>
        <w:rPr>
          <w:rStyle w:val="27"/>
          <w:rFonts w:ascii="黑体" w:hAnsi="黑体" w:eastAsia="黑体"/>
          <w:b w:val="0"/>
        </w:rPr>
      </w:pPr>
      <w:bookmarkStart w:id="67" w:name="_Toc15396612"/>
      <w:bookmarkStart w:id="68" w:name="_Toc15377221"/>
      <w:bookmarkStart w:id="69" w:name="_Toc29413"/>
      <w:r>
        <w:rPr>
          <w:rStyle w:val="27"/>
          <w:rFonts w:hint="eastAsia" w:ascii="黑体" w:hAnsi="黑体" w:eastAsia="黑体"/>
          <w:b w:val="0"/>
        </w:rPr>
        <w:t>其他重要事项的情况说明</w:t>
      </w:r>
      <w:bookmarkEnd w:id="67"/>
      <w:bookmarkEnd w:id="68"/>
      <w:bookmarkEnd w:id="69"/>
    </w:p>
    <w:p w14:paraId="72E4C184">
      <w:pPr>
        <w:spacing w:line="520" w:lineRule="exact"/>
        <w:ind w:firstLine="643" w:firstLineChars="200"/>
        <w:outlineLvl w:val="2"/>
        <w:rPr>
          <w:rFonts w:ascii="仿宋" w:hAnsi="仿宋" w:eastAsia="仿宋"/>
          <w:sz w:val="32"/>
          <w:szCs w:val="32"/>
        </w:rPr>
      </w:pPr>
      <w:bookmarkStart w:id="70" w:name="_Toc15377222"/>
      <w:r>
        <w:rPr>
          <w:rFonts w:hint="eastAsia" w:ascii="仿宋" w:hAnsi="仿宋" w:eastAsia="仿宋"/>
          <w:b/>
          <w:sz w:val="32"/>
          <w:szCs w:val="32"/>
        </w:rPr>
        <w:t>（一）机关运行经费支出情况</w:t>
      </w:r>
      <w:bookmarkEnd w:id="70"/>
    </w:p>
    <w:p w14:paraId="1B6B8E18">
      <w:pPr>
        <w:spacing w:line="600" w:lineRule="exact"/>
        <w:ind w:firstLine="640" w:firstLineChars="200"/>
        <w:rPr>
          <w:rFonts w:ascii="仿宋_GB2312" w:eastAsia="仿宋_GB2312"/>
          <w:color w:val="000000"/>
          <w:sz w:val="32"/>
          <w:szCs w:val="32"/>
        </w:rPr>
      </w:pPr>
      <w:r>
        <w:rPr>
          <w:rFonts w:ascii="仿宋_GB2312" w:eastAsia="仿宋_GB2312"/>
          <w:sz w:val="32"/>
          <w:szCs w:val="32"/>
        </w:rPr>
        <w:t>20</w:t>
      </w:r>
      <w:r>
        <w:rPr>
          <w:rFonts w:hint="eastAsia" w:ascii="仿宋_GB2312" w:eastAsia="仿宋_GB2312"/>
          <w:sz w:val="32"/>
          <w:szCs w:val="32"/>
        </w:rPr>
        <w:t>21年，盐边县渔门镇中心学校机关运行经费支出72.55万元，比</w:t>
      </w:r>
      <w:r>
        <w:rPr>
          <w:rFonts w:ascii="仿宋_GB2312" w:eastAsia="仿宋_GB2312"/>
          <w:sz w:val="32"/>
          <w:szCs w:val="32"/>
        </w:rPr>
        <w:t>20</w:t>
      </w:r>
      <w:r>
        <w:rPr>
          <w:rFonts w:hint="eastAsia" w:ascii="仿宋_GB2312" w:eastAsia="仿宋_GB2312"/>
          <w:sz w:val="32"/>
          <w:szCs w:val="32"/>
        </w:rPr>
        <w:t>20年机关运行经费支出70.84万元增加1.71万元，增长2.41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原因是学校距离县城区较远，培训费、福利费、学校的公用经费、培训费、差旅费等产生的费用增加。</w:t>
      </w:r>
    </w:p>
    <w:p w14:paraId="1E787843">
      <w:pPr>
        <w:autoSpaceDE w:val="0"/>
        <w:autoSpaceDN w:val="0"/>
        <w:adjustRightInd w:val="0"/>
        <w:spacing w:line="520" w:lineRule="exact"/>
        <w:ind w:firstLine="643" w:firstLineChars="200"/>
        <w:jc w:val="left"/>
        <w:outlineLvl w:val="2"/>
        <w:rPr>
          <w:rFonts w:ascii="仿宋" w:hAnsi="仿宋" w:eastAsia="仿宋"/>
          <w:b/>
          <w:sz w:val="32"/>
          <w:szCs w:val="32"/>
        </w:rPr>
      </w:pPr>
      <w:bookmarkStart w:id="71" w:name="_Toc15377223"/>
      <w:r>
        <w:rPr>
          <w:rFonts w:hint="eastAsia" w:ascii="仿宋" w:hAnsi="仿宋" w:eastAsia="仿宋"/>
          <w:b/>
          <w:sz w:val="32"/>
          <w:szCs w:val="32"/>
        </w:rPr>
        <w:t>（二）政府采购支出情况</w:t>
      </w:r>
      <w:bookmarkEnd w:id="71"/>
    </w:p>
    <w:p w14:paraId="09351DB0">
      <w:pPr>
        <w:spacing w:line="52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21年，渔门小学政府采购支出总额0万元，其中：政府采购货物支出0万元、政府采购工程支出0万元、政府采购服务支出0万元。</w:t>
      </w:r>
    </w:p>
    <w:p w14:paraId="22B488BC">
      <w:pPr>
        <w:autoSpaceDE w:val="0"/>
        <w:autoSpaceDN w:val="0"/>
        <w:adjustRightInd w:val="0"/>
        <w:spacing w:line="520" w:lineRule="exact"/>
        <w:ind w:firstLine="643" w:firstLineChars="200"/>
        <w:jc w:val="left"/>
        <w:outlineLvl w:val="2"/>
        <w:rPr>
          <w:rFonts w:ascii="仿宋" w:hAnsi="仿宋" w:eastAsia="仿宋"/>
          <w:b/>
          <w:sz w:val="32"/>
          <w:szCs w:val="32"/>
        </w:rPr>
      </w:pPr>
      <w:bookmarkStart w:id="72" w:name="_Toc15377224"/>
      <w:r>
        <w:rPr>
          <w:rFonts w:hint="eastAsia" w:ascii="仿宋" w:hAnsi="仿宋" w:eastAsia="仿宋"/>
          <w:b/>
          <w:sz w:val="32"/>
          <w:szCs w:val="32"/>
        </w:rPr>
        <w:t>（三）国有资产占有使用情况</w:t>
      </w:r>
      <w:bookmarkEnd w:id="72"/>
    </w:p>
    <w:p w14:paraId="5CCDF781">
      <w:pPr>
        <w:autoSpaceDE w:val="0"/>
        <w:autoSpaceDN w:val="0"/>
        <w:adjustRightInd w:val="0"/>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日，渔门小学共有车辆0辆，其中：主要领导干部用车0辆、机要通信用车0辆、应急保障用车0辆、其他用车0辆，其他用车主要是用于单价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2699F210">
      <w:pPr>
        <w:autoSpaceDE w:val="0"/>
        <w:autoSpaceDN w:val="0"/>
        <w:adjustRightInd w:val="0"/>
        <w:spacing w:line="52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04CA93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会议费、培训费等项目开展了预算事前绩效评估，对10个项目编制了绩效目标，预算执行过程中，选取9个项目开展绩效监控，年终执行完毕后，对9个项目开展了绩效目标完成情况自评。</w:t>
      </w:r>
    </w:p>
    <w:p w14:paraId="3640A97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2021年部门整体支出开展绩效自评，从评价情况来看培训费9.77万元，福利费23.94万元，工会经费36.99万元，差旅费12.81万元。通过学校科学实施，合理配置很好地达到预期效果如：本部门无专项预算项目，因此未组织开展项目支出绩效评价</w:t>
      </w:r>
    </w:p>
    <w:p w14:paraId="6EA6B4CC">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1.项目绩效目标完成情况。</w:t>
      </w:r>
    </w:p>
    <w:p w14:paraId="3160670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本部门在2020年度部门决算中反映“办公费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会议费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印刷费、邮电费、维修维护费”等6个项目绩效目标实际完成情况。（本单位部门项目绩效目标个数在4个以上的，选取4个项目进行公开，目标个数在4个以下的，全部进行公开，公开内容包括选取的全部项目完成情况综述和完成情况表）。</w:t>
      </w:r>
    </w:p>
    <w:p w14:paraId="6D4A4E40">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费、维护费、工会费、培训费等基本支出项目绩效目标完成情况综述。项目全年预算数718.81万元，执行数为718.81万元，完成预算的100%。通过项目实施，保障了学校正常工作的运转，通过走出去参加各类教育教学的培训，结对子帮扶，促进教育教学质量的提高，在教学中做到勤俭节约，有修复使用价值的物体通过修补来节约教学开支，减少浪费，有效地为盐边教育事业发展迈向更高一层。发现的主要问题：在实施过程中培训人选中结合教师所教学科调动人员培训，在培训期间产生的相关费用不能及时兑现，维修中的物品中有些未能及时做到监督检查。</w:t>
      </w:r>
    </w:p>
    <w:p w14:paraId="2F300BC1">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其他支出项目绩效目标完成情况综述。项目全年预算数745.95万元，执行数为745.95万元，完成预算的100%。通过项目实施，其他商品和服务支出支撑着学校的正常运作，保障学校的基本功能，促进学校全面健康发展</w:t>
      </w:r>
    </w:p>
    <w:p w14:paraId="15D418F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资福利支出项目绩效目标完成情况综述。项目全年预算3044.32万元，执行数为3044.32万元，完成预算的100%。通过项目实施，保障全校教师的基本工资，社会保障、医疗、住房等，有效促进教师对工作的积极性，向往，提高教育质量打下坚定基础，促进教育事业健康发展，为盐边教育事业贡献作出一份努力。</w:t>
      </w:r>
    </w:p>
    <w:p w14:paraId="0D2528D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2021年特定目标类部门预算项目绩效目标自评表见附件（第四部分）。</w:t>
      </w:r>
    </w:p>
    <w:p w14:paraId="0E723836">
      <w:pPr>
        <w:autoSpaceDE w:val="0"/>
        <w:autoSpaceDN w:val="0"/>
        <w:adjustRightInd w:val="0"/>
        <w:spacing w:line="520" w:lineRule="exact"/>
        <w:ind w:firstLine="643" w:firstLineChars="200"/>
        <w:rPr>
          <w:rFonts w:ascii="仿宋" w:hAnsi="仿宋" w:eastAsia="仿宋"/>
          <w:b/>
          <w:sz w:val="32"/>
          <w:szCs w:val="32"/>
        </w:rPr>
      </w:pPr>
    </w:p>
    <w:p w14:paraId="5C948067">
      <w:pPr>
        <w:numPr>
          <w:ilvl w:val="0"/>
          <w:numId w:val="8"/>
        </w:numPr>
        <w:spacing w:line="520" w:lineRule="exact"/>
        <w:ind w:firstLine="660" w:firstLineChars="150"/>
        <w:jc w:val="center"/>
        <w:outlineLvl w:val="0"/>
        <w:rPr>
          <w:rStyle w:val="26"/>
          <w:rFonts w:ascii="黑体" w:hAnsi="黑体" w:eastAsia="黑体"/>
          <w:b w:val="0"/>
        </w:rPr>
      </w:pPr>
      <w:bookmarkStart w:id="73" w:name="_Toc11790"/>
      <w:bookmarkStart w:id="74" w:name="_Toc15396613"/>
      <w:bookmarkStart w:id="75" w:name="_Toc15377225"/>
      <w:r>
        <w:rPr>
          <w:rFonts w:hint="eastAsia" w:ascii="黑体" w:hAnsi="黑体" w:eastAsia="黑体"/>
          <w:sz w:val="44"/>
          <w:szCs w:val="44"/>
        </w:rPr>
        <w:t>名</w:t>
      </w:r>
      <w:r>
        <w:rPr>
          <w:rStyle w:val="26"/>
          <w:rFonts w:hint="eastAsia" w:ascii="黑体" w:hAnsi="黑体" w:eastAsia="黑体"/>
          <w:b w:val="0"/>
        </w:rPr>
        <w:t>词解释</w:t>
      </w:r>
      <w:bookmarkEnd w:id="73"/>
      <w:bookmarkEnd w:id="74"/>
      <w:bookmarkEnd w:id="75"/>
    </w:p>
    <w:p w14:paraId="435E717B">
      <w:pPr>
        <w:spacing w:line="520" w:lineRule="exact"/>
        <w:jc w:val="left"/>
        <w:rPr>
          <w:rFonts w:ascii="宋体"/>
          <w:b/>
          <w:sz w:val="44"/>
          <w:szCs w:val="44"/>
        </w:rPr>
      </w:pPr>
    </w:p>
    <w:p w14:paraId="667F691B">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976B83F">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事业收入：指事业单位开展专业业务活动及辅助活动取得的收入等。</w:t>
      </w:r>
    </w:p>
    <w:p w14:paraId="5C73AA92">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经营收入：指事业单位在专业业务活动及其辅助活动之外开展非独立核算经营活动取得的收入等。</w:t>
      </w:r>
    </w:p>
    <w:p w14:paraId="0C84270E">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其他收入：指单位取得的除上述收入以外的各项收入。主要是等。</w:t>
      </w:r>
    </w:p>
    <w:p w14:paraId="43E1CE7C">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2830FA87">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596F1923">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85B982A">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0C927E2">
      <w:pPr>
        <w:spacing w:line="600" w:lineRule="exact"/>
        <w:ind w:firstLine="640" w:firstLineChars="200"/>
        <w:rPr>
          <w:rFonts w:ascii="仿宋_GB2312" w:eastAsia="仿宋_GB2312" w:cs="仿宋"/>
          <w:color w:val="000000"/>
          <w:kern w:val="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b/>
        </w:rPr>
        <w:t>一</w:t>
      </w:r>
      <w:r>
        <w:rPr>
          <w:rFonts w:hint="eastAsia" w:ascii="仿宋_GB2312" w:eastAsia="仿宋_GB2312" w:cs="仿宋"/>
          <w:color w:val="000000"/>
          <w:kern w:val="0"/>
          <w:sz w:val="32"/>
          <w:szCs w:val="32"/>
        </w:rPr>
        <w:t>般公共预算拨款收入：205(类)02(款)02(项):小学教育 其他普通教育支出，县级财政当年拨付的资金收入。</w:t>
      </w:r>
    </w:p>
    <w:p w14:paraId="37A4C793">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10、其他支出：205(类)02(款)01(项):其他普通教育支出 指用于学前幼儿保教经费，</w:t>
      </w:r>
    </w:p>
    <w:p w14:paraId="7246A134">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11、基本支出： 205(类)02(款)02(项):指其他普通教育支出，为保证事业单位正常运转，完成日常工作任务而发生的人员支出和公用支出。</w:t>
      </w:r>
    </w:p>
    <w:p w14:paraId="5EFA1F4D">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12、项目支出：205(类)02(款)02(项) :其他普通教育支出，在基本支出之外为完成特定行政任务和事业发展目标所发生的支出。</w:t>
      </w:r>
    </w:p>
    <w:p w14:paraId="1D2C62BF">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13、业务运行经费：205(类)02(款)02(项):为保障事业单位运行用于购买货物和服务的各项资金。包括办公及办公费、水费、电费、印刷费、邮电费、差旅费、会议费等费用开支。</w:t>
      </w:r>
    </w:p>
    <w:p w14:paraId="20D1CB90">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14、“三公”经费：205(类)02(款)02(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A085F9C">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15、 208类05款社会保障和就业支出 机关事业单位基本养老保险缴费支出：</w:t>
      </w:r>
    </w:p>
    <w:p w14:paraId="52C3343A">
      <w:pPr>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16、 住房保障支出：221类02款住房改革支出：住房公积，指事业单位人员住房保障支出 。</w:t>
      </w:r>
    </w:p>
    <w:p w14:paraId="32F8EDF1">
      <w:pPr>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14:paraId="0AD54DC8">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C8C68B6">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B72232">
      <w:pPr>
        <w:pStyle w:val="24"/>
        <w:spacing w:line="560" w:lineRule="exact"/>
        <w:ind w:firstLine="640" w:firstLineChars="200"/>
        <w:rPr>
          <w:rFonts w:ascii="仿宋_GB2312" w:eastAsia="仿宋_GB2312"/>
          <w:sz w:val="32"/>
          <w:szCs w:val="32"/>
        </w:rPr>
      </w:pPr>
    </w:p>
    <w:p w14:paraId="3E30CD0A">
      <w:pPr>
        <w:pStyle w:val="24"/>
        <w:spacing w:line="560" w:lineRule="exact"/>
        <w:ind w:firstLine="640" w:firstLineChars="200"/>
        <w:rPr>
          <w:rFonts w:ascii="仿宋_GB2312" w:eastAsia="仿宋_GB2312"/>
          <w:sz w:val="32"/>
          <w:szCs w:val="32"/>
        </w:rPr>
      </w:pPr>
    </w:p>
    <w:p w14:paraId="7794F807">
      <w:pPr>
        <w:pStyle w:val="24"/>
        <w:spacing w:line="560" w:lineRule="exact"/>
        <w:ind w:firstLine="640" w:firstLineChars="200"/>
        <w:rPr>
          <w:rFonts w:ascii="仿宋_GB2312" w:eastAsia="仿宋_GB2312"/>
          <w:sz w:val="32"/>
          <w:szCs w:val="32"/>
        </w:rPr>
      </w:pPr>
    </w:p>
    <w:p w14:paraId="7B1519D1">
      <w:pPr>
        <w:pStyle w:val="24"/>
        <w:spacing w:line="560" w:lineRule="exact"/>
        <w:ind w:firstLine="640" w:firstLineChars="200"/>
        <w:rPr>
          <w:rFonts w:ascii="仿宋_GB2312" w:eastAsia="仿宋_GB2312"/>
          <w:sz w:val="32"/>
          <w:szCs w:val="32"/>
        </w:rPr>
      </w:pPr>
    </w:p>
    <w:p w14:paraId="5D310C17">
      <w:pPr>
        <w:pStyle w:val="24"/>
        <w:spacing w:line="560" w:lineRule="exact"/>
        <w:ind w:firstLine="640" w:firstLineChars="200"/>
        <w:rPr>
          <w:rFonts w:ascii="仿宋_GB2312" w:eastAsia="仿宋_GB2312"/>
          <w:sz w:val="32"/>
          <w:szCs w:val="32"/>
        </w:rPr>
      </w:pPr>
    </w:p>
    <w:p w14:paraId="4CA819E2">
      <w:pPr>
        <w:spacing w:line="600" w:lineRule="exact"/>
        <w:jc w:val="center"/>
        <w:outlineLvl w:val="0"/>
        <w:rPr>
          <w:rStyle w:val="26"/>
          <w:rFonts w:ascii="黑体" w:hAnsi="黑体" w:eastAsia="黑体"/>
          <w:b w:val="0"/>
        </w:rPr>
      </w:pPr>
      <w:bookmarkStart w:id="76" w:name="_Toc17397"/>
      <w:bookmarkStart w:id="77" w:name="_Toc15396614"/>
      <w:bookmarkStart w:id="78" w:name="_Toc15377226"/>
      <w:r>
        <w:rPr>
          <w:rFonts w:hint="eastAsia" w:ascii="黑体" w:hAnsi="黑体" w:eastAsia="黑体"/>
          <w:sz w:val="44"/>
          <w:szCs w:val="44"/>
        </w:rPr>
        <w:t>第</w:t>
      </w:r>
      <w:r>
        <w:rPr>
          <w:rStyle w:val="26"/>
          <w:rFonts w:hint="eastAsia" w:ascii="黑体" w:hAnsi="黑体" w:eastAsia="黑体"/>
          <w:b w:val="0"/>
        </w:rPr>
        <w:t>四部分 附件</w:t>
      </w:r>
      <w:bookmarkEnd w:id="76"/>
      <w:bookmarkEnd w:id="77"/>
    </w:p>
    <w:p w14:paraId="46986BE3">
      <w:pPr>
        <w:spacing w:line="572" w:lineRule="exact"/>
        <w:jc w:val="left"/>
        <w:outlineLvl w:val="1"/>
        <w:rPr>
          <w:rFonts w:ascii="仿宋_GB2312" w:hAnsi="仿宋_GB2312" w:eastAsia="仿宋_GB2312" w:cs="仿宋_GB2312"/>
          <w:sz w:val="32"/>
          <w:szCs w:val="32"/>
        </w:rPr>
      </w:pPr>
      <w:bookmarkStart w:id="79" w:name="_Toc18696"/>
      <w:r>
        <w:rPr>
          <w:rFonts w:hint="eastAsia" w:ascii="黑体" w:hAnsi="黑体" w:eastAsia="黑体" w:cs="黑体"/>
          <w:sz w:val="32"/>
          <w:szCs w:val="32"/>
        </w:rPr>
        <w:t>附件</w:t>
      </w:r>
      <w:bookmarkEnd w:id="79"/>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04"/>
        <w:gridCol w:w="870"/>
        <w:gridCol w:w="1305"/>
        <w:gridCol w:w="2520"/>
        <w:gridCol w:w="2865"/>
        <w:gridCol w:w="1111"/>
        <w:gridCol w:w="236"/>
      </w:tblGrid>
      <w:tr w14:paraId="514402F6">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300CEBA8">
            <w:pPr>
              <w:widowControl/>
              <w:jc w:val="center"/>
              <w:textAlignment w:val="center"/>
              <w:rPr>
                <w:rFonts w:ascii="宋体" w:hAnsi="宋体" w:cs="宋体"/>
                <w:b/>
                <w:sz w:val="32"/>
                <w:szCs w:val="32"/>
              </w:rPr>
            </w:pPr>
            <w:bookmarkStart w:id="80" w:name="_Toc15396618"/>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14:paraId="04DF2C0B">
            <w:pPr>
              <w:widowControl/>
              <w:jc w:val="center"/>
              <w:textAlignment w:val="center"/>
              <w:rPr>
                <w:rFonts w:ascii="宋体" w:hAnsi="宋体" w:cs="宋体"/>
                <w:b/>
                <w:kern w:val="0"/>
                <w:sz w:val="32"/>
                <w:szCs w:val="32"/>
              </w:rPr>
            </w:pPr>
          </w:p>
        </w:tc>
      </w:tr>
      <w:tr w14:paraId="2FE109A9">
        <w:tblPrEx>
          <w:tblCellMar>
            <w:top w:w="0" w:type="dxa"/>
            <w:left w:w="108" w:type="dxa"/>
            <w:bottom w:w="0" w:type="dxa"/>
            <w:right w:w="108" w:type="dxa"/>
          </w:tblCellMar>
        </w:tblPrEx>
        <w:trPr>
          <w:gridAfter w:val="1"/>
          <w:wAfter w:w="236" w:type="dxa"/>
          <w:trHeight w:val="254" w:hRule="atLeast"/>
        </w:trPr>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84BF8">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EA8BD">
            <w:pPr>
              <w:widowControl/>
              <w:spacing w:line="320" w:lineRule="exact"/>
              <w:textAlignment w:val="center"/>
              <w:rPr>
                <w:rFonts w:ascii="宋体" w:hAnsi="宋体" w:cs="宋体"/>
                <w:sz w:val="24"/>
              </w:rPr>
            </w:pPr>
            <w:r>
              <w:rPr>
                <w:rFonts w:hint="eastAsia" w:ascii="宋体" w:hAnsi="宋体" w:cs="宋体"/>
                <w:sz w:val="24"/>
              </w:rPr>
              <w:t>盐边县渔门镇中心学校运动场改造</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AAA">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D83">
            <w:pPr>
              <w:widowControl/>
              <w:spacing w:line="320" w:lineRule="exact"/>
              <w:jc w:val="center"/>
              <w:textAlignment w:val="center"/>
              <w:rPr>
                <w:rFonts w:ascii="宋体" w:hAnsi="宋体" w:cs="宋体"/>
                <w:sz w:val="24"/>
              </w:rPr>
            </w:pPr>
            <w:r>
              <w:rPr>
                <w:rFonts w:hint="eastAsia" w:ascii="宋体" w:hAnsi="宋体" w:cs="宋体"/>
                <w:sz w:val="24"/>
              </w:rPr>
              <w:t>盐边县渔门镇中心学校</w:t>
            </w:r>
          </w:p>
        </w:tc>
      </w:tr>
      <w:tr w14:paraId="101DA749">
        <w:tblPrEx>
          <w:tblCellMar>
            <w:top w:w="0" w:type="dxa"/>
            <w:left w:w="108" w:type="dxa"/>
            <w:bottom w:w="0" w:type="dxa"/>
            <w:right w:w="108" w:type="dxa"/>
          </w:tblCellMar>
        </w:tblPrEx>
        <w:trPr>
          <w:gridAfter w:val="1"/>
          <w:wAfter w:w="236" w:type="dxa"/>
          <w:trHeight w:val="341" w:hRule="atLeast"/>
        </w:trPr>
        <w:tc>
          <w:tcPr>
            <w:tcW w:w="1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B151B">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54359561">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7D7C6508">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E90">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7026">
            <w:pPr>
              <w:widowControl/>
              <w:spacing w:line="320" w:lineRule="exact"/>
              <w:jc w:val="left"/>
              <w:textAlignment w:val="center"/>
              <w:rPr>
                <w:rFonts w:ascii="宋体" w:hAnsi="宋体" w:cs="宋体"/>
                <w:sz w:val="24"/>
              </w:rPr>
            </w:pPr>
            <w:r>
              <w:rPr>
                <w:rFonts w:hint="eastAsia" w:ascii="宋体" w:hAnsi="宋体" w:cs="宋体"/>
                <w:sz w:val="24"/>
              </w:rPr>
              <w:t>373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F5CF">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875C">
            <w:pPr>
              <w:widowControl/>
              <w:spacing w:line="320" w:lineRule="exact"/>
              <w:jc w:val="right"/>
              <w:textAlignment w:val="center"/>
              <w:rPr>
                <w:rFonts w:ascii="宋体" w:hAnsi="宋体" w:cs="宋体"/>
                <w:sz w:val="24"/>
              </w:rPr>
            </w:pPr>
            <w:r>
              <w:rPr>
                <w:rFonts w:hint="eastAsia" w:ascii="宋体" w:hAnsi="宋体" w:cs="宋体"/>
                <w:sz w:val="24"/>
              </w:rPr>
              <w:t>373</w:t>
            </w:r>
          </w:p>
        </w:tc>
      </w:tr>
      <w:tr w14:paraId="15A95025">
        <w:tblPrEx>
          <w:tblCellMar>
            <w:top w:w="0" w:type="dxa"/>
            <w:left w:w="108" w:type="dxa"/>
            <w:bottom w:w="0" w:type="dxa"/>
            <w:right w:w="108" w:type="dxa"/>
          </w:tblCellMar>
        </w:tblPrEx>
        <w:trPr>
          <w:gridAfter w:val="1"/>
          <w:wAfter w:w="236" w:type="dxa"/>
          <w:trHeight w:val="555" w:hRule="atLeast"/>
        </w:trPr>
        <w:tc>
          <w:tcPr>
            <w:tcW w:w="1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463E">
            <w:pPr>
              <w:spacing w:line="320" w:lineRule="exact"/>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560C">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5E66165">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3F8F">
            <w:pPr>
              <w:widowControl/>
              <w:spacing w:line="320" w:lineRule="exact"/>
              <w:jc w:val="left"/>
              <w:textAlignment w:val="center"/>
              <w:rPr>
                <w:rFonts w:ascii="宋体" w:hAnsi="宋体" w:cs="宋体"/>
                <w:sz w:val="24"/>
              </w:rPr>
            </w:pPr>
            <w:r>
              <w:rPr>
                <w:rFonts w:hint="eastAsia" w:ascii="宋体" w:hAnsi="宋体" w:cs="宋体"/>
                <w:sz w:val="24"/>
              </w:rPr>
              <w:t>373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5694">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006B34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3FDF">
            <w:pPr>
              <w:widowControl/>
              <w:spacing w:line="320" w:lineRule="exact"/>
              <w:textAlignment w:val="center"/>
              <w:rPr>
                <w:rFonts w:ascii="宋体" w:hAnsi="宋体" w:cs="宋体"/>
                <w:sz w:val="24"/>
              </w:rPr>
            </w:pPr>
            <w:r>
              <w:rPr>
                <w:rFonts w:hint="eastAsia" w:ascii="宋体" w:hAnsi="宋体" w:cs="宋体"/>
                <w:sz w:val="24"/>
              </w:rPr>
              <w:t>373</w:t>
            </w:r>
          </w:p>
        </w:tc>
      </w:tr>
      <w:tr w14:paraId="6388A980">
        <w:tblPrEx>
          <w:tblCellMar>
            <w:top w:w="0" w:type="dxa"/>
            <w:left w:w="108" w:type="dxa"/>
            <w:bottom w:w="0" w:type="dxa"/>
            <w:right w:w="108" w:type="dxa"/>
          </w:tblCellMar>
        </w:tblPrEx>
        <w:trPr>
          <w:gridAfter w:val="1"/>
          <w:wAfter w:w="236" w:type="dxa"/>
          <w:trHeight w:val="341" w:hRule="atLeast"/>
        </w:trPr>
        <w:tc>
          <w:tcPr>
            <w:tcW w:w="1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4AC3D">
            <w:pPr>
              <w:spacing w:line="320" w:lineRule="exact"/>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736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E59C">
            <w:pPr>
              <w:widowControl/>
              <w:spacing w:line="320" w:lineRule="exact"/>
              <w:jc w:val="left"/>
              <w:textAlignment w:val="center"/>
              <w:rPr>
                <w:rFonts w:ascii="宋体" w:hAnsi="宋体" w:cs="宋体"/>
                <w:sz w:val="24"/>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D5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3403">
            <w:pPr>
              <w:widowControl/>
              <w:spacing w:line="320" w:lineRule="exact"/>
              <w:jc w:val="center"/>
              <w:textAlignment w:val="center"/>
              <w:rPr>
                <w:rFonts w:ascii="宋体" w:hAnsi="宋体" w:cs="宋体"/>
                <w:sz w:val="24"/>
              </w:rPr>
            </w:pPr>
          </w:p>
        </w:tc>
      </w:tr>
      <w:tr w14:paraId="40361794">
        <w:tblPrEx>
          <w:tblCellMar>
            <w:top w:w="0" w:type="dxa"/>
            <w:left w:w="108" w:type="dxa"/>
            <w:bottom w:w="0" w:type="dxa"/>
            <w:right w:w="108" w:type="dxa"/>
          </w:tblCellMar>
        </w:tblPrEx>
        <w:trPr>
          <w:gridAfter w:val="1"/>
          <w:wAfter w:w="236" w:type="dxa"/>
          <w:trHeight w:val="217"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13123">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7058D633">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8BD81">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3AB44">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2973498F">
        <w:tblPrEx>
          <w:tblCellMar>
            <w:top w:w="0" w:type="dxa"/>
            <w:left w:w="108" w:type="dxa"/>
            <w:bottom w:w="0" w:type="dxa"/>
            <w:right w:w="108" w:type="dxa"/>
          </w:tblCellMar>
        </w:tblPrEx>
        <w:trPr>
          <w:gridAfter w:val="1"/>
          <w:wAfter w:w="236" w:type="dxa"/>
          <w:trHeight w:val="797"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A4ED7">
            <w:pPr>
              <w:spacing w:line="320" w:lineRule="exact"/>
              <w:jc w:val="center"/>
              <w:rPr>
                <w:rFonts w:ascii="宋体" w:hAnsi="宋体" w:cs="宋体"/>
                <w:sz w:val="24"/>
              </w:rPr>
            </w:pPr>
          </w:p>
        </w:tc>
        <w:tc>
          <w:tcPr>
            <w:tcW w:w="4695" w:type="dxa"/>
            <w:gridSpan w:val="3"/>
            <w:tcBorders>
              <w:top w:val="single" w:color="000000" w:sz="4" w:space="0"/>
              <w:left w:val="single" w:color="000000" w:sz="4" w:space="0"/>
              <w:bottom w:val="single" w:color="000000" w:sz="4" w:space="0"/>
              <w:right w:val="single" w:color="000000" w:sz="4" w:space="0"/>
            </w:tcBorders>
            <w:shd w:val="clear" w:color="auto" w:fill="auto"/>
          </w:tcPr>
          <w:p w14:paraId="04FCBDA9">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运动场改造面积6580平方米；学校雨污水管网改造220米，给水管改造500米；运动场文化建设（含LED灯、文化墙、运动场照明监控等强弱电改造工程</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tcPr>
          <w:p w14:paraId="1E4B4978">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全部完成</w:t>
            </w:r>
          </w:p>
        </w:tc>
      </w:tr>
      <w:tr w14:paraId="42E3B908">
        <w:tblPrEx>
          <w:tblCellMar>
            <w:top w:w="0" w:type="dxa"/>
            <w:left w:w="108" w:type="dxa"/>
            <w:bottom w:w="0" w:type="dxa"/>
            <w:right w:w="108" w:type="dxa"/>
          </w:tblCellMar>
        </w:tblPrEx>
        <w:trPr>
          <w:gridAfter w:val="1"/>
          <w:wAfter w:w="236" w:type="dxa"/>
          <w:trHeight w:val="693" w:hRule="atLeast"/>
        </w:trPr>
        <w:tc>
          <w:tcPr>
            <w:tcW w:w="904" w:type="dxa"/>
            <w:vMerge w:val="restart"/>
            <w:tcBorders>
              <w:top w:val="single" w:color="000000" w:sz="4" w:space="0"/>
              <w:left w:val="single" w:color="000000" w:sz="4" w:space="0"/>
              <w:right w:val="single" w:color="000000" w:sz="4" w:space="0"/>
            </w:tcBorders>
            <w:shd w:val="clear" w:color="auto" w:fill="auto"/>
            <w:vAlign w:val="center"/>
          </w:tcPr>
          <w:p w14:paraId="434FD3F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70" w:type="dxa"/>
            <w:tcBorders>
              <w:top w:val="single" w:color="000000" w:sz="4" w:space="0"/>
              <w:left w:val="nil"/>
              <w:bottom w:val="single" w:color="000000" w:sz="4" w:space="0"/>
              <w:right w:val="single" w:color="000000" w:sz="4" w:space="0"/>
            </w:tcBorders>
            <w:shd w:val="clear" w:color="auto" w:fill="auto"/>
            <w:vAlign w:val="center"/>
          </w:tcPr>
          <w:p w14:paraId="30E4974C">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14:paraId="24AB4054">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97B1">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14:paraId="27DF8170">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183">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14:paraId="54E3969B">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245">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预期指标值</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1A7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A2B27A8">
        <w:tblPrEx>
          <w:tblCellMar>
            <w:top w:w="0" w:type="dxa"/>
            <w:left w:w="108" w:type="dxa"/>
            <w:bottom w:w="0" w:type="dxa"/>
            <w:right w:w="108" w:type="dxa"/>
          </w:tblCellMar>
        </w:tblPrEx>
        <w:trPr>
          <w:gridAfter w:val="1"/>
          <w:wAfter w:w="236" w:type="dxa"/>
          <w:trHeight w:val="415" w:hRule="atLeast"/>
        </w:trPr>
        <w:tc>
          <w:tcPr>
            <w:tcW w:w="904" w:type="dxa"/>
            <w:vMerge w:val="continue"/>
            <w:tcBorders>
              <w:left w:val="single" w:color="000000" w:sz="4" w:space="0"/>
              <w:right w:val="single" w:color="000000" w:sz="4" w:space="0"/>
            </w:tcBorders>
            <w:shd w:val="clear" w:color="auto" w:fill="auto"/>
            <w:vAlign w:val="center"/>
          </w:tcPr>
          <w:p w14:paraId="7294F55E">
            <w:pPr>
              <w:spacing w:line="320" w:lineRule="exact"/>
              <w:jc w:val="center"/>
              <w:rPr>
                <w:rFonts w:ascii="仿宋_GB2312" w:hAnsi="仿宋_GB2312" w:eastAsia="仿宋_GB2312" w:cs="仿宋_GB2312"/>
                <w:sz w:val="28"/>
                <w:szCs w:val="28"/>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BF1A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967699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tcPr>
          <w:p w14:paraId="4EB7ECDD">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数量指标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37E9334B">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运动场改造面积6580平方米；学校雨污水管网改造220米，给水管改造500米；运动场文化建设（含LED灯、文化墙、运动场照明监控等强弱电改造工程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68ADDE73">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动场改造面积6580平方米；学校雨污水管网改造220米，给水管改造500米；运动场文化建设（含LED灯、文化墙、运动场照明监控等强弱电改造工程）全部完成工程量</w:t>
            </w:r>
          </w:p>
        </w:tc>
        <w:tc>
          <w:tcPr>
            <w:tcW w:w="1111" w:type="dxa"/>
            <w:tcBorders>
              <w:top w:val="single" w:color="000000" w:sz="4" w:space="0"/>
              <w:left w:val="single" w:color="000000" w:sz="4" w:space="0"/>
              <w:bottom w:val="single" w:color="000000" w:sz="4" w:space="0"/>
              <w:right w:val="single" w:color="000000" w:sz="4" w:space="0"/>
            </w:tcBorders>
            <w:shd w:val="clear" w:color="auto" w:fill="auto"/>
          </w:tcPr>
          <w:p w14:paraId="1571F49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270711BD">
        <w:tblPrEx>
          <w:tblCellMar>
            <w:top w:w="0" w:type="dxa"/>
            <w:left w:w="108" w:type="dxa"/>
            <w:bottom w:w="0" w:type="dxa"/>
            <w:right w:w="108" w:type="dxa"/>
          </w:tblCellMar>
        </w:tblPrEx>
        <w:trPr>
          <w:gridAfter w:val="1"/>
          <w:wAfter w:w="236" w:type="dxa"/>
          <w:trHeight w:val="415" w:hRule="atLeast"/>
        </w:trPr>
        <w:tc>
          <w:tcPr>
            <w:tcW w:w="904" w:type="dxa"/>
            <w:vMerge w:val="continue"/>
            <w:tcBorders>
              <w:left w:val="single" w:color="000000" w:sz="4" w:space="0"/>
              <w:right w:val="single" w:color="000000" w:sz="4" w:space="0"/>
            </w:tcBorders>
            <w:shd w:val="clear" w:color="auto" w:fill="auto"/>
            <w:vAlign w:val="center"/>
          </w:tcPr>
          <w:p w14:paraId="6FBEDA92">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DC3B8C8">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596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7F7ACE2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进场材料 、设备检测合格率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241132E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所有子项目均应在年内竣工验收，因无法抗力或有正当理由的，已向主管部门报备的，可延后验收</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5B51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392241DD">
        <w:tblPrEx>
          <w:tblCellMar>
            <w:top w:w="0" w:type="dxa"/>
            <w:left w:w="108" w:type="dxa"/>
            <w:bottom w:w="0" w:type="dxa"/>
            <w:right w:w="108" w:type="dxa"/>
          </w:tblCellMar>
        </w:tblPrEx>
        <w:trPr>
          <w:gridAfter w:val="1"/>
          <w:wAfter w:w="236" w:type="dxa"/>
          <w:trHeight w:val="415" w:hRule="atLeast"/>
        </w:trPr>
        <w:tc>
          <w:tcPr>
            <w:tcW w:w="904" w:type="dxa"/>
            <w:vMerge w:val="continue"/>
            <w:tcBorders>
              <w:left w:val="single" w:color="000000" w:sz="4" w:space="0"/>
              <w:right w:val="single" w:color="000000" w:sz="4" w:space="0"/>
            </w:tcBorders>
            <w:shd w:val="clear" w:color="auto" w:fill="auto"/>
            <w:vAlign w:val="center"/>
          </w:tcPr>
          <w:p w14:paraId="2B99F1E1">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B13014C">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8F77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CA5D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18"/>
                <w:szCs w:val="18"/>
              </w:rPr>
              <w:t>运动场改造面积6580平方米；学校雨污水管网改造220米，给水管改造500米；运动场文化建设（含LED灯、文化墙、运动场照明监控等强弱电改造工程</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55DB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如期完成合同全部内容</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CCBB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42898BE3">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2434D9D9">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D428613">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E1CF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72C">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18"/>
                <w:szCs w:val="18"/>
              </w:rPr>
              <w:t>工程项目均按预算成本进行</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24A9">
            <w:pPr>
              <w:widowControl/>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Cs w:val="21"/>
              </w:rPr>
              <w:t>在计划成本内完成建设任务，总体不超过合同约定的，各子项目均不超过计划成本</w:t>
            </w:r>
            <w:r>
              <w:rPr>
                <w:rFonts w:hint="eastAsia" w:ascii="宋体" w:hAnsi="宋体" w:cs="宋体"/>
                <w:color w:val="000000"/>
                <w:kern w:val="0"/>
                <w:sz w:val="18"/>
                <w:szCs w:val="18"/>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F439">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18"/>
                <w:szCs w:val="18"/>
              </w:rPr>
              <w:t>完成支付373万元，</w:t>
            </w:r>
          </w:p>
        </w:tc>
      </w:tr>
      <w:tr w14:paraId="6AEA4201">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76020D6A">
            <w:pPr>
              <w:spacing w:line="320" w:lineRule="exact"/>
              <w:jc w:val="center"/>
              <w:rPr>
                <w:rFonts w:ascii="仿宋_GB2312" w:hAnsi="仿宋_GB2312" w:eastAsia="仿宋_GB2312" w:cs="仿宋_GB2312"/>
                <w:sz w:val="28"/>
                <w:szCs w:val="28"/>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E9D67">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14:paraId="187B655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7741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602A2E2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成本节约，定期检查</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491E837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对该项目每月至少定期检查1次</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FA1905">
            <w:pPr>
              <w:widowControl/>
              <w:spacing w:line="320" w:lineRule="exact"/>
              <w:jc w:val="center"/>
              <w:textAlignment w:val="bottom"/>
              <w:rPr>
                <w:rFonts w:ascii="仿宋_GB2312" w:hAnsi="仿宋_GB2312" w:eastAsia="仿宋_GB2312" w:cs="仿宋_GB2312"/>
                <w:sz w:val="28"/>
                <w:szCs w:val="28"/>
              </w:rPr>
            </w:pPr>
          </w:p>
        </w:tc>
      </w:tr>
      <w:tr w14:paraId="1BF8F113">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7C65916E">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D12562">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4BA0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1479BB0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工作和学习环境</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7565D62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提升学校整体教学质量，营造良好的工作和学习环境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AEFDB">
            <w:pPr>
              <w:widowControl/>
              <w:spacing w:line="320" w:lineRule="exact"/>
              <w:jc w:val="center"/>
              <w:textAlignment w:val="bottom"/>
              <w:rPr>
                <w:rFonts w:ascii="仿宋_GB2312" w:hAnsi="仿宋_GB2312" w:eastAsia="仿宋_GB2312" w:cs="仿宋_GB2312"/>
                <w:sz w:val="28"/>
                <w:szCs w:val="28"/>
              </w:rPr>
            </w:pPr>
          </w:p>
        </w:tc>
      </w:tr>
      <w:tr w14:paraId="6C3505E8">
        <w:tblPrEx>
          <w:tblCellMar>
            <w:top w:w="0" w:type="dxa"/>
            <w:left w:w="108" w:type="dxa"/>
            <w:bottom w:w="0" w:type="dxa"/>
            <w:right w:w="108" w:type="dxa"/>
          </w:tblCellMar>
        </w:tblPrEx>
        <w:trPr>
          <w:gridAfter w:val="1"/>
          <w:wAfter w:w="236" w:type="dxa"/>
          <w:trHeight w:val="577" w:hRule="atLeast"/>
        </w:trPr>
        <w:tc>
          <w:tcPr>
            <w:tcW w:w="904" w:type="dxa"/>
            <w:vMerge w:val="continue"/>
            <w:tcBorders>
              <w:left w:val="single" w:color="000000" w:sz="4" w:space="0"/>
              <w:right w:val="single" w:color="000000" w:sz="4" w:space="0"/>
            </w:tcBorders>
            <w:shd w:val="clear" w:color="auto" w:fill="auto"/>
            <w:vAlign w:val="center"/>
          </w:tcPr>
          <w:p w14:paraId="544EB640">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98FB1B3">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5B336">
            <w:pPr>
              <w:widowControl/>
              <w:spacing w:line="320" w:lineRule="exact"/>
              <w:jc w:val="left"/>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w:t>
            </w:r>
          </w:p>
          <w:p w14:paraId="650B5DA3">
            <w:pPr>
              <w:widowControl/>
              <w:spacing w:line="32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益指标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5A94C56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文明施工</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692B0B2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实施了文明施工措施，施工过程中未出现粉尘、废气、废水、固体废弃物，有毒气体，噪声、振动、施工照明等对人和环境的危害和污染，施工垃圾清理及时</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F1274">
            <w:pPr>
              <w:widowControl/>
              <w:spacing w:line="320" w:lineRule="exact"/>
              <w:jc w:val="center"/>
              <w:textAlignment w:val="bottom"/>
              <w:rPr>
                <w:rFonts w:ascii="仿宋_GB2312" w:hAnsi="仿宋_GB2312" w:eastAsia="仿宋_GB2312" w:cs="仿宋_GB2312"/>
                <w:sz w:val="28"/>
                <w:szCs w:val="28"/>
              </w:rPr>
            </w:pPr>
          </w:p>
        </w:tc>
      </w:tr>
      <w:tr w14:paraId="0AE8A031">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04F8D2CE">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D059137">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4E2F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9BD8">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体现政策导向，长期保障教育教学工作持续发展，保障广大师生的生命安全。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932">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18"/>
                <w:szCs w:val="18"/>
              </w:rPr>
              <w:t>2021年部门支出为我校各项工作正常运转。</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6DB23">
            <w:pPr>
              <w:widowControl/>
              <w:spacing w:line="320" w:lineRule="exact"/>
              <w:jc w:val="center"/>
              <w:textAlignment w:val="bottom"/>
              <w:rPr>
                <w:rFonts w:ascii="仿宋_GB2312" w:hAnsi="仿宋_GB2312" w:eastAsia="仿宋_GB2312" w:cs="仿宋_GB2312"/>
                <w:sz w:val="28"/>
                <w:szCs w:val="28"/>
              </w:rPr>
            </w:pPr>
          </w:p>
        </w:tc>
      </w:tr>
      <w:tr w14:paraId="15311547">
        <w:tblPrEx>
          <w:tblCellMar>
            <w:top w:w="0" w:type="dxa"/>
            <w:left w:w="108" w:type="dxa"/>
            <w:bottom w:w="0" w:type="dxa"/>
            <w:right w:w="108" w:type="dxa"/>
          </w:tblCellMar>
        </w:tblPrEx>
        <w:trPr>
          <w:gridAfter w:val="1"/>
          <w:wAfter w:w="236" w:type="dxa"/>
          <w:trHeight w:val="530" w:hRule="atLeast"/>
        </w:trPr>
        <w:tc>
          <w:tcPr>
            <w:tcW w:w="904" w:type="dxa"/>
            <w:vMerge w:val="continue"/>
            <w:tcBorders>
              <w:left w:val="single" w:color="000000" w:sz="4" w:space="0"/>
              <w:bottom w:val="single" w:color="000000" w:sz="4" w:space="0"/>
              <w:right w:val="single" w:color="000000" w:sz="4" w:space="0"/>
            </w:tcBorders>
            <w:shd w:val="clear" w:color="auto" w:fill="auto"/>
            <w:vAlign w:val="center"/>
          </w:tcPr>
          <w:p w14:paraId="52942DBC">
            <w:pPr>
              <w:spacing w:line="320" w:lineRule="exact"/>
              <w:jc w:val="center"/>
              <w:rPr>
                <w:rFonts w:ascii="仿宋_GB2312" w:hAnsi="仿宋_GB2312" w:eastAsia="仿宋_GB2312" w:cs="仿宋_GB2312"/>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5261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14:paraId="6298188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DFA36">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42DCB45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62003C1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群众满意度达到</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25906E8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满意或基本满意</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D1ED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14:paraId="5847D6C3">
      <w:pPr>
        <w:spacing w:line="600" w:lineRule="exact"/>
        <w:jc w:val="center"/>
        <w:rPr>
          <w:rFonts w:ascii="黑体" w:hAnsi="黑体" w:eastAsia="黑体"/>
          <w:sz w:val="44"/>
          <w:szCs w:val="44"/>
        </w:rPr>
      </w:pPr>
    </w:p>
    <w:p w14:paraId="08B8FCF1">
      <w:pPr>
        <w:pStyle w:val="7"/>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盐边县渔门镇中心学校</w:t>
      </w:r>
    </w:p>
    <w:p w14:paraId="46500CEB">
      <w:pPr>
        <w:pStyle w:val="7"/>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运动场改造工程资金绩效自评报告</w:t>
      </w:r>
    </w:p>
    <w:p w14:paraId="281689EB">
      <w:pPr>
        <w:pStyle w:val="7"/>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运动场改造工程</w:t>
      </w:r>
    </w:p>
    <w:p w14:paraId="3A141BB0">
      <w:pPr>
        <w:autoSpaceDE w:val="0"/>
        <w:autoSpaceDN w:val="0"/>
        <w:adjustRightInd w:val="0"/>
        <w:spacing w:line="600" w:lineRule="exact"/>
        <w:ind w:firstLine="640" w:firstLineChars="200"/>
        <w:jc w:val="left"/>
        <w:outlineLvl w:val="1"/>
        <w:rPr>
          <w:rFonts w:eastAsia="黑体"/>
          <w:kern w:val="0"/>
          <w:sz w:val="32"/>
          <w:szCs w:val="32"/>
        </w:rPr>
      </w:pPr>
      <w:bookmarkStart w:id="81" w:name="_Toc20133"/>
      <w:r>
        <w:rPr>
          <w:rFonts w:eastAsia="黑体"/>
          <w:kern w:val="0"/>
          <w:sz w:val="32"/>
          <w:szCs w:val="32"/>
        </w:rPr>
        <w:t>一、项目概况</w:t>
      </w:r>
      <w:bookmarkEnd w:id="81"/>
    </w:p>
    <w:p w14:paraId="19435A0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7E54C5A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14:paraId="614E6233">
      <w:pPr>
        <w:spacing w:line="560" w:lineRule="exact"/>
        <w:ind w:firstLine="640" w:firstLineChars="200"/>
        <w:rPr>
          <w:rFonts w:eastAsia="仿宋_GB2312"/>
          <w:sz w:val="32"/>
          <w:szCs w:val="32"/>
        </w:rPr>
      </w:pPr>
      <w:r>
        <w:rPr>
          <w:rFonts w:hint="eastAsia" w:eastAsia="仿宋_GB2312"/>
          <w:sz w:val="32"/>
          <w:szCs w:val="32"/>
        </w:rPr>
        <w:t>为了做好2021年度专项（项目）资金绩效自评工作，提高财政资金使用效益，根据《盐边县财政局关于全面实施预算绩效管理的工作方案》文件精神，结合实际，在教育和体育局相关门部的指导下，对所申报项目进行立项、公开招投标、比选、对施工项目进行监督检查，我单位组织成立了绩效评价工作小组，对我校进行专项资金有关账目，收集整理专项资金支出相关资料，进行绩效自评分析，总结，现将我单位绩效自评结果报告如下。</w:t>
      </w:r>
    </w:p>
    <w:p w14:paraId="30363E1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14:paraId="4FB64E95">
      <w:pPr>
        <w:spacing w:line="560" w:lineRule="exact"/>
        <w:ind w:firstLine="640" w:firstLineChars="200"/>
        <w:rPr>
          <w:rFonts w:eastAsia="仿宋_GB2312"/>
          <w:sz w:val="32"/>
          <w:szCs w:val="32"/>
        </w:rPr>
      </w:pPr>
      <w:r>
        <w:rPr>
          <w:rFonts w:hint="eastAsia" w:eastAsia="仿宋_GB2312"/>
          <w:sz w:val="32"/>
          <w:szCs w:val="32"/>
        </w:rPr>
        <w:t>根据盐边县渔门镇中心学校运动场改造工程招投标，投标地点盐边县教育和体育局五楼小会议室，资金盐财资行[2021]36号文件，项目资金来源中央补助358万元，省级补助15万元。</w:t>
      </w:r>
    </w:p>
    <w:p w14:paraId="5583D95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14:paraId="21DC0624">
      <w:pPr>
        <w:spacing w:line="560" w:lineRule="exact"/>
        <w:ind w:firstLine="640" w:firstLineChars="200"/>
        <w:rPr>
          <w:rFonts w:eastAsia="仿宋_GB2312"/>
          <w:sz w:val="32"/>
          <w:szCs w:val="32"/>
        </w:rPr>
      </w:pPr>
      <w:r>
        <w:rPr>
          <w:rFonts w:hint="eastAsia" w:eastAsia="仿宋_GB2312"/>
          <w:sz w:val="32"/>
          <w:szCs w:val="32"/>
        </w:rPr>
        <w:t>在项目实施过程中资金由财政下拨至一体化平台，实行专款专用，加强资金管理，严禁挤占、挪用、截留该项目资金，在资金使用过程中由施工方提出申请，监理检查验收工程进度是否符合申报条件，经单位财务人员申报上级主管部门进行审批拨付进度款，工程完工申报申请上级主管部门对工程进行竣工验收签字，按审计后申请资金拨付工程款到指定账户。</w:t>
      </w:r>
    </w:p>
    <w:p w14:paraId="35ABE46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14:paraId="250E1359">
      <w:pPr>
        <w:spacing w:line="560" w:lineRule="exact"/>
        <w:ind w:firstLine="640" w:firstLineChars="200"/>
        <w:rPr>
          <w:rFonts w:eastAsia="仿宋_GB2312"/>
          <w:sz w:val="32"/>
          <w:szCs w:val="32"/>
        </w:rPr>
      </w:pPr>
      <w:r>
        <w:rPr>
          <w:rFonts w:hint="eastAsia" w:eastAsia="仿宋_GB2312"/>
          <w:sz w:val="32"/>
          <w:szCs w:val="32"/>
        </w:rPr>
        <w:t>根据四川省财政厅，四川省教育厅《关于提前通知2020年农村义务教育保障机制中央和省级补助资金的通知》（川财教（2019）241号 ）,（川财教[2019]）245号，下拨2021年农村中小学校校舍维修改造中央和省级转移支付资金，中小学校舍维修改造项目资金严格按照“科学、安全、经济、实用”为基础，及遵照《建筑法》、《招标标法》、《采购法》、《审计法》，根据规定要求须纳入代建制的项目必须纳入代建，须纳入比选的项目必须纳入比选。</w:t>
      </w:r>
    </w:p>
    <w:p w14:paraId="7A287FC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187E771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14:paraId="7949F7DF">
      <w:pPr>
        <w:spacing w:line="560" w:lineRule="exact"/>
        <w:ind w:firstLine="640" w:firstLineChars="200"/>
        <w:rPr>
          <w:rFonts w:eastAsia="仿宋_GB2312"/>
          <w:sz w:val="32"/>
          <w:szCs w:val="32"/>
        </w:rPr>
      </w:pPr>
      <w:r>
        <w:rPr>
          <w:rFonts w:hint="eastAsia" w:eastAsia="仿宋_GB2312"/>
          <w:sz w:val="32"/>
          <w:szCs w:val="32"/>
        </w:rPr>
        <w:t>2021年盐边县渔门镇中心学校运动场改造项目373万元，主要工程量运动场改造面积6580平方米（约合9.87亩，含拆除更换原塑胶运动场、跑道、运动原有绿化树木移除换种，树池花池改造、旗台拆除改造），</w:t>
      </w:r>
    </w:p>
    <w:p w14:paraId="34A3ACE0">
      <w:pPr>
        <w:numPr>
          <w:ilvl w:val="0"/>
          <w:numId w:val="9"/>
        </w:numPr>
        <w:spacing w:line="560" w:lineRule="exact"/>
        <w:ind w:firstLine="640" w:firstLineChars="200"/>
        <w:rPr>
          <w:rFonts w:eastAsia="仿宋_GB2312"/>
          <w:sz w:val="32"/>
          <w:szCs w:val="32"/>
        </w:rPr>
      </w:pPr>
      <w:r>
        <w:rPr>
          <w:rFonts w:eastAsia="仿宋_GB2312"/>
          <w:sz w:val="32"/>
          <w:szCs w:val="32"/>
        </w:rPr>
        <w:t>项目实现的具体绩效目标，目标的量化、细化情况以及项目实施进度计划</w:t>
      </w:r>
      <w:r>
        <w:rPr>
          <w:rFonts w:hint="eastAsia" w:eastAsia="仿宋_GB2312"/>
          <w:sz w:val="32"/>
          <w:szCs w:val="32"/>
        </w:rPr>
        <w:t>如下：</w:t>
      </w:r>
    </w:p>
    <w:p w14:paraId="58FCA142">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主要工程量运动场改造面积6580平方米；学校雨污水管网改造220米，给水管改造500米；运动场文化建设（含LED灯、文化墙、运动场照明监控等强弱电改造工程）</w:t>
      </w:r>
    </w:p>
    <w:p w14:paraId="083D66B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14:paraId="17BF5E1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14:paraId="554492AF">
      <w:pPr>
        <w:spacing w:line="560" w:lineRule="exact"/>
        <w:ind w:firstLine="640" w:firstLineChars="200"/>
        <w:rPr>
          <w:rFonts w:eastAsia="楷体_GB2312"/>
          <w:sz w:val="32"/>
          <w:szCs w:val="32"/>
        </w:rPr>
      </w:pPr>
      <w:r>
        <w:rPr>
          <w:rFonts w:hint="eastAsia" w:eastAsia="楷体_GB2312"/>
          <w:sz w:val="32"/>
          <w:szCs w:val="32"/>
        </w:rPr>
        <w:t>本次所申报内容与实际建筑相符，申报目标符合理可行。</w:t>
      </w:r>
    </w:p>
    <w:p w14:paraId="0A3BBCB9">
      <w:pPr>
        <w:spacing w:line="560" w:lineRule="exact"/>
        <w:ind w:firstLine="640" w:firstLineChars="200"/>
        <w:rPr>
          <w:rFonts w:eastAsia="黑体"/>
          <w:sz w:val="32"/>
          <w:szCs w:val="32"/>
        </w:rPr>
      </w:pPr>
      <w:r>
        <w:rPr>
          <w:rFonts w:hint="eastAsia" w:eastAsia="仿宋_GB2312"/>
          <w:sz w:val="32"/>
          <w:szCs w:val="32"/>
        </w:rPr>
        <w:t>项目的建设由学校组成的领导小组，对该项目进行监督，查检，严格按照施工图纸进行验收，施工期间不间断地与监督方进行施项目接洽，对施工内容发现问题及时纠正，对问题的处理及时有效，保证工程的顺利进行并投入使用。</w:t>
      </w:r>
    </w:p>
    <w:p w14:paraId="3F74AC49">
      <w:pPr>
        <w:autoSpaceDE w:val="0"/>
        <w:autoSpaceDN w:val="0"/>
        <w:adjustRightInd w:val="0"/>
        <w:spacing w:line="600" w:lineRule="exact"/>
        <w:ind w:firstLine="640" w:firstLineChars="200"/>
        <w:jc w:val="left"/>
        <w:outlineLvl w:val="1"/>
        <w:rPr>
          <w:rFonts w:eastAsia="楷体_GB2312"/>
          <w:kern w:val="0"/>
          <w:sz w:val="32"/>
          <w:szCs w:val="32"/>
        </w:rPr>
      </w:pPr>
      <w:bookmarkStart w:id="82" w:name="_Toc956"/>
      <w:r>
        <w:rPr>
          <w:rFonts w:eastAsia="黑体"/>
          <w:kern w:val="0"/>
          <w:sz w:val="32"/>
          <w:szCs w:val="32"/>
        </w:rPr>
        <w:t>二、项目资金申报及使用情况</w:t>
      </w:r>
      <w:bookmarkEnd w:id="82"/>
    </w:p>
    <w:p w14:paraId="3176086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15E856F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说明项目资金申报、批复及预算调整等程序的相关情况。</w:t>
      </w:r>
    </w:p>
    <w:p w14:paraId="148CF66F">
      <w:pPr>
        <w:spacing w:line="560" w:lineRule="exact"/>
        <w:ind w:firstLine="640" w:firstLineChars="200"/>
        <w:rPr>
          <w:rFonts w:eastAsia="仿宋_GB2312"/>
          <w:sz w:val="32"/>
          <w:szCs w:val="32"/>
        </w:rPr>
      </w:pPr>
      <w:r>
        <w:rPr>
          <w:rFonts w:hint="eastAsia" w:eastAsia="仿宋_GB2312"/>
          <w:sz w:val="32"/>
          <w:szCs w:val="32"/>
        </w:rPr>
        <w:t>根据盐边县发展和改革局的批复文件，项目资金通过工程造价进行预算，对增量部分进行报价、报告说明，上报上级主管部门进行审核同意，预算调整。</w:t>
      </w:r>
    </w:p>
    <w:p w14:paraId="195F247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14:paraId="6A65814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14:paraId="653E2B1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在说明该项目全市资金计划的基础上，分项目大类分别说明各类资金计划情况，包括中央、省、市（州）、县（市、区）财政资金、项目单位自筹、其他渠道资金（包括银行贷款及其他资金等）。</w:t>
      </w:r>
    </w:p>
    <w:p w14:paraId="06BF3D15">
      <w:pPr>
        <w:spacing w:line="560" w:lineRule="exact"/>
        <w:ind w:firstLine="643" w:firstLineChars="200"/>
        <w:rPr>
          <w:rFonts w:eastAsia="仿宋_GB2312"/>
          <w:b/>
          <w:sz w:val="32"/>
          <w:szCs w:val="32"/>
        </w:rPr>
      </w:pPr>
      <w:r>
        <w:rPr>
          <w:rFonts w:hint="eastAsia" w:eastAsia="仿宋_GB2312"/>
          <w:b/>
          <w:sz w:val="32"/>
          <w:szCs w:val="32"/>
        </w:rPr>
        <w:t>盐边县2021年中小学校校舍维修改造中央和省级转移支付资金预算表</w:t>
      </w:r>
    </w:p>
    <w:tbl>
      <w:tblPr>
        <w:tblStyle w:val="14"/>
        <w:tblW w:w="85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517"/>
        <w:gridCol w:w="1278"/>
        <w:gridCol w:w="1229"/>
      </w:tblGrid>
      <w:tr w14:paraId="3D05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74" w:type="dxa"/>
            <w:vAlign w:val="center"/>
          </w:tcPr>
          <w:p w14:paraId="4C42708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5517" w:type="dxa"/>
            <w:vAlign w:val="center"/>
          </w:tcPr>
          <w:p w14:paraId="59138CC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1278" w:type="dxa"/>
            <w:noWrap/>
            <w:vAlign w:val="center"/>
          </w:tcPr>
          <w:p w14:paraId="37F22D3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财政拨款</w:t>
            </w:r>
          </w:p>
          <w:p w14:paraId="2E686234">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（万元）</w:t>
            </w:r>
          </w:p>
        </w:tc>
        <w:tc>
          <w:tcPr>
            <w:tcW w:w="1229" w:type="dxa"/>
            <w:noWrap/>
            <w:vAlign w:val="center"/>
          </w:tcPr>
          <w:p w14:paraId="55CEF6B3">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财政支出（万元）</w:t>
            </w:r>
          </w:p>
        </w:tc>
      </w:tr>
      <w:tr w14:paraId="1A17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4" w:type="dxa"/>
            <w:vAlign w:val="center"/>
          </w:tcPr>
          <w:p w14:paraId="054F37C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517" w:type="dxa"/>
            <w:vAlign w:val="center"/>
          </w:tcPr>
          <w:p w14:paraId="037BA0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2021渔门镇中心学校运动运动场改造工程</w:t>
            </w:r>
          </w:p>
        </w:tc>
        <w:tc>
          <w:tcPr>
            <w:tcW w:w="1278" w:type="dxa"/>
            <w:noWrap/>
            <w:vAlign w:val="center"/>
          </w:tcPr>
          <w:p w14:paraId="0104D959">
            <w:pPr>
              <w:widowControl/>
              <w:jc w:val="right"/>
              <w:textAlignment w:val="center"/>
              <w:rPr>
                <w:rFonts w:ascii="宋体" w:hAnsi="宋体" w:cs="宋体"/>
                <w:color w:val="000000"/>
                <w:sz w:val="22"/>
                <w:szCs w:val="22"/>
              </w:rPr>
            </w:pPr>
            <w:r>
              <w:rPr>
                <w:rFonts w:hint="eastAsia" w:ascii="宋体" w:hAnsi="宋体" w:cs="宋体"/>
                <w:color w:val="000000"/>
                <w:sz w:val="22"/>
                <w:szCs w:val="22"/>
              </w:rPr>
              <w:t>373</w:t>
            </w:r>
          </w:p>
        </w:tc>
        <w:tc>
          <w:tcPr>
            <w:tcW w:w="1229" w:type="dxa"/>
            <w:noWrap/>
            <w:vAlign w:val="center"/>
          </w:tcPr>
          <w:p w14:paraId="14A4CAF8">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373</w:t>
            </w:r>
          </w:p>
        </w:tc>
      </w:tr>
    </w:tbl>
    <w:p w14:paraId="28CCB035">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14:paraId="7B3F05D6">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截至</w:t>
      </w:r>
      <w:r>
        <w:rPr>
          <w:rFonts w:eastAsia="仿宋_GB2312"/>
          <w:sz w:val="32"/>
          <w:szCs w:val="32"/>
        </w:rPr>
        <w:t>评价时点</w:t>
      </w:r>
      <w:r>
        <w:rPr>
          <w:rFonts w:hint="eastAsia" w:eastAsia="仿宋_GB2312"/>
          <w:sz w:val="32"/>
          <w:szCs w:val="32"/>
        </w:rPr>
        <w:t>本校所有项目资金在年初预算时及修建项目的通过学校报告、政府采购、财评、立项等完成相关程序后财政部门及时下拨该款项到学校金财网平台。没有不到位和不及时情况。各项资金下拨情况如下：</w:t>
      </w:r>
    </w:p>
    <w:p w14:paraId="7E536891">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该项经费为直达资金（川财教2020）239号为央维改资金358万元；川财教（2020）239号省级维改资金15万元。</w:t>
      </w:r>
    </w:p>
    <w:p w14:paraId="4B4630B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14:paraId="0F45AE44">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汇总统计截止评价时点该项目资金支出情况。在此基础上分项目大类统计资金支出情况，并对资金使用的安全性、规范性及有效性进行重点分析，包括资金支付范围、支付标准、支付进度、支付依据等是否合规合法、是否与预算相符，并对自评中发现的相关问题进行分析说明。</w:t>
      </w:r>
    </w:p>
    <w:p w14:paraId="6D27340F">
      <w:pPr>
        <w:autoSpaceDE w:val="0"/>
        <w:autoSpaceDN w:val="0"/>
        <w:adjustRightInd w:val="0"/>
        <w:spacing w:line="600" w:lineRule="exact"/>
        <w:ind w:firstLine="640" w:firstLineChars="200"/>
        <w:jc w:val="left"/>
        <w:rPr>
          <w:rFonts w:eastAsia="楷体_GB2312"/>
          <w:kern w:val="0"/>
          <w:sz w:val="32"/>
          <w:szCs w:val="32"/>
        </w:rPr>
      </w:pPr>
      <w:r>
        <w:rPr>
          <w:rFonts w:hint="eastAsia" w:ascii="仿宋_GB2312" w:hAnsi="仿宋_GB2312" w:eastAsia="仿宋_GB2312" w:cs="仿宋_GB2312"/>
          <w:kern w:val="0"/>
          <w:sz w:val="32"/>
          <w:szCs w:val="32"/>
        </w:rPr>
        <w:t>上级主管部门教育体育局成立了教育财务核算中心，制定了财务报账审批制度，修订完善了会议费、公务接待费、差旅报销管理办法。由核算中心进行会计核算和财务管理，严格执行政府的财务管理相关制度。</w:t>
      </w:r>
    </w:p>
    <w:p w14:paraId="68A33BC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0C6AC994">
      <w:pPr>
        <w:autoSpaceDE w:val="0"/>
        <w:autoSpaceDN w:val="0"/>
        <w:adjustRightInd w:val="0"/>
        <w:spacing w:line="600" w:lineRule="exact"/>
        <w:ind w:firstLine="640" w:firstLineChars="200"/>
        <w:jc w:val="left"/>
        <w:rPr>
          <w:rFonts w:eastAsia="仿宋_GB2312"/>
          <w:sz w:val="32"/>
          <w:szCs w:val="32"/>
        </w:rPr>
      </w:pPr>
      <w:r>
        <w:rPr>
          <w:rFonts w:hint="eastAsia" w:ascii="仿宋_GB2312" w:hAnsi="仿宋_GB2312" w:eastAsia="仿宋_GB2312" w:cs="仿宋_GB2312"/>
          <w:kern w:val="0"/>
          <w:sz w:val="32"/>
          <w:szCs w:val="32"/>
        </w:rPr>
        <w:t>上级主管部门教育体育局成立了教育财务核算中心，制定了财务报账审批制度，修订完善了工程项目专项资金、会议费、公务接待费、差旅报销管理办法。由核算中心进行会计核算和财务管理，严格执行政府采购制度。</w:t>
      </w:r>
      <w:r>
        <w:rPr>
          <w:rFonts w:hint="eastAsia" w:eastAsia="仿宋_GB2312"/>
          <w:sz w:val="32"/>
          <w:szCs w:val="32"/>
        </w:rPr>
        <w:t>我校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14:paraId="7188C03C">
      <w:pPr>
        <w:spacing w:line="560" w:lineRule="exact"/>
        <w:ind w:firstLine="640" w:firstLineChars="200"/>
        <w:rPr>
          <w:rFonts w:eastAsia="仿宋_GB2312"/>
          <w:sz w:val="32"/>
          <w:szCs w:val="32"/>
        </w:rPr>
      </w:pPr>
      <w:r>
        <w:rPr>
          <w:rFonts w:hint="eastAsia" w:eastAsia="仿宋_GB2312"/>
          <w:sz w:val="32"/>
          <w:szCs w:val="32"/>
        </w:rPr>
        <w:t>本单位项目实施财务管理制度健全，严格执行财务管理制度，账务处理及时，会计核算规范。</w:t>
      </w:r>
    </w:p>
    <w:p w14:paraId="544AB2B5">
      <w:pPr>
        <w:autoSpaceDE w:val="0"/>
        <w:autoSpaceDN w:val="0"/>
        <w:adjustRightInd w:val="0"/>
        <w:spacing w:line="600" w:lineRule="exact"/>
        <w:ind w:firstLine="640" w:firstLineChars="200"/>
        <w:jc w:val="left"/>
        <w:outlineLvl w:val="1"/>
        <w:rPr>
          <w:rFonts w:eastAsia="黑体"/>
          <w:kern w:val="0"/>
          <w:sz w:val="32"/>
          <w:szCs w:val="32"/>
        </w:rPr>
      </w:pPr>
      <w:bookmarkStart w:id="83" w:name="_Toc17762"/>
      <w:r>
        <w:rPr>
          <w:rFonts w:eastAsia="黑体"/>
          <w:kern w:val="0"/>
          <w:sz w:val="32"/>
          <w:szCs w:val="32"/>
        </w:rPr>
        <w:t>三、项目实施及管理情况</w:t>
      </w:r>
    </w:p>
    <w:p w14:paraId="4AB5842C">
      <w:pPr>
        <w:autoSpaceDE w:val="0"/>
        <w:autoSpaceDN w:val="0"/>
        <w:adjustRightInd w:val="0"/>
        <w:spacing w:line="600" w:lineRule="exact"/>
        <w:ind w:firstLine="640" w:firstLineChars="200"/>
        <w:jc w:val="left"/>
        <w:outlineLvl w:val="1"/>
        <w:rPr>
          <w:rFonts w:eastAsia="楷体_GB2312"/>
          <w:kern w:val="0"/>
          <w:sz w:val="32"/>
          <w:szCs w:val="32"/>
        </w:rPr>
      </w:pPr>
      <w:r>
        <w:rPr>
          <w:rFonts w:eastAsia="楷体_GB2312"/>
          <w:kern w:val="0"/>
          <w:sz w:val="32"/>
          <w:szCs w:val="32"/>
        </w:rPr>
        <w:t>（一）项目组织架构及实施流程。</w:t>
      </w:r>
      <w:bookmarkEnd w:id="83"/>
    </w:p>
    <w:p w14:paraId="3BC16872">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上级主管部门成立教育财务核算中心，按照上级主管部门的要求我校建立健全了资金分配规程和各项财务管理制度，制定了财务报账审批制度，修订完善了项目申报管理办法。由核算中心进行会计核算和财务管理，严格执行政府采购制度，做到先申报后采购，按流程办理。</w:t>
      </w:r>
    </w:p>
    <w:p w14:paraId="3FC5D4C3">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教育发展信息技术经费、教育发展校方责任经费、教学仪器设备经费，在教育局装备站的指导下，为加大学校建设力度，提高师生信息水平，抓好教研教改工作，促进学校教育协调发展。根据学校预算金额，专款专用，无违规超范围使用情况。</w:t>
      </w:r>
    </w:p>
    <w:p w14:paraId="06B7F1EB">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（一）项目组织架构及实施流程（二）项目管理情况。</w:t>
      </w:r>
    </w:p>
    <w:p w14:paraId="553C0443">
      <w:pPr>
        <w:spacing w:line="560" w:lineRule="exact"/>
        <w:ind w:firstLine="640" w:firstLineChars="200"/>
        <w:rPr>
          <w:rFonts w:eastAsia="仿宋_GB2312"/>
          <w:sz w:val="32"/>
          <w:szCs w:val="32"/>
        </w:rPr>
      </w:pPr>
      <w:r>
        <w:rPr>
          <w:rFonts w:eastAsia="仿宋_GB2312"/>
          <w:sz w:val="32"/>
          <w:szCs w:val="32"/>
        </w:rPr>
        <w:t>各项目实施</w:t>
      </w:r>
      <w:r>
        <w:rPr>
          <w:rFonts w:hint="eastAsia" w:eastAsia="仿宋_GB2312"/>
          <w:sz w:val="32"/>
          <w:szCs w:val="32"/>
        </w:rPr>
        <w:t>中我校严格</w:t>
      </w:r>
      <w:r>
        <w:rPr>
          <w:rFonts w:eastAsia="仿宋_GB2312"/>
          <w:sz w:val="32"/>
          <w:szCs w:val="32"/>
        </w:rPr>
        <w:t>执行相关法律法规及项目管理制度，</w:t>
      </w:r>
      <w:r>
        <w:rPr>
          <w:rFonts w:hint="eastAsia" w:eastAsia="仿宋_GB2312"/>
          <w:sz w:val="32"/>
          <w:szCs w:val="32"/>
        </w:rPr>
        <w:t>严格执行</w:t>
      </w:r>
      <w:r>
        <w:rPr>
          <w:rFonts w:eastAsia="仿宋_GB2312"/>
          <w:sz w:val="32"/>
          <w:szCs w:val="32"/>
        </w:rPr>
        <w:t>招投标、政府采购、项目公示制等相关规定。</w:t>
      </w:r>
    </w:p>
    <w:p w14:paraId="5470EF7C">
      <w:pPr>
        <w:spacing w:line="560" w:lineRule="exact"/>
        <w:ind w:firstLine="640" w:firstLineChars="200"/>
        <w:rPr>
          <w:rFonts w:eastAsia="楷体_GB2312"/>
          <w:sz w:val="32"/>
          <w:szCs w:val="32"/>
        </w:rPr>
      </w:pPr>
      <w:r>
        <w:rPr>
          <w:rFonts w:hint="eastAsia" w:eastAsia="楷体_GB2312"/>
          <w:sz w:val="32"/>
          <w:szCs w:val="32"/>
        </w:rPr>
        <w:t>学校修建项目管理严格按照“科学、安全、经济、实用”为基础，遵照《建筑法》、《招标标法》、《采购法》、《审计法》，对中标项目进行公示。</w:t>
      </w:r>
    </w:p>
    <w:p w14:paraId="552FA811">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14:paraId="4BF49B3E">
      <w:pPr>
        <w:spacing w:line="560" w:lineRule="exact"/>
        <w:ind w:firstLine="640" w:firstLineChars="200"/>
        <w:rPr>
          <w:rFonts w:eastAsia="仿宋_GB2312"/>
          <w:sz w:val="32"/>
          <w:szCs w:val="32"/>
        </w:rPr>
      </w:pPr>
      <w:r>
        <w:rPr>
          <w:rFonts w:eastAsia="仿宋_GB2312"/>
          <w:sz w:val="32"/>
          <w:szCs w:val="32"/>
        </w:rPr>
        <w:t>项目主管部门加强项目管理采取</w:t>
      </w:r>
      <w:r>
        <w:rPr>
          <w:rFonts w:hint="eastAsia" w:eastAsia="仿宋_GB2312"/>
          <w:sz w:val="32"/>
          <w:szCs w:val="32"/>
        </w:rPr>
        <w:t>了严格</w:t>
      </w:r>
      <w:r>
        <w:rPr>
          <w:rFonts w:eastAsia="仿宋_GB2312"/>
          <w:sz w:val="32"/>
          <w:szCs w:val="32"/>
        </w:rPr>
        <w:t>的监管手段、监管程序、监管工作</w:t>
      </w:r>
      <w:r>
        <w:rPr>
          <w:rFonts w:hint="eastAsia" w:eastAsia="仿宋_GB2312"/>
          <w:sz w:val="32"/>
          <w:szCs w:val="32"/>
        </w:rPr>
        <w:t>，取得了良好</w:t>
      </w:r>
      <w:r>
        <w:rPr>
          <w:rFonts w:eastAsia="仿宋_GB2312"/>
          <w:sz w:val="32"/>
          <w:szCs w:val="32"/>
        </w:rPr>
        <w:t>的效果。</w:t>
      </w:r>
      <w:r>
        <w:rPr>
          <w:rFonts w:hint="eastAsia" w:eastAsia="仿宋_GB2312"/>
          <w:sz w:val="32"/>
          <w:szCs w:val="32"/>
        </w:rPr>
        <w:t>在项目实施过程中采取对监理进行监督，对施工作业流程进行督导，严格按照施工图进行监督验收，实现效能高效，施工质量达标。</w:t>
      </w:r>
    </w:p>
    <w:p w14:paraId="6BE1A080">
      <w:pPr>
        <w:autoSpaceDE w:val="0"/>
        <w:autoSpaceDN w:val="0"/>
        <w:adjustRightInd w:val="0"/>
        <w:spacing w:line="600" w:lineRule="exact"/>
        <w:ind w:firstLine="640" w:firstLineChars="200"/>
        <w:jc w:val="left"/>
        <w:outlineLvl w:val="1"/>
        <w:rPr>
          <w:rFonts w:eastAsia="黑体"/>
          <w:kern w:val="0"/>
          <w:sz w:val="32"/>
          <w:szCs w:val="32"/>
        </w:rPr>
      </w:pPr>
      <w:bookmarkStart w:id="84" w:name="_Toc1443"/>
      <w:r>
        <w:rPr>
          <w:rFonts w:eastAsia="黑体"/>
          <w:kern w:val="0"/>
          <w:sz w:val="32"/>
          <w:szCs w:val="32"/>
        </w:rPr>
        <w:t>四、项目绩效情况</w:t>
      </w:r>
      <w:bookmarkEnd w:id="84"/>
    </w:p>
    <w:p w14:paraId="55F3944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5869F190">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包括项目完成数量、质量、时效、成本等情况，对照项目计划完成目标，对截止评价时点的任务量完成、质量标准、进度计划、成本控制目标的实现程度进行评价，并进行分析说明。</w:t>
      </w:r>
    </w:p>
    <w:p w14:paraId="7EB401D4">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2021年盐边县渔门镇中心学校主要工程量运动场改造面积6580平方米；学校雨污水管网改造220米，给水管改造500米；运动场文化建设（含LED灯、文化墙、运动场照明监控等强弱电改造工程）</w:t>
      </w:r>
    </w:p>
    <w:p w14:paraId="5D6639A6">
      <w:pPr>
        <w:spacing w:line="560" w:lineRule="exact"/>
        <w:rPr>
          <w:rFonts w:eastAsia="仿宋_GB2312"/>
          <w:sz w:val="32"/>
          <w:szCs w:val="32"/>
        </w:rPr>
      </w:pPr>
      <w:r>
        <w:rPr>
          <w:rFonts w:hint="eastAsia" w:eastAsia="仿宋_GB2312"/>
          <w:sz w:val="32"/>
          <w:szCs w:val="32"/>
        </w:rPr>
        <w:t>资金使用为中央维改资金358万元，省级维改资金15万元；2021年7月16日开工，2021年9月3日完成施工全部内容</w:t>
      </w:r>
    </w:p>
    <w:p w14:paraId="2FB99FE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4F20B8FA">
      <w:pPr>
        <w:spacing w:line="560" w:lineRule="exact"/>
        <w:ind w:firstLine="640" w:firstLineChars="200"/>
        <w:rPr>
          <w:rFonts w:eastAsia="黑体"/>
          <w:sz w:val="32"/>
          <w:szCs w:val="32"/>
        </w:rPr>
      </w:pPr>
      <w:r>
        <w:rPr>
          <w:rFonts w:hint="eastAsia" w:eastAsia="仿宋_GB2312"/>
          <w:sz w:val="32"/>
          <w:szCs w:val="32"/>
        </w:rPr>
        <w:t>在项目实施过程中为节约成本，降低环境污染环境，施工中采取废水回收沉淀再次利用，废旧垃圾运到统一销毁处理，很好地保护了生态环境，为可持续发展提供了有力保障，减轻学生就近入学负担，为家庭节约开支，提到了社会及家长的好评。</w:t>
      </w:r>
    </w:p>
    <w:p w14:paraId="7BFEB74D">
      <w:pPr>
        <w:autoSpaceDE w:val="0"/>
        <w:autoSpaceDN w:val="0"/>
        <w:adjustRightInd w:val="0"/>
        <w:spacing w:line="600" w:lineRule="exact"/>
        <w:ind w:firstLine="640" w:firstLineChars="200"/>
        <w:jc w:val="left"/>
        <w:outlineLvl w:val="1"/>
        <w:rPr>
          <w:rFonts w:eastAsia="黑体"/>
          <w:kern w:val="0"/>
          <w:sz w:val="32"/>
          <w:szCs w:val="32"/>
        </w:rPr>
      </w:pPr>
      <w:bookmarkStart w:id="85" w:name="_Toc32114"/>
      <w:r>
        <w:rPr>
          <w:rFonts w:eastAsia="黑体"/>
          <w:kern w:val="0"/>
          <w:sz w:val="32"/>
          <w:szCs w:val="32"/>
        </w:rPr>
        <w:t>五、评价结论及建议</w:t>
      </w:r>
      <w:bookmarkEnd w:id="85"/>
    </w:p>
    <w:p w14:paraId="54D1380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5A0C0201">
      <w:pPr>
        <w:spacing w:line="560" w:lineRule="exact"/>
        <w:ind w:firstLine="640" w:firstLineChars="200"/>
        <w:rPr>
          <w:rFonts w:eastAsia="仿宋_GB2312"/>
          <w:sz w:val="32"/>
          <w:szCs w:val="32"/>
        </w:rPr>
      </w:pPr>
      <w:r>
        <w:rPr>
          <w:rFonts w:eastAsia="仿宋_GB2312"/>
          <w:sz w:val="32"/>
          <w:szCs w:val="32"/>
        </w:rPr>
        <w:t>结合</w:t>
      </w:r>
      <w:r>
        <w:rPr>
          <w:rFonts w:hint="eastAsia" w:eastAsia="仿宋_GB2312"/>
          <w:sz w:val="32"/>
          <w:szCs w:val="32"/>
        </w:rPr>
        <w:t>我校</w:t>
      </w:r>
      <w:r>
        <w:rPr>
          <w:rFonts w:eastAsia="仿宋_GB2312"/>
          <w:sz w:val="32"/>
          <w:szCs w:val="32"/>
        </w:rPr>
        <w:t>项目</w:t>
      </w:r>
      <w:r>
        <w:rPr>
          <w:rFonts w:hint="eastAsia" w:eastAsia="仿宋_GB2312"/>
          <w:sz w:val="32"/>
          <w:szCs w:val="32"/>
        </w:rPr>
        <w:t>渔门镇中心学校运动场改造的</w:t>
      </w:r>
      <w:r>
        <w:rPr>
          <w:rFonts w:eastAsia="仿宋_GB2312"/>
          <w:sz w:val="32"/>
          <w:szCs w:val="32"/>
        </w:rPr>
        <w:t>特点、</w:t>
      </w:r>
      <w:r>
        <w:rPr>
          <w:rFonts w:hint="eastAsia" w:eastAsia="仿宋_GB2312"/>
          <w:sz w:val="32"/>
          <w:szCs w:val="32"/>
        </w:rPr>
        <w:t>对学校采取假期施工作业，在不影响学校正常行课，对周边居民的日常生产生活造成影响，要求施工方做好文明施工，降噪、减少污染环境的</w:t>
      </w:r>
      <w:r>
        <w:rPr>
          <w:rFonts w:eastAsia="仿宋_GB2312"/>
          <w:sz w:val="32"/>
          <w:szCs w:val="32"/>
        </w:rPr>
        <w:t>评价重点及管理办法等要求，围绕专项项目支出绩效评价指标体系对</w:t>
      </w:r>
      <w:r>
        <w:rPr>
          <w:rFonts w:hint="eastAsia" w:eastAsia="仿宋_GB2312"/>
          <w:sz w:val="32"/>
          <w:szCs w:val="32"/>
        </w:rPr>
        <w:t>该</w:t>
      </w:r>
      <w:r>
        <w:rPr>
          <w:rFonts w:eastAsia="仿宋_GB2312"/>
          <w:sz w:val="32"/>
          <w:szCs w:val="32"/>
        </w:rPr>
        <w:t>项目进行总体评价</w:t>
      </w:r>
      <w:r>
        <w:rPr>
          <w:rFonts w:hint="eastAsia" w:eastAsia="仿宋_GB2312"/>
          <w:sz w:val="32"/>
          <w:szCs w:val="32"/>
        </w:rPr>
        <w:t>，结论如下：</w:t>
      </w:r>
    </w:p>
    <w:p w14:paraId="7C6A9E4C">
      <w:pPr>
        <w:pStyle w:val="13"/>
        <w:spacing w:before="0" w:beforeAutospacing="0" w:after="0" w:afterAutospacing="0"/>
        <w:ind w:firstLine="560"/>
        <w:jc w:val="both"/>
        <w:rPr>
          <w:rFonts w:ascii="仿宋" w:hAnsi="仿宋" w:eastAsia="仿宋" w:cs="Times New Roman"/>
          <w:kern w:val="2"/>
          <w:sz w:val="32"/>
          <w:szCs w:val="32"/>
        </w:rPr>
      </w:pPr>
      <w:r>
        <w:rPr>
          <w:rFonts w:hint="eastAsia" w:eastAsia="楷体_GB2312"/>
          <w:sz w:val="32"/>
          <w:szCs w:val="32"/>
        </w:rPr>
        <w:t>根据学校实际运行</w:t>
      </w:r>
      <w:r>
        <w:rPr>
          <w:rFonts w:hint="eastAsia" w:ascii="仿宋" w:hAnsi="仿宋" w:eastAsia="仿宋" w:cs="Times New Roman"/>
          <w:kern w:val="2"/>
          <w:sz w:val="32"/>
          <w:szCs w:val="32"/>
        </w:rPr>
        <w:t>整体支出绩效情况：自评优良</w:t>
      </w:r>
    </w:p>
    <w:p w14:paraId="422FA5E9">
      <w:pPr>
        <w:spacing w:line="600" w:lineRule="exact"/>
        <w:jc w:val="center"/>
        <w:rPr>
          <w:rFonts w:ascii="黑体" w:hAnsi="黑体" w:eastAsia="黑体"/>
          <w:sz w:val="44"/>
          <w:szCs w:val="44"/>
        </w:rPr>
      </w:pPr>
    </w:p>
    <w:p w14:paraId="561F9F46">
      <w:pPr>
        <w:spacing w:line="600" w:lineRule="exact"/>
        <w:jc w:val="center"/>
        <w:rPr>
          <w:rFonts w:ascii="黑体" w:hAnsi="黑体" w:eastAsia="黑体"/>
          <w:sz w:val="44"/>
          <w:szCs w:val="44"/>
        </w:rPr>
      </w:pPr>
    </w:p>
    <w:p w14:paraId="2718E38D">
      <w:pPr>
        <w:spacing w:line="600" w:lineRule="exact"/>
        <w:rPr>
          <w:rFonts w:ascii="黑体" w:hAnsi="黑体" w:eastAsia="黑体"/>
          <w:sz w:val="44"/>
          <w:szCs w:val="44"/>
        </w:rPr>
      </w:pPr>
    </w:p>
    <w:p w14:paraId="03F7F818">
      <w:pPr>
        <w:spacing w:line="600" w:lineRule="exact"/>
        <w:jc w:val="center"/>
        <w:outlineLvl w:val="0"/>
        <w:rPr>
          <w:rFonts w:ascii="仿宋" w:hAnsi="仿宋" w:eastAsia="仿宋"/>
        </w:rPr>
      </w:pPr>
      <w:bookmarkStart w:id="86" w:name="_Toc21436"/>
      <w:r>
        <w:rPr>
          <w:rFonts w:hint="eastAsia" w:ascii="黑体" w:hAnsi="黑体" w:eastAsia="黑体"/>
          <w:sz w:val="44"/>
          <w:szCs w:val="44"/>
        </w:rPr>
        <w:t>第</w:t>
      </w:r>
      <w:r>
        <w:rPr>
          <w:rStyle w:val="26"/>
          <w:rFonts w:hint="eastAsia" w:ascii="黑体" w:hAnsi="黑体" w:eastAsia="黑体"/>
          <w:b w:val="0"/>
        </w:rPr>
        <w:t>五部分 附表</w:t>
      </w:r>
      <w:bookmarkEnd w:id="78"/>
      <w:bookmarkEnd w:id="80"/>
      <w:bookmarkEnd w:id="86"/>
      <w:bookmarkStart w:id="87" w:name="_Toc15396619"/>
    </w:p>
    <w:p w14:paraId="4C59BB55">
      <w:pPr>
        <w:pStyle w:val="4"/>
        <w:rPr>
          <w:rFonts w:ascii="仿宋" w:hAnsi="仿宋" w:eastAsia="仿宋"/>
        </w:rPr>
      </w:pPr>
      <w:bookmarkStart w:id="88" w:name="_Toc8553"/>
      <w:r>
        <w:rPr>
          <w:rFonts w:hint="eastAsia" w:ascii="仿宋" w:hAnsi="仿宋" w:eastAsia="仿宋"/>
          <w:b w:val="0"/>
        </w:rPr>
        <w:t>一、收</w:t>
      </w:r>
      <w:r>
        <w:rPr>
          <w:rStyle w:val="27"/>
          <w:rFonts w:hint="eastAsia" w:ascii="仿宋" w:hAnsi="仿宋" w:eastAsia="仿宋"/>
          <w:b w:val="0"/>
          <w:bCs w:val="0"/>
        </w:rPr>
        <w:t>入支出决算总表</w:t>
      </w:r>
      <w:bookmarkEnd w:id="87"/>
      <w:bookmarkEnd w:id="88"/>
    </w:p>
    <w:p w14:paraId="43F11D98">
      <w:pPr>
        <w:pStyle w:val="4"/>
        <w:rPr>
          <w:rFonts w:ascii="仿宋" w:hAnsi="仿宋" w:eastAsia="仿宋"/>
        </w:rPr>
      </w:pPr>
      <w:bookmarkStart w:id="89" w:name="_Toc27055"/>
      <w:bookmarkStart w:id="90" w:name="_Toc15396620"/>
      <w:r>
        <w:rPr>
          <w:rFonts w:hint="eastAsia" w:ascii="仿宋" w:hAnsi="仿宋" w:eastAsia="仿宋"/>
          <w:b w:val="0"/>
        </w:rPr>
        <w:t>二、收</w:t>
      </w:r>
      <w:r>
        <w:rPr>
          <w:rStyle w:val="27"/>
          <w:rFonts w:hint="eastAsia" w:ascii="仿宋" w:hAnsi="仿宋" w:eastAsia="仿宋"/>
          <w:b w:val="0"/>
          <w:bCs w:val="0"/>
        </w:rPr>
        <w:t>入决算表</w:t>
      </w:r>
      <w:bookmarkEnd w:id="89"/>
      <w:bookmarkEnd w:id="90"/>
    </w:p>
    <w:p w14:paraId="30D1D3D8">
      <w:pPr>
        <w:pStyle w:val="4"/>
        <w:rPr>
          <w:rFonts w:ascii="仿宋" w:hAnsi="仿宋" w:eastAsia="仿宋"/>
        </w:rPr>
      </w:pPr>
      <w:bookmarkStart w:id="91" w:name="_Toc15396621"/>
      <w:bookmarkStart w:id="92" w:name="_Toc21547"/>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91"/>
      <w:bookmarkEnd w:id="92"/>
    </w:p>
    <w:p w14:paraId="38F85142">
      <w:pPr>
        <w:pStyle w:val="4"/>
        <w:rPr>
          <w:rFonts w:ascii="仿宋" w:hAnsi="仿宋" w:eastAsia="仿宋"/>
          <w:b w:val="0"/>
        </w:rPr>
      </w:pPr>
      <w:bookmarkStart w:id="93" w:name="_Toc15396622"/>
      <w:bookmarkStart w:id="94" w:name="_Toc1347"/>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93"/>
      <w:bookmarkEnd w:id="94"/>
    </w:p>
    <w:p w14:paraId="6B0A9BD3">
      <w:pPr>
        <w:pStyle w:val="4"/>
        <w:rPr>
          <w:rStyle w:val="27"/>
          <w:rFonts w:ascii="仿宋" w:hAnsi="仿宋" w:eastAsia="仿宋"/>
          <w:b w:val="0"/>
          <w:bCs w:val="0"/>
        </w:rPr>
      </w:pPr>
      <w:bookmarkStart w:id="95" w:name="_Toc15396623"/>
      <w:bookmarkStart w:id="96" w:name="_Toc12549"/>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95"/>
      <w:bookmarkEnd w:id="96"/>
      <w:bookmarkStart w:id="97" w:name="_Toc15396624"/>
    </w:p>
    <w:p w14:paraId="69B0329E">
      <w:pPr>
        <w:pStyle w:val="4"/>
        <w:rPr>
          <w:rFonts w:ascii="仿宋" w:hAnsi="仿宋" w:eastAsia="仿宋"/>
        </w:rPr>
      </w:pPr>
      <w:bookmarkStart w:id="98" w:name="_Toc32400"/>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97"/>
      <w:bookmarkEnd w:id="98"/>
    </w:p>
    <w:p w14:paraId="2A7F87B7">
      <w:pPr>
        <w:pStyle w:val="4"/>
        <w:rPr>
          <w:rFonts w:ascii="仿宋" w:hAnsi="仿宋" w:eastAsia="仿宋"/>
        </w:rPr>
      </w:pPr>
      <w:bookmarkStart w:id="99" w:name="_Toc14766"/>
      <w:bookmarkStart w:id="100"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99"/>
      <w:bookmarkEnd w:id="100"/>
    </w:p>
    <w:p w14:paraId="54F8840E">
      <w:pPr>
        <w:pStyle w:val="4"/>
        <w:rPr>
          <w:rFonts w:ascii="仿宋" w:hAnsi="仿宋" w:eastAsia="仿宋"/>
        </w:rPr>
      </w:pPr>
      <w:bookmarkStart w:id="101" w:name="_Toc6785"/>
      <w:bookmarkStart w:id="102"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101"/>
      <w:bookmarkEnd w:id="102"/>
    </w:p>
    <w:p w14:paraId="2D64F62A">
      <w:pPr>
        <w:pStyle w:val="4"/>
        <w:rPr>
          <w:rFonts w:ascii="仿宋" w:hAnsi="仿宋" w:eastAsia="仿宋"/>
        </w:rPr>
      </w:pPr>
      <w:bookmarkStart w:id="103" w:name="_Toc15396627"/>
      <w:bookmarkStart w:id="104" w:name="_Toc2351"/>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103"/>
      <w:bookmarkEnd w:id="104"/>
    </w:p>
    <w:p w14:paraId="18070101">
      <w:pPr>
        <w:pStyle w:val="4"/>
        <w:rPr>
          <w:rFonts w:ascii="仿宋" w:hAnsi="仿宋" w:eastAsia="仿宋"/>
        </w:rPr>
      </w:pPr>
      <w:bookmarkStart w:id="105" w:name="_Toc15396628"/>
      <w:bookmarkStart w:id="106" w:name="_Toc29350"/>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105"/>
      <w:bookmarkEnd w:id="106"/>
    </w:p>
    <w:p w14:paraId="0EC0D816">
      <w:pPr>
        <w:pStyle w:val="4"/>
        <w:rPr>
          <w:rFonts w:ascii="仿宋" w:hAnsi="仿宋" w:eastAsia="仿宋"/>
        </w:rPr>
      </w:pPr>
      <w:bookmarkStart w:id="107" w:name="_Toc15396629"/>
      <w:bookmarkStart w:id="108" w:name="_Toc6897"/>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107"/>
      <w:bookmarkEnd w:id="108"/>
    </w:p>
    <w:p w14:paraId="60D68E10">
      <w:pPr>
        <w:pStyle w:val="4"/>
        <w:rPr>
          <w:rFonts w:ascii="仿宋" w:hAnsi="仿宋" w:eastAsia="仿宋"/>
        </w:rPr>
      </w:pPr>
      <w:bookmarkStart w:id="109" w:name="_Toc15396630"/>
      <w:bookmarkStart w:id="110" w:name="_Toc9323"/>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109"/>
      <w:bookmarkEnd w:id="110"/>
    </w:p>
    <w:p w14:paraId="00B904EC">
      <w:pPr>
        <w:pStyle w:val="4"/>
        <w:rPr>
          <w:rStyle w:val="27"/>
          <w:rFonts w:ascii="仿宋" w:hAnsi="仿宋" w:eastAsia="仿宋"/>
          <w:b w:val="0"/>
          <w:bCs w:val="0"/>
        </w:rPr>
      </w:pPr>
      <w:bookmarkStart w:id="111" w:name="_Toc15396631"/>
      <w:bookmarkStart w:id="112" w:name="_Toc12185"/>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111"/>
      <w:bookmarkEnd w:id="112"/>
    </w:p>
    <w:p w14:paraId="3ADB6060">
      <w:pPr>
        <w:rPr>
          <w:rFonts w:eastAsia="仿宋"/>
        </w:rPr>
      </w:pPr>
      <w:bookmarkStart w:id="113" w:name="_Toc19245"/>
      <w:r>
        <w:rPr>
          <w:rStyle w:val="27"/>
          <w:rFonts w:hint="eastAsia" w:ascii="仿宋" w:hAnsi="仿宋" w:eastAsia="仿宋"/>
          <w:b w:val="0"/>
          <w:bCs w:val="0"/>
        </w:rPr>
        <w:t>十四、国有资本经营预算财政拨款支出决算表</w:t>
      </w:r>
      <w:bookmarkEnd w:id="113"/>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DE754E-FAD8-4F29-96FE-E7CA886368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1C45794-5741-401F-84EA-BB042D549CF5}"/>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70420071-34A8-44D4-8A81-2F843C03FD0C}"/>
  </w:font>
  <w:font w:name="方正小标宋简体">
    <w:panose1 w:val="03000509000000000000"/>
    <w:charset w:val="86"/>
    <w:family w:val="script"/>
    <w:pitch w:val="default"/>
    <w:sig w:usb0="00000001" w:usb1="080E0000" w:usb2="00000000" w:usb3="00000000" w:csb0="00040000" w:csb1="00000000"/>
    <w:embedRegular r:id="rId4" w:fontKey="{DC030A61-0DC5-4A8A-A0E5-CF0297334147}"/>
  </w:font>
  <w:font w:name="方正仿宋_GB2312">
    <w:altName w:val="仿宋"/>
    <w:panose1 w:val="00000000000000000000"/>
    <w:charset w:val="86"/>
    <w:family w:val="auto"/>
    <w:pitch w:val="default"/>
    <w:sig w:usb0="00000000" w:usb1="00000000" w:usb2="00000012" w:usb3="00000000" w:csb0="00040001" w:csb1="00000000"/>
    <w:embedRegular r:id="rId5" w:fontKey="{98813FB6-C9D1-4864-9A87-A05ACC96EB91}"/>
  </w:font>
  <w:font w:name="楷体">
    <w:panose1 w:val="02010609060101010101"/>
    <w:charset w:val="86"/>
    <w:family w:val="modern"/>
    <w:pitch w:val="default"/>
    <w:sig w:usb0="800002BF" w:usb1="38CF7CFA" w:usb2="00000016" w:usb3="00000000" w:csb0="00040001" w:csb1="00000000"/>
    <w:embedRegular r:id="rId6" w:fontKey="{C865796E-A607-4DC1-817E-DB4ED6787F43}"/>
  </w:font>
  <w:font w:name="楷体_GB2312">
    <w:panose1 w:val="02010609030101010101"/>
    <w:charset w:val="86"/>
    <w:family w:val="modern"/>
    <w:pitch w:val="default"/>
    <w:sig w:usb0="00000001" w:usb1="080E0000" w:usb2="00000000" w:usb3="00000000" w:csb0="00040000" w:csb1="00000000"/>
    <w:embedRegular r:id="rId7" w:fontKey="{95799B9E-1D36-4EDD-9CEF-CBEC28A58405}"/>
  </w:font>
  <w:font w:name="方正小标宋_GBK">
    <w:panose1 w:val="03000509000000000000"/>
    <w:charset w:val="86"/>
    <w:family w:val="script"/>
    <w:pitch w:val="default"/>
    <w:sig w:usb0="00000001" w:usb1="080E0000" w:usb2="00000000" w:usb3="00000000" w:csb0="00040000" w:csb1="00000000"/>
    <w:embedRegular r:id="rId8" w:fontKey="{46BCEABB-699A-44FB-9749-9A37D6D56DE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A195">
    <w:pPr>
      <w:pStyle w:val="9"/>
      <w:jc w:val="center"/>
    </w:pPr>
  </w:p>
  <w:p w14:paraId="64CED2B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E6FB">
    <w:pPr>
      <w:pStyle w:val="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0C16A26">
                <w:pPr>
                  <w:pStyle w:val="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842C">
    <w:pPr>
      <w:pStyle w:val="9"/>
      <w:jc w:val="center"/>
    </w:pPr>
  </w:p>
  <w:p w14:paraId="6E3D484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8C00">
    <w:pPr>
      <w:pStyle w:val="9"/>
      <w:jc w:val="cente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D28EC8D">
                <w:pPr>
                  <w:pStyle w:val="9"/>
                </w:pPr>
                <w:r>
                  <w:fldChar w:fldCharType="begin"/>
                </w:r>
                <w:r>
                  <w:instrText xml:space="preserve"> PAGE  \* MERGEFORMAT </w:instrText>
                </w:r>
                <w:r>
                  <w:fldChar w:fldCharType="separate"/>
                </w:r>
                <w:r>
                  <w:t>31</w:t>
                </w:r>
                <w:r>
                  <w:fldChar w:fldCharType="end"/>
                </w:r>
              </w:p>
            </w:txbxContent>
          </v:textbox>
        </v:shape>
      </w:pict>
    </w:r>
    <w:sdt>
      <w:sdtPr>
        <w:id w:val="-1994781956"/>
      </w:sdtPr>
      <w:sdtContent/>
    </w:sdt>
  </w:p>
  <w:p w14:paraId="69DA06D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86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04A3"/>
    <w:multiLevelType w:val="singleLevel"/>
    <w:tmpl w:val="91DC04A3"/>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2CF989E"/>
    <w:multiLevelType w:val="singleLevel"/>
    <w:tmpl w:val="F2CF989E"/>
    <w:lvl w:ilvl="0" w:tentative="0">
      <w:start w:val="2"/>
      <w:numFmt w:val="decimal"/>
      <w:lvlText w:val="%1."/>
      <w:lvlJc w:val="left"/>
      <w:pPr>
        <w:tabs>
          <w:tab w:val="left" w:pos="312"/>
        </w:tabs>
      </w:pPr>
    </w:lvl>
  </w:abstractNum>
  <w:abstractNum w:abstractNumId="4">
    <w:nsid w:val="09C3F99F"/>
    <w:multiLevelType w:val="singleLevel"/>
    <w:tmpl w:val="09C3F99F"/>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8F15287"/>
    <w:multiLevelType w:val="singleLevel"/>
    <w:tmpl w:val="28F15287"/>
    <w:lvl w:ilvl="0" w:tentative="0">
      <w:start w:val="1"/>
      <w:numFmt w:val="chineseCounting"/>
      <w:suff w:val="nothing"/>
      <w:lvlText w:val="%1、"/>
      <w:lvlJc w:val="left"/>
      <w:rPr>
        <w:rFonts w:hint="eastAsia"/>
      </w:rPr>
    </w:lvl>
  </w:abstractNum>
  <w:abstractNum w:abstractNumId="7">
    <w:nsid w:val="2BFDA5F3"/>
    <w:multiLevelType w:val="singleLevel"/>
    <w:tmpl w:val="2BFDA5F3"/>
    <w:lvl w:ilvl="0" w:tentative="0">
      <w:start w:val="7"/>
      <w:numFmt w:val="decimal"/>
      <w:suff w:val="nothing"/>
      <w:lvlText w:val="%1、"/>
      <w:lvlJc w:val="left"/>
      <w:pPr>
        <w:ind w:left="197"/>
      </w:pPr>
    </w:lvl>
  </w:abstractNum>
  <w:abstractNum w:abstractNumId="8">
    <w:nsid w:val="2DE85302"/>
    <w:multiLevelType w:val="singleLevel"/>
    <w:tmpl w:val="2DE85302"/>
    <w:lvl w:ilvl="0" w:tentative="0">
      <w:start w:val="2"/>
      <w:numFmt w:val="decimal"/>
      <w:suff w:val="nothing"/>
      <w:lvlText w:val="%1、"/>
      <w:lvlJc w:val="left"/>
      <w:pPr>
        <w:ind w:left="-13"/>
      </w:pPr>
    </w:lvl>
  </w:abstractNum>
  <w:num w:numId="1">
    <w:abstractNumId w:val="6"/>
  </w:num>
  <w:num w:numId="2">
    <w:abstractNumId w:val="5"/>
  </w:num>
  <w:num w:numId="3">
    <w:abstractNumId w:val="0"/>
  </w:num>
  <w:num w:numId="4">
    <w:abstractNumId w:val="8"/>
  </w:num>
  <w:num w:numId="5">
    <w:abstractNumId w:val="7"/>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mYzYwZmM0Y2FlNDQ1Nzc5MjY5YTRlYjhmZmI2Yj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6BA"/>
    <w:rsid w:val="000B5923"/>
    <w:rsid w:val="000B5A48"/>
    <w:rsid w:val="000B6FF3"/>
    <w:rsid w:val="000C3467"/>
    <w:rsid w:val="000C3CA6"/>
    <w:rsid w:val="000D1267"/>
    <w:rsid w:val="000D1D50"/>
    <w:rsid w:val="000D5782"/>
    <w:rsid w:val="000E6613"/>
    <w:rsid w:val="000E7119"/>
    <w:rsid w:val="00114E9B"/>
    <w:rsid w:val="001315D9"/>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0A35"/>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40F"/>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3010"/>
    <w:rsid w:val="005F1A4C"/>
    <w:rsid w:val="00605688"/>
    <w:rsid w:val="006070AF"/>
    <w:rsid w:val="00607E6C"/>
    <w:rsid w:val="006101B1"/>
    <w:rsid w:val="00614E44"/>
    <w:rsid w:val="0062270A"/>
    <w:rsid w:val="00622830"/>
    <w:rsid w:val="00623DA0"/>
    <w:rsid w:val="00630AEF"/>
    <w:rsid w:val="00631F6D"/>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7C6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1FA2"/>
    <w:rsid w:val="00923564"/>
    <w:rsid w:val="0092392E"/>
    <w:rsid w:val="009315F9"/>
    <w:rsid w:val="00933499"/>
    <w:rsid w:val="00935C98"/>
    <w:rsid w:val="00946945"/>
    <w:rsid w:val="00951248"/>
    <w:rsid w:val="0095152F"/>
    <w:rsid w:val="00954C49"/>
    <w:rsid w:val="00955E37"/>
    <w:rsid w:val="0097099F"/>
    <w:rsid w:val="00970A66"/>
    <w:rsid w:val="00971997"/>
    <w:rsid w:val="00971FFC"/>
    <w:rsid w:val="0098660A"/>
    <w:rsid w:val="009931C3"/>
    <w:rsid w:val="009B1F2E"/>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56BD"/>
    <w:rsid w:val="00B03C9D"/>
    <w:rsid w:val="00B060AE"/>
    <w:rsid w:val="00B10517"/>
    <w:rsid w:val="00B14E76"/>
    <w:rsid w:val="00B161B8"/>
    <w:rsid w:val="00B2048C"/>
    <w:rsid w:val="00B26CD0"/>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A02"/>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0380"/>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2CE8"/>
    <w:rsid w:val="00EB527B"/>
    <w:rsid w:val="00ED1B63"/>
    <w:rsid w:val="00ED3C1F"/>
    <w:rsid w:val="00ED4085"/>
    <w:rsid w:val="00ED420E"/>
    <w:rsid w:val="00ED6FBE"/>
    <w:rsid w:val="00EE2F57"/>
    <w:rsid w:val="00EE6685"/>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E52C3"/>
    <w:rsid w:val="00FF1E02"/>
    <w:rsid w:val="00FF30B4"/>
    <w:rsid w:val="077E0D5A"/>
    <w:rsid w:val="09697C41"/>
    <w:rsid w:val="0A2032A3"/>
    <w:rsid w:val="0B8A37D8"/>
    <w:rsid w:val="0C50429F"/>
    <w:rsid w:val="0D764D13"/>
    <w:rsid w:val="0EF27CD2"/>
    <w:rsid w:val="0FD03043"/>
    <w:rsid w:val="10C055FF"/>
    <w:rsid w:val="118107EC"/>
    <w:rsid w:val="11DD6519"/>
    <w:rsid w:val="16BB723D"/>
    <w:rsid w:val="18015F3F"/>
    <w:rsid w:val="182A5EFE"/>
    <w:rsid w:val="197D60BD"/>
    <w:rsid w:val="1BE8440E"/>
    <w:rsid w:val="1D155CEE"/>
    <w:rsid w:val="1F0F3469"/>
    <w:rsid w:val="20F57F95"/>
    <w:rsid w:val="240371BF"/>
    <w:rsid w:val="24DE608A"/>
    <w:rsid w:val="25AD01C7"/>
    <w:rsid w:val="25C741E6"/>
    <w:rsid w:val="27842671"/>
    <w:rsid w:val="29FD04D3"/>
    <w:rsid w:val="2ABE7A3E"/>
    <w:rsid w:val="2CF241A1"/>
    <w:rsid w:val="2D893050"/>
    <w:rsid w:val="2EFA178C"/>
    <w:rsid w:val="30B46D73"/>
    <w:rsid w:val="317C6B5C"/>
    <w:rsid w:val="319F7F4E"/>
    <w:rsid w:val="366419DA"/>
    <w:rsid w:val="37DB1621"/>
    <w:rsid w:val="39032A22"/>
    <w:rsid w:val="39AE70AB"/>
    <w:rsid w:val="3C0C0783"/>
    <w:rsid w:val="3F9F3A96"/>
    <w:rsid w:val="4013200C"/>
    <w:rsid w:val="43DF0B28"/>
    <w:rsid w:val="45F973A9"/>
    <w:rsid w:val="4622744D"/>
    <w:rsid w:val="493C27E9"/>
    <w:rsid w:val="496F39ED"/>
    <w:rsid w:val="49FF41D3"/>
    <w:rsid w:val="4BE068DB"/>
    <w:rsid w:val="4BF6002B"/>
    <w:rsid w:val="4ECE2238"/>
    <w:rsid w:val="50802FD0"/>
    <w:rsid w:val="51DB4B86"/>
    <w:rsid w:val="541E6C2F"/>
    <w:rsid w:val="54B95421"/>
    <w:rsid w:val="55333C3E"/>
    <w:rsid w:val="6129114D"/>
    <w:rsid w:val="62B813EC"/>
    <w:rsid w:val="62DC3E8D"/>
    <w:rsid w:val="64CA39A1"/>
    <w:rsid w:val="658E01B5"/>
    <w:rsid w:val="67561326"/>
    <w:rsid w:val="67672ABA"/>
    <w:rsid w:val="68DA1E86"/>
    <w:rsid w:val="6C4A05C8"/>
    <w:rsid w:val="72734D90"/>
    <w:rsid w:val="774F3D37"/>
    <w:rsid w:val="79E7B28D"/>
    <w:rsid w:val="7BFB28F2"/>
    <w:rsid w:val="7D8B7E99"/>
    <w:rsid w:val="7E381CF1"/>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NormalCharacter"/>
    <w:semiHidden/>
    <w:qFormat/>
    <w:uiPriority w:val="0"/>
    <w:rPr>
      <w:rFonts w:asciiTheme="minorHAnsi" w:hAnsiTheme="minorHAnsi" w:eastAsiaTheme="minorEastAsia" w:cstheme="minorBidi"/>
      <w:kern w:val="0"/>
      <w:sz w:val="28"/>
      <w:szCs w:val="21"/>
      <w:lang w:val="en-US" w:eastAsia="zh-CN" w:bidi="en-US"/>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675</Words>
  <Characters>728</Characters>
  <Lines>129</Lines>
  <Paragraphs>36</Paragraphs>
  <TotalTime>65</TotalTime>
  <ScaleCrop>false</ScaleCrop>
  <LinksUpToDate>false</LinksUpToDate>
  <CharactersWithSpaces>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唐天贵</cp:lastModifiedBy>
  <cp:lastPrinted>2022-08-06T02:23:00Z</cp:lastPrinted>
  <dcterms:modified xsi:type="dcterms:W3CDTF">2025-01-16T02:51:20Z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35FE61B9B1014A38B5B51EE530F087A9</vt:lpwstr>
  </property>
  <property fmtid="{D5CDD505-2E9C-101B-9397-08002B2CF9AE}" pid="4" name="KSOTemplateDocerSaveRecord">
    <vt:lpwstr>eyJoZGlkIjoiNWIwYjgyMzAyYjdlMTc0NjlhNjFkZTU2NDY0NzJjZGIiLCJ1c2VySWQiOiI4ODYzMTI0ODAifQ==</vt:lpwstr>
  </property>
</Properties>
</file>