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425"/>
      <w:bookmarkStart w:id="3" w:name="_Toc15396475"/>
      <w:bookmarkStart w:id="4" w:name="_Toc15396597"/>
      <w:bookmarkStart w:id="5" w:name="_Toc15377193"/>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77194"/>
      <w:bookmarkStart w:id="7" w:name="_Toc15396476"/>
      <w:bookmarkStart w:id="8" w:name="_Toc15378442"/>
      <w:bookmarkStart w:id="9" w:name="_Toc15377426"/>
      <w:bookmarkStart w:id="10" w:name="_Toc15396598"/>
      <w:r>
        <w:rPr>
          <w:rFonts w:hint="eastAsia" w:ascii="方正小标宋简体" w:hAnsi="方正小标宋简体" w:eastAsia="方正小标宋简体" w:cs="方正小标宋简体"/>
          <w:sz w:val="72"/>
          <w:szCs w:val="72"/>
        </w:rPr>
        <w:t>盐边县</w:t>
      </w:r>
      <w:bookmarkEnd w:id="0"/>
      <w:bookmarkStart w:id="11" w:name="_Toc15306268"/>
      <w:r>
        <w:rPr>
          <w:rFonts w:hint="eastAsia" w:ascii="方正小标宋简体" w:hAnsi="方正小标宋简体" w:eastAsia="方正小标宋简体" w:cs="方正小标宋简体"/>
          <w:sz w:val="72"/>
          <w:szCs w:val="72"/>
          <w:lang w:eastAsia="zh-CN"/>
        </w:rPr>
        <w:t>渔门中心卫生院（盐边县渔门镇妇幼保健计划生育服务站）单位</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lang w:eastAsia="zh-CN"/>
        </w:rPr>
        <w:t>公开编制说明</w:t>
      </w:r>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rPr>
          <w:rFonts w:hint="eastAsia" w:ascii="仿宋" w:hAnsi="仿宋" w:eastAsia="仿宋" w:cs="仿宋"/>
          <w:sz w:val="32"/>
          <w:szCs w:val="32"/>
        </w:rPr>
      </w:pPr>
      <w:r>
        <w:rPr>
          <w:rFonts w:hint="eastAsia" w:ascii="仿宋" w:hAnsi="仿宋" w:eastAsia="仿宋" w:cs="仿宋"/>
          <w:sz w:val="32"/>
          <w:szCs w:val="32"/>
        </w:rPr>
        <w:t>公开时间：2022年1</w:t>
      </w:r>
      <w:r>
        <w:rPr>
          <w:rFonts w:hint="eastAsia" w:cs="仿宋"/>
          <w:sz w:val="32"/>
          <w:szCs w:val="32"/>
          <w:lang w:val="en-US" w:eastAsia="zh-CN"/>
        </w:rPr>
        <w:t>1</w:t>
      </w:r>
      <w:r>
        <w:rPr>
          <w:rFonts w:hint="eastAsia" w:ascii="仿宋" w:hAnsi="仿宋" w:eastAsia="仿宋" w:cs="仿宋"/>
          <w:sz w:val="32"/>
          <w:szCs w:val="32"/>
        </w:rPr>
        <w:t>月</w:t>
      </w:r>
      <w:r>
        <w:rPr>
          <w:rFonts w:hint="eastAsia" w:cs="仿宋"/>
          <w:sz w:val="32"/>
          <w:szCs w:val="32"/>
          <w:lang w:val="en-US" w:eastAsia="zh-CN"/>
        </w:rPr>
        <w:t>1</w:t>
      </w:r>
      <w:r>
        <w:rPr>
          <w:rFonts w:hint="eastAsia" w:ascii="仿宋" w:hAnsi="仿宋" w:eastAsia="仿宋" w:cs="仿宋"/>
          <w:sz w:val="32"/>
          <w:szCs w:val="32"/>
        </w:rPr>
        <w:t>日</w:t>
      </w:r>
    </w:p>
    <w:p>
      <w:pPr>
        <w:rPr>
          <w:rFonts w:hint="eastAsia" w:ascii="仿宋" w:hAnsi="仿宋" w:eastAsia="仿宋" w:cs="仿宋"/>
          <w:sz w:val="32"/>
          <w:szCs w:val="32"/>
        </w:rPr>
      </w:pPr>
    </w:p>
    <w:p>
      <w:pPr>
        <w:pStyle w:val="11"/>
        <w:keepNext w:val="0"/>
        <w:keepLines w:val="0"/>
        <w:pageBreakBefore w:val="0"/>
        <w:widowControl w:val="0"/>
        <w:tabs>
          <w:tab w:val="right" w:leader="dot" w:pos="7980"/>
        </w:tabs>
        <w:kinsoku/>
        <w:wordWrap/>
        <w:overflowPunct/>
        <w:topLinePunct w:val="0"/>
        <w:autoSpaceDE/>
        <w:autoSpaceDN/>
        <w:bidi w:val="0"/>
        <w:adjustRightInd w:val="0"/>
        <w:snapToGrid w:val="0"/>
        <w:spacing w:before="0"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第一部分单位概况</w:t>
      </w:r>
      <w:r>
        <w:rPr>
          <w:rFonts w:hint="eastAsia" w:cs="仿宋"/>
          <w:sz w:val="32"/>
          <w:szCs w:val="32"/>
          <w:lang w:val="en-US" w:eastAsia="zh-CN"/>
        </w:rPr>
        <w:tab/>
      </w:r>
      <w:r>
        <w:rPr>
          <w:rFonts w:hint="eastAsia" w:cs="仿宋"/>
          <w:sz w:val="32"/>
          <w:szCs w:val="32"/>
          <w:lang w:val="en-US" w:eastAsia="zh-CN"/>
        </w:rPr>
        <w:t>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一、职能简介</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二、2021年重点工作完成情况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4</w:t>
      </w:r>
    </w:p>
    <w:p>
      <w:pPr>
        <w:pStyle w:val="11"/>
        <w:keepNext w:val="0"/>
        <w:keepLines w:val="0"/>
        <w:pageBreakBefore w:val="0"/>
        <w:widowControl w:val="0"/>
        <w:tabs>
          <w:tab w:val="right" w:leader="dot" w:pos="7980"/>
        </w:tabs>
        <w:kinsoku/>
        <w:wordWrap/>
        <w:overflowPunct/>
        <w:topLinePunct w:val="0"/>
        <w:autoSpaceDE/>
        <w:autoSpaceDN/>
        <w:bidi w:val="0"/>
        <w:adjustRightInd w:val="0"/>
        <w:snapToGrid w:val="0"/>
        <w:spacing w:before="0"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第二部分 2021年度单位决算情况说明</w:t>
      </w:r>
      <w:r>
        <w:rPr>
          <w:rFonts w:hint="eastAsia" w:cs="仿宋"/>
          <w:sz w:val="32"/>
          <w:szCs w:val="32"/>
          <w:lang w:val="en-US" w:eastAsia="zh-CN"/>
        </w:rPr>
        <w:tab/>
      </w:r>
      <w:r>
        <w:rPr>
          <w:rFonts w:hint="eastAsia" w:cs="仿宋"/>
          <w:sz w:val="32"/>
          <w:szCs w:val="32"/>
          <w:lang w:val="en-US" w:eastAsia="zh-CN"/>
        </w:rPr>
        <w:t>10</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一、收入支出决算总体情况说明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10</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二、收入决算情况说明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10</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三、支出决算情况说明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11</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四、财政拨款收入支出决算总体情况说明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11</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五、一般公共预算财政拨款支出决算情况说明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12</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六、一般公共预算财政拨款基本支出决算情况说明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七、“三公”经费财政拨款支出决算情况说明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15</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八、政府性基金预算支出决算情况说明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16</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九、国有资本经营预算支出决算情况说明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16</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十、其他重要事项的情况说明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17</w:t>
      </w:r>
    </w:p>
    <w:p>
      <w:pPr>
        <w:pStyle w:val="11"/>
        <w:keepNext w:val="0"/>
        <w:keepLines w:val="0"/>
        <w:pageBreakBefore w:val="0"/>
        <w:widowControl w:val="0"/>
        <w:tabs>
          <w:tab w:val="right" w:leader="dot" w:pos="7980"/>
        </w:tabs>
        <w:kinsoku/>
        <w:wordWrap/>
        <w:overflowPunct/>
        <w:topLinePunct w:val="0"/>
        <w:autoSpaceDE/>
        <w:autoSpaceDN/>
        <w:bidi w:val="0"/>
        <w:adjustRightInd w:val="0"/>
        <w:snapToGrid w:val="0"/>
        <w:spacing w:before="0"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第三部分名词解释</w:t>
      </w:r>
      <w:r>
        <w:rPr>
          <w:rFonts w:hint="eastAsia" w:cs="仿宋"/>
          <w:sz w:val="32"/>
          <w:szCs w:val="32"/>
          <w:lang w:val="en-US" w:eastAsia="zh-CN"/>
        </w:rPr>
        <w:tab/>
      </w:r>
      <w:r>
        <w:rPr>
          <w:rFonts w:hint="eastAsia" w:cs="仿宋"/>
          <w:sz w:val="32"/>
          <w:szCs w:val="32"/>
          <w:lang w:val="en-US" w:eastAsia="zh-CN"/>
        </w:rPr>
        <w:t>18</w:t>
      </w:r>
    </w:p>
    <w:p>
      <w:pPr>
        <w:pStyle w:val="11"/>
        <w:keepNext w:val="0"/>
        <w:keepLines w:val="0"/>
        <w:pageBreakBefore w:val="0"/>
        <w:widowControl w:val="0"/>
        <w:tabs>
          <w:tab w:val="right" w:leader="dot" w:pos="7980"/>
        </w:tabs>
        <w:kinsoku/>
        <w:wordWrap/>
        <w:overflowPunct/>
        <w:topLinePunct w:val="0"/>
        <w:autoSpaceDE/>
        <w:autoSpaceDN/>
        <w:bidi w:val="0"/>
        <w:adjustRightInd w:val="0"/>
        <w:snapToGrid w:val="0"/>
        <w:spacing w:before="0"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第四部分附件</w:t>
      </w:r>
      <w:r>
        <w:rPr>
          <w:rFonts w:hint="eastAsia" w:cs="仿宋"/>
          <w:sz w:val="32"/>
          <w:szCs w:val="32"/>
          <w:lang w:val="en-US" w:eastAsia="zh-CN"/>
        </w:rPr>
        <w:tab/>
      </w:r>
      <w:r>
        <w:rPr>
          <w:rFonts w:hint="eastAsia" w:cs="仿宋"/>
          <w:sz w:val="32"/>
          <w:szCs w:val="32"/>
          <w:lang w:val="en-US" w:eastAsia="zh-CN"/>
        </w:rPr>
        <w:t>21</w:t>
      </w:r>
    </w:p>
    <w:p>
      <w:pPr>
        <w:pStyle w:val="11"/>
        <w:keepNext w:val="0"/>
        <w:keepLines w:val="0"/>
        <w:pageBreakBefore w:val="0"/>
        <w:widowControl w:val="0"/>
        <w:tabs>
          <w:tab w:val="right" w:leader="dot" w:pos="7980"/>
        </w:tabs>
        <w:kinsoku/>
        <w:wordWrap/>
        <w:overflowPunct/>
        <w:topLinePunct w:val="0"/>
        <w:autoSpaceDE/>
        <w:autoSpaceDN/>
        <w:bidi w:val="0"/>
        <w:adjustRightInd w:val="0"/>
        <w:snapToGrid w:val="0"/>
        <w:spacing w:before="0"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第五部分附表</w:t>
      </w:r>
      <w:r>
        <w:rPr>
          <w:rFonts w:hint="eastAsia" w:cs="仿宋"/>
          <w:sz w:val="32"/>
          <w:szCs w:val="32"/>
          <w:lang w:val="en-US" w:eastAsia="zh-CN"/>
        </w:rPr>
        <w:tab/>
      </w:r>
      <w:r>
        <w:rPr>
          <w:rFonts w:hint="eastAsia" w:cs="仿宋"/>
          <w:sz w:val="32"/>
          <w:szCs w:val="32"/>
          <w:lang w:val="en-US" w:eastAsia="zh-CN"/>
        </w:rPr>
        <w:t>24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一、收入支出决算总表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二、收入决算表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三、支出决算表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四、财政拨款收入支出决算总表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五、财政拨款支出决算明细表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六、一般公共预算财政拨款支出决算表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七、一般公共预算财政拨款支出决算明细表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八、一般公共预算财政拨款基本支出决算表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九、一般公共预算财政拨款项目支出决算表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一般公共预算财政拨款“三公”经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费支</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十一、政府性基金预算财政拨款收入支出决算表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十二、政府性基金预算财政拨款“三公”经费支出决算表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十三、国有资本经营预算财政拨款收入支出决算表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24</w:t>
      </w:r>
    </w:p>
    <w:p>
      <w:pPr>
        <w:pStyle w:val="12"/>
        <w:keepNext w:val="0"/>
        <w:keepLines w:val="0"/>
        <w:pageBreakBefore w:val="0"/>
        <w:widowControl w:val="0"/>
        <w:tabs>
          <w:tab w:val="right" w:leader="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十四、国有资本经营预算财政拨款支出决算表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24</w:t>
      </w:r>
    </w:p>
    <w:p>
      <w:pPr>
        <w:widowControl/>
        <w:adjustRightInd w:val="0"/>
        <w:snapToGrid w:val="0"/>
        <w:spacing w:line="440" w:lineRule="exact"/>
        <w:ind w:firstLine="1760" w:firstLineChars="550"/>
        <w:jc w:val="left"/>
        <w:rPr>
          <w:rFonts w:hint="eastAsia" w:ascii="仿宋" w:hAnsi="仿宋" w:eastAsia="仿宋" w:cs="仿宋"/>
          <w:sz w:val="32"/>
          <w:szCs w:val="32"/>
        </w:rPr>
      </w:pPr>
    </w:p>
    <w:p>
      <w:pPr>
        <w:widowControl/>
        <w:spacing w:line="440" w:lineRule="exact"/>
        <w:jc w:val="left"/>
        <w:rPr>
          <w:rFonts w:hint="eastAsia" w:ascii="仿宋" w:hAnsi="仿宋" w:eastAsia="仿宋" w:cs="仿宋"/>
          <w:bCs/>
          <w:kern w:val="44"/>
          <w:sz w:val="32"/>
          <w:szCs w:val="32"/>
        </w:rPr>
      </w:pPr>
      <w:bookmarkStart w:id="12" w:name="_Toc15377196"/>
      <w:bookmarkStart w:id="13" w:name="_Toc15396599"/>
      <w:r>
        <w:rPr>
          <w:rFonts w:hint="eastAsia" w:ascii="仿宋" w:hAnsi="仿宋" w:eastAsia="仿宋" w:cs="仿宋"/>
          <w:b/>
          <w:sz w:val="32"/>
          <w:szCs w:val="32"/>
        </w:rPr>
        <w:br w:type="page"/>
      </w:r>
    </w:p>
    <w:p>
      <w:pPr>
        <w:pStyle w:val="3"/>
        <w:jc w:val="center"/>
        <w:rPr>
          <w:rStyle w:val="26"/>
          <w:rFonts w:ascii="黑体" w:hAnsi="黑体" w:eastAsia="黑体"/>
          <w:b/>
          <w:bCs w:val="0"/>
        </w:rPr>
      </w:pPr>
      <w:r>
        <w:rPr>
          <w:rFonts w:hint="eastAsia" w:ascii="黑体" w:hAnsi="黑体" w:eastAsia="黑体"/>
          <w:b w:val="0"/>
        </w:rPr>
        <w:t>第一部分 单位</w:t>
      </w:r>
      <w:r>
        <w:rPr>
          <w:rStyle w:val="26"/>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Fonts w:eastAsia="仿宋_GB2312"/>
          <w:sz w:val="32"/>
          <w:szCs w:val="32"/>
        </w:rPr>
      </w:pPr>
      <w:bookmarkStart w:id="14" w:name="_Toc15396600"/>
      <w:bookmarkStart w:id="15" w:name="_Toc15377197"/>
      <w:r>
        <w:rPr>
          <w:rStyle w:val="27"/>
          <w:rFonts w:hint="eastAsia" w:ascii="黑体" w:hAnsi="黑体" w:eastAsia="黑体"/>
          <w:b w:val="0"/>
          <w:bCs w:val="0"/>
        </w:rPr>
        <w:t>职能简介</w:t>
      </w:r>
    </w:p>
    <w:p>
      <w:pPr>
        <w:pStyle w:val="4"/>
        <w:numPr>
          <w:ilvl w:val="0"/>
          <w:numId w:val="0"/>
        </w:numPr>
        <w:ind w:firstLine="640" w:firstLineChars="200"/>
        <w:rPr>
          <w:rFonts w:eastAsia="仿宋_GB2312"/>
          <w:b w:val="0"/>
          <w:bCs w:val="0"/>
          <w:sz w:val="32"/>
          <w:szCs w:val="32"/>
        </w:rPr>
      </w:pPr>
      <w:r>
        <w:rPr>
          <w:rFonts w:hint="eastAsia" w:ascii="仿宋_GB2312" w:eastAsia="仿宋_GB2312" w:cs="仿宋_GB2312"/>
          <w:b w:val="0"/>
          <w:bCs w:val="0"/>
          <w:sz w:val="32"/>
          <w:szCs w:val="32"/>
        </w:rPr>
        <w:t>盐边县渔门中心卫生院位于盐边中北部片区旅游、交通枢纽</w:t>
      </w:r>
      <w:r>
        <w:rPr>
          <w:rFonts w:hint="eastAsia" w:ascii="仿宋_GB2312" w:eastAsia="仿宋_GB2312"/>
          <w:b w:val="0"/>
          <w:bCs w:val="0"/>
          <w:sz w:val="32"/>
          <w:szCs w:val="32"/>
        </w:rPr>
        <w:t>—</w:t>
      </w:r>
      <w:r>
        <w:rPr>
          <w:rFonts w:hint="eastAsia" w:ascii="仿宋_GB2312" w:eastAsia="仿宋_GB2312" w:cs="仿宋_GB2312"/>
          <w:b w:val="0"/>
          <w:bCs w:val="0"/>
          <w:sz w:val="32"/>
          <w:szCs w:val="32"/>
        </w:rPr>
        <w:t>渔门镇，是政府举办的公益性全民事业单位。是盐边县城镇职工、居民、新农合定点医疗机构，</w:t>
      </w:r>
      <w:r>
        <w:rPr>
          <w:rFonts w:hint="eastAsia" w:ascii="仿宋_GB2312" w:hAnsi="宋体" w:eastAsia="仿宋_GB2312" w:cs="仿宋_GB2312"/>
          <w:b w:val="0"/>
          <w:bCs w:val="0"/>
          <w:sz w:val="32"/>
          <w:szCs w:val="32"/>
        </w:rPr>
        <w:t>承担着盐边中北部片区的基本医疗、预防、基本公共卫生服务等任务。</w:t>
      </w:r>
    </w:p>
    <w:p>
      <w:pPr>
        <w:pStyle w:val="4"/>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一</w:t>
      </w:r>
      <w:r>
        <w:rPr>
          <w:rFonts w:hint="eastAsia" w:ascii="仿宋" w:hAnsi="仿宋" w:eastAsia="仿宋" w:cs="仿宋"/>
          <w:b/>
          <w:bCs/>
          <w:sz w:val="32"/>
          <w:szCs w:val="32"/>
        </w:rPr>
        <w:t>）、基本公共卫生服务工作情况</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1、城乡居民健康档案管理</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居民健康档案管理，以妇女、儿童、老年人、残疾人、慢性病患者、严重精神障碍患者，贫困人口等人群为重点，在自愿的基础上，通过上门随访服务等形式，为辖区常住人口建立统一、规范的居民健康档案。截止9</w:t>
      </w:r>
      <w:r>
        <w:rPr>
          <w:rFonts w:hint="eastAsia" w:ascii="仿宋" w:hAnsi="仿宋" w:eastAsia="仿宋" w:cs="仿宋"/>
          <w:sz w:val="32"/>
          <w:szCs w:val="32"/>
        </w:rPr>
        <w:t>月底全镇共建立居民健康档案26644份，完整建档数26644份，完善建档数26644份，档案维护数14457份。其中对渔门镇后山村、新开田村、核桃箐村、柏林村，双龙村，花槽门村，高坪村，高箐村，力马村，鳡鱼村，东风村，龙胜村的贫困人口也进行建档立卡工作，并对各村重点人群和贫困人口开展家庭医生签约服务,共计签约2556份，并到各村进行了体检，其中贫困人口2556人，已完成体检人数2556人次，全部整理归档。</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2、健康教育</w:t>
      </w:r>
    </w:p>
    <w:p>
      <w:pPr>
        <w:ind w:firstLine="672" w:firstLineChars="210"/>
        <w:rPr>
          <w:rFonts w:hint="eastAsia" w:ascii="仿宋" w:hAnsi="仿宋" w:eastAsia="仿宋" w:cs="仿宋"/>
          <w:sz w:val="32"/>
          <w:szCs w:val="32"/>
        </w:rPr>
      </w:pPr>
      <w:r>
        <w:rPr>
          <w:rFonts w:hint="eastAsia" w:ascii="仿宋" w:hAnsi="仿宋" w:eastAsia="仿宋" w:cs="仿宋"/>
          <w:bCs/>
          <w:sz w:val="32"/>
          <w:szCs w:val="32"/>
        </w:rPr>
        <w:t>针对健康基本知识和技能及辖区重点健康问题等内容，向辖区内居民发放了各种健康教育宣传资料（结核病、高血压、糖尿病、手足口病、艾滋病、严重精神障碍、基本公共卫生服务项目宣传手册等），在医院及各村委会举办健康教育知识讲座。充分利用宣传栏，每两月更换宣传内容，更新健康卫生知识，根据工作需要适时宣传卫生健康知识。</w:t>
      </w:r>
      <w:bookmarkStart w:id="67" w:name="_GoBack"/>
      <w:bookmarkEnd w:id="67"/>
      <w:r>
        <w:rPr>
          <w:rFonts w:hint="eastAsia" w:ascii="仿宋" w:hAnsi="仿宋" w:eastAsia="仿宋" w:cs="仿宋"/>
          <w:bCs/>
          <w:sz w:val="32"/>
          <w:szCs w:val="32"/>
          <w:lang w:eastAsia="zh-CN"/>
        </w:rPr>
        <w:t>截至目前</w:t>
      </w:r>
      <w:r>
        <w:rPr>
          <w:rFonts w:hint="eastAsia" w:ascii="仿宋" w:hAnsi="仿宋" w:eastAsia="仿宋" w:cs="仿宋"/>
          <w:sz w:val="32"/>
          <w:szCs w:val="32"/>
        </w:rPr>
        <w:t xml:space="preserve">我院共举办各类健康知识讲座12期,其中中医知识讲座6期，共680余人参加。在街道市场及学校、人口聚集地进行健康教育宣传咨询活动9次，共人参加660人次，共计发放宣传资料2360余份。全院共办健康教育宣传板报6期，其中包含中医知识3期，共2800余人参加。 </w:t>
      </w:r>
    </w:p>
    <w:p>
      <w:pPr>
        <w:widowControl/>
        <w:ind w:firstLine="321" w:firstLineChars="100"/>
        <w:jc w:val="left"/>
        <w:rPr>
          <w:rFonts w:hint="eastAsia" w:ascii="仿宋" w:hAnsi="仿宋" w:eastAsia="仿宋" w:cs="仿宋"/>
          <w:kern w:val="0"/>
          <w:sz w:val="32"/>
          <w:szCs w:val="32"/>
        </w:rPr>
      </w:pPr>
      <w:r>
        <w:rPr>
          <w:rFonts w:hint="eastAsia" w:ascii="仿宋" w:hAnsi="仿宋" w:eastAsia="仿宋" w:cs="仿宋"/>
          <w:b/>
          <w:bCs/>
          <w:kern w:val="0"/>
          <w:sz w:val="32"/>
          <w:szCs w:val="32"/>
        </w:rPr>
        <w:t>3、0—6岁儿童保健</w:t>
      </w:r>
      <w:r>
        <w:rPr>
          <w:rFonts w:hint="eastAsia" w:ascii="仿宋" w:hAnsi="仿宋" w:eastAsia="仿宋" w:cs="仿宋"/>
          <w:b/>
          <w:bCs/>
          <w:kern w:val="0"/>
          <w:sz w:val="32"/>
          <w:szCs w:val="32"/>
        </w:rPr>
        <w:br w:type="textWrapping"/>
      </w:r>
      <w:r>
        <w:rPr>
          <w:rFonts w:hint="eastAsia" w:ascii="仿宋" w:hAnsi="仿宋" w:eastAsia="仿宋" w:cs="仿宋"/>
          <w:kern w:val="0"/>
          <w:sz w:val="32"/>
          <w:szCs w:val="32"/>
        </w:rPr>
        <w:t>辖区内0-6岁儿童健康管理，定期进行体格检查，生长发育监测，营养指导，疾病防治等积极有效的措施。2021年我镇0—6岁儿童1899人，共管理儿童1899人次。其中，3岁以下儿童系统管理997人，保健管理率97%。机构分娩数人，其中新生儿疾病筛查数人次。辖区分娩202人次，早孕建卡150人次，早孕建卡率为74.3%，产后28天内访视201人次，产后访视率为99.5%。</w:t>
      </w:r>
      <w:r>
        <w:rPr>
          <w:rFonts w:hint="eastAsia" w:ascii="仿宋" w:hAnsi="仿宋" w:eastAsia="仿宋" w:cs="仿宋"/>
          <w:kern w:val="0"/>
          <w:sz w:val="32"/>
          <w:szCs w:val="32"/>
        </w:rPr>
        <w:br w:type="textWrapping"/>
      </w:r>
      <w:r>
        <w:rPr>
          <w:rFonts w:hint="eastAsia" w:ascii="仿宋" w:hAnsi="仿宋" w:eastAsia="仿宋" w:cs="仿宋"/>
          <w:b/>
          <w:bCs/>
          <w:kern w:val="0"/>
          <w:sz w:val="32"/>
          <w:szCs w:val="32"/>
        </w:rPr>
        <w:t xml:space="preserve"> </w:t>
      </w:r>
      <w:r>
        <w:rPr>
          <w:rFonts w:hint="eastAsia" w:ascii="仿宋" w:hAnsi="仿宋" w:eastAsia="仿宋" w:cs="仿宋"/>
          <w:b/>
          <w:bCs/>
          <w:kern w:val="0"/>
          <w:sz w:val="32"/>
          <w:szCs w:val="32"/>
          <w:lang w:val="en-US" w:eastAsia="zh-CN"/>
        </w:rPr>
        <w:t xml:space="preserve"> </w:t>
      </w:r>
      <w:r>
        <w:rPr>
          <w:rFonts w:hint="eastAsia" w:ascii="仿宋" w:hAnsi="仿宋" w:eastAsia="仿宋" w:cs="仿宋"/>
          <w:b/>
          <w:bCs/>
          <w:kern w:val="0"/>
          <w:sz w:val="32"/>
          <w:szCs w:val="32"/>
        </w:rPr>
        <w:t>4、孕产妇保健</w:t>
      </w:r>
      <w:r>
        <w:rPr>
          <w:rFonts w:hint="eastAsia" w:ascii="仿宋" w:hAnsi="仿宋" w:eastAsia="仿宋" w:cs="仿宋"/>
          <w:b/>
          <w:bCs/>
          <w:kern w:val="0"/>
          <w:sz w:val="32"/>
          <w:szCs w:val="32"/>
        </w:rPr>
        <w:br w:type="textWrapping"/>
      </w:r>
      <w:r>
        <w:rPr>
          <w:rFonts w:hint="eastAsia" w:ascii="仿宋" w:hAnsi="仿宋" w:eastAsia="仿宋" w:cs="仿宋"/>
          <w:kern w:val="0"/>
          <w:sz w:val="32"/>
          <w:szCs w:val="32"/>
        </w:rPr>
        <w:t>（1）辖区内婚前医学检查数309对。</w:t>
      </w:r>
      <w:r>
        <w:rPr>
          <w:rFonts w:hint="eastAsia" w:ascii="仿宋" w:hAnsi="仿宋" w:eastAsia="仿宋" w:cs="仿宋"/>
          <w:kern w:val="0"/>
          <w:sz w:val="32"/>
          <w:szCs w:val="32"/>
        </w:rPr>
        <w:br w:type="textWrapping"/>
      </w:r>
      <w:r>
        <w:rPr>
          <w:rFonts w:hint="eastAsia" w:ascii="仿宋" w:hAnsi="仿宋" w:eastAsia="仿宋" w:cs="仿宋"/>
          <w:kern w:val="0"/>
          <w:sz w:val="32"/>
          <w:szCs w:val="32"/>
        </w:rPr>
        <w:t>（2）对育龄妇女进行了叶酸增补，依从率均达到93.49%。叶酸应服人数123人，服用依从人数115人。</w:t>
      </w:r>
      <w:r>
        <w:rPr>
          <w:rFonts w:hint="eastAsia" w:ascii="仿宋" w:hAnsi="仿宋" w:eastAsia="仿宋" w:cs="仿宋"/>
          <w:kern w:val="0"/>
          <w:sz w:val="32"/>
          <w:szCs w:val="32"/>
        </w:rPr>
        <w:br w:type="textWrapping"/>
      </w:r>
      <w:r>
        <w:rPr>
          <w:rFonts w:hint="eastAsia" w:ascii="仿宋" w:hAnsi="仿宋" w:eastAsia="仿宋" w:cs="仿宋"/>
          <w:kern w:val="0"/>
          <w:sz w:val="32"/>
          <w:szCs w:val="32"/>
        </w:rPr>
        <w:t>（3）对孕产妇进行系统管理：从早孕开始进行卫生保健宣教指导，孕早期建卡，进行乙肝、梅毒、艾滋病筛查。动员孕妇来医院定期产前检查≥5次，同时动员孕产妇必须住院分娩，住院分娩率均达到100%。辖区内孕产妇204人，高危135例，管理135例，住院分娩135例。</w:t>
      </w:r>
      <w:r>
        <w:rPr>
          <w:rFonts w:hint="eastAsia" w:ascii="仿宋" w:hAnsi="仿宋" w:eastAsia="仿宋" w:cs="仿宋"/>
          <w:kern w:val="0"/>
          <w:sz w:val="32"/>
          <w:szCs w:val="32"/>
        </w:rPr>
        <w:br w:type="textWrapping"/>
      </w:r>
      <w:r>
        <w:rPr>
          <w:rFonts w:hint="eastAsia" w:ascii="仿宋" w:hAnsi="仿宋" w:eastAsia="仿宋" w:cs="仿宋"/>
          <w:kern w:val="0"/>
          <w:sz w:val="32"/>
          <w:szCs w:val="32"/>
        </w:rPr>
        <w:t>（4）辖区内共管理孕产妇204人，系统管理180人，管理率达88.23%。</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5、老年人健康管理</w:t>
      </w:r>
    </w:p>
    <w:p>
      <w:pPr>
        <w:ind w:firstLine="633" w:firstLineChars="198"/>
        <w:rPr>
          <w:rFonts w:hint="eastAsia" w:ascii="仿宋" w:hAnsi="仿宋" w:eastAsia="仿宋" w:cs="仿宋"/>
          <w:sz w:val="32"/>
          <w:szCs w:val="32"/>
        </w:rPr>
      </w:pPr>
      <w:r>
        <w:rPr>
          <w:rFonts w:hint="eastAsia" w:ascii="仿宋" w:hAnsi="仿宋" w:eastAsia="仿宋" w:cs="仿宋"/>
          <w:bCs/>
          <w:sz w:val="32"/>
          <w:szCs w:val="32"/>
        </w:rPr>
        <w:t>对辖区65岁及以上老年人进行登记管理进行健康危险因素调查和一般体格检查，提供疾病预防，自我保健及伤害预防自救等健康指导，对各村村民进行一次下村体检及慢病筛查。</w:t>
      </w:r>
      <w:r>
        <w:rPr>
          <w:rFonts w:hint="eastAsia" w:ascii="仿宋" w:hAnsi="仿宋" w:eastAsia="仿宋" w:cs="仿宋"/>
          <w:sz w:val="32"/>
          <w:szCs w:val="32"/>
        </w:rPr>
        <w:t>老年人年度体检从2021年11月至今老年人建档数2946份，免费体检人次，完善体检数1572人次，管理率达53.36</w:t>
      </w:r>
      <w:r>
        <w:rPr>
          <w:rFonts w:hint="eastAsia" w:ascii="仿宋" w:hAnsi="仿宋" w:eastAsia="仿宋" w:cs="仿宋"/>
          <w:kern w:val="0"/>
          <w:sz w:val="32"/>
          <w:szCs w:val="32"/>
        </w:rPr>
        <w:t>%</w:t>
      </w:r>
      <w:r>
        <w:rPr>
          <w:rFonts w:hint="eastAsia" w:ascii="仿宋" w:hAnsi="仿宋" w:eastAsia="仿宋" w:cs="仿宋"/>
          <w:sz w:val="32"/>
          <w:szCs w:val="32"/>
        </w:rPr>
        <w:t>。对体检结果有异常的人群已及时反馈村医，建议其到医院进行复查。</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6、预防接种</w:t>
      </w:r>
    </w:p>
    <w:p>
      <w:pPr>
        <w:ind w:firstLine="672" w:firstLineChars="210"/>
        <w:rPr>
          <w:rFonts w:hint="eastAsia" w:ascii="仿宋" w:hAnsi="仿宋" w:eastAsia="仿宋" w:cs="仿宋"/>
          <w:sz w:val="32"/>
          <w:szCs w:val="32"/>
        </w:rPr>
      </w:pPr>
      <w:r>
        <w:rPr>
          <w:rFonts w:hint="eastAsia" w:ascii="仿宋" w:hAnsi="仿宋" w:eastAsia="仿宋" w:cs="仿宋"/>
          <w:bCs/>
          <w:sz w:val="32"/>
          <w:szCs w:val="32"/>
        </w:rPr>
        <w:t>定时对辖区儿童进行预防接种服务，有效的预防了各类传染病的发生，保障了儿童的身体健康。</w:t>
      </w:r>
      <w:r>
        <w:rPr>
          <w:rFonts w:hint="eastAsia" w:ascii="仿宋" w:hAnsi="仿宋" w:eastAsia="仿宋" w:cs="仿宋"/>
          <w:sz w:val="32"/>
          <w:szCs w:val="32"/>
        </w:rPr>
        <w:t>为适龄儿童应建立预防接种证1986人次，免费接种乙肝疫苗673剂次、卡介苗233剂次、脊灰疫苗888剂次、百白破疫苗819剂次、麻疹类疫苗439剂次（麻风、麻腮风）、甲肝疫苗249剂次、流脑疫苗863剂次、国家免疫规划疫苗，共计接种6000剂次，其中包含流动儿童1500人次。接种证查验应查560人次，实查560人次，补种120人次。</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7、传染病及突发公共卫生事件报告和处理</w:t>
      </w:r>
    </w:p>
    <w:p>
      <w:pPr>
        <w:ind w:firstLine="672" w:firstLineChars="210"/>
        <w:rPr>
          <w:rFonts w:hint="eastAsia" w:ascii="仿宋" w:hAnsi="仿宋" w:eastAsia="仿宋" w:cs="仿宋"/>
          <w:sz w:val="32"/>
          <w:szCs w:val="32"/>
        </w:rPr>
      </w:pPr>
      <w:r>
        <w:rPr>
          <w:rFonts w:hint="eastAsia" w:ascii="仿宋" w:hAnsi="仿宋" w:eastAsia="仿宋" w:cs="仿宋"/>
          <w:sz w:val="32"/>
          <w:szCs w:val="32"/>
        </w:rPr>
        <w:t>一、是依据《传染病防治法》《传染病信息报告管理规范》以及传染病报告与处理规范要求，认真落实传染病报告管理制度。</w:t>
      </w:r>
    </w:p>
    <w:p>
      <w:pPr>
        <w:ind w:firstLine="672" w:firstLineChars="210"/>
        <w:rPr>
          <w:rFonts w:hint="eastAsia" w:ascii="仿宋" w:hAnsi="仿宋" w:eastAsia="仿宋" w:cs="仿宋"/>
          <w:sz w:val="32"/>
          <w:szCs w:val="32"/>
        </w:rPr>
      </w:pPr>
      <w:r>
        <w:rPr>
          <w:rFonts w:hint="eastAsia" w:ascii="仿宋" w:hAnsi="仿宋" w:eastAsia="仿宋" w:cs="仿宋"/>
          <w:sz w:val="32"/>
          <w:szCs w:val="32"/>
        </w:rPr>
        <w:t>二、是采取多种形式对辖区居民进行传染病防治知识的宣传教育，提高了辖区居民传染病防治知识的知晓率。</w:t>
      </w:r>
    </w:p>
    <w:p>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传染病网报601例，未网报420例，疫情报告率，及时率，准确率达到100%，今年</w:t>
      </w:r>
      <w:r>
        <w:rPr>
          <w:rFonts w:hint="eastAsia" w:ascii="仿宋_GB2312" w:hAnsi="仿宋_GB2312" w:eastAsia="仿宋_GB2312" w:cs="仿宋_GB2312"/>
          <w:sz w:val="32"/>
          <w:szCs w:val="32"/>
        </w:rPr>
        <w:t>截至目前辖区内死因网络报告163例，肿瘤网报28例，食源性疾病网报42例，</w:t>
      </w:r>
      <w:r>
        <w:rPr>
          <w:rFonts w:hint="eastAsia" w:ascii="仿宋_GB2312" w:hAnsi="仿宋_GB2312" w:eastAsia="仿宋_GB2312" w:cs="仿宋_GB2312"/>
          <w:bCs/>
          <w:sz w:val="32"/>
          <w:szCs w:val="32"/>
        </w:rPr>
        <w:t>对疑似传染病及时与上级有关部门取得联系，进行了排查处理，有效的杜绝了传染病蔓延。</w:t>
      </w:r>
    </w:p>
    <w:p>
      <w:pPr>
        <w:pStyle w:val="13"/>
        <w:rPr>
          <w:rFonts w:hint="eastAsia" w:ascii="仿宋_GB2312" w:hAnsi="仿宋_GB2312" w:eastAsia="仿宋_GB2312" w:cs="仿宋_GB2312"/>
          <w:sz w:val="32"/>
          <w:szCs w:val="32"/>
        </w:rPr>
      </w:pP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8、高血压患者健康管理</w:t>
      </w:r>
    </w:p>
    <w:p>
      <w:pPr>
        <w:ind w:firstLine="672" w:firstLineChars="210"/>
        <w:rPr>
          <w:rFonts w:hint="eastAsia" w:ascii="仿宋" w:hAnsi="仿宋" w:eastAsia="仿宋" w:cs="仿宋"/>
          <w:color w:val="000000"/>
          <w:sz w:val="32"/>
          <w:szCs w:val="32"/>
        </w:rPr>
      </w:pPr>
      <w:r>
        <w:rPr>
          <w:rFonts w:hint="eastAsia" w:ascii="仿宋" w:hAnsi="仿宋" w:eastAsia="仿宋" w:cs="仿宋"/>
          <w:sz w:val="32"/>
          <w:szCs w:val="32"/>
        </w:rPr>
        <w:t>我镇辖区内高血压患者建档数1022人次，随访数1022人次，达标随访数633人次,随访达标率60.27%，高血压体检数592次，血压控制率58.0%,</w:t>
      </w:r>
      <w:r>
        <w:rPr>
          <w:rFonts w:hint="eastAsia" w:ascii="仿宋" w:hAnsi="仿宋" w:eastAsia="仿宋" w:cs="仿宋"/>
          <w:color w:val="000000"/>
          <w:sz w:val="32"/>
          <w:szCs w:val="32"/>
        </w:rPr>
        <w:t>对于一般人群血压140/90mmHg以上的高血压患者实行增加随访，老年人血压150/90mmH以上的高血压患者实行增加随访（两周内随访，如血压控制不稳定者出具双向转诊单）。</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9、Ⅱ糖尿病患者健康管理</w:t>
      </w:r>
    </w:p>
    <w:p>
      <w:pPr>
        <w:ind w:firstLine="672" w:firstLineChars="210"/>
        <w:rPr>
          <w:rFonts w:hint="eastAsia" w:ascii="仿宋" w:hAnsi="仿宋" w:eastAsia="仿宋" w:cs="仿宋"/>
          <w:color w:val="000000"/>
          <w:sz w:val="32"/>
          <w:szCs w:val="32"/>
        </w:rPr>
      </w:pPr>
      <w:r>
        <w:rPr>
          <w:rFonts w:hint="eastAsia" w:ascii="仿宋" w:hAnsi="仿宋" w:eastAsia="仿宋" w:cs="仿宋"/>
          <w:sz w:val="32"/>
          <w:szCs w:val="32"/>
        </w:rPr>
        <w:t>我镇辖区内糖尿病患者建档数</w:t>
      </w:r>
      <w:r>
        <w:rPr>
          <w:rFonts w:hint="eastAsia" w:ascii="仿宋" w:hAnsi="仿宋" w:eastAsia="仿宋" w:cs="仿宋"/>
          <w:color w:val="000000"/>
          <w:sz w:val="32"/>
          <w:szCs w:val="32"/>
        </w:rPr>
        <w:t xml:space="preserve"> 343</w:t>
      </w:r>
      <w:r>
        <w:rPr>
          <w:rFonts w:hint="eastAsia" w:ascii="仿宋" w:hAnsi="仿宋" w:eastAsia="仿宋" w:cs="仿宋"/>
          <w:sz w:val="32"/>
          <w:szCs w:val="32"/>
        </w:rPr>
        <w:t>人次，达标随访数340人次，达标率99%，糖尿病体检数231人次，血糖控制率67%，最近完善340人，管理率99%。</w:t>
      </w:r>
      <w:r>
        <w:rPr>
          <w:rFonts w:hint="eastAsia" w:ascii="仿宋" w:hAnsi="仿宋" w:eastAsia="仿宋" w:cs="仿宋"/>
          <w:color w:val="000000"/>
          <w:sz w:val="32"/>
          <w:szCs w:val="32"/>
        </w:rPr>
        <w:t>对于血糖高于7.0mol/L以上的血糖患者实行增加随访（两周内随访，如血糖控制不稳定者出具双向转诊单）。</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10、严重精神障碍患者健康管理</w:t>
      </w:r>
    </w:p>
    <w:p>
      <w:pPr>
        <w:ind w:left="166" w:leftChars="79" w:firstLine="640" w:firstLineChars="200"/>
        <w:rPr>
          <w:rFonts w:hint="eastAsia" w:ascii="仿宋" w:hAnsi="仿宋" w:eastAsia="仿宋" w:cs="仿宋"/>
          <w:bCs/>
          <w:sz w:val="32"/>
          <w:szCs w:val="32"/>
        </w:rPr>
      </w:pPr>
      <w:r>
        <w:rPr>
          <w:rFonts w:hint="eastAsia" w:ascii="仿宋" w:hAnsi="仿宋" w:eastAsia="仿宋" w:cs="仿宋"/>
          <w:bCs/>
          <w:sz w:val="32"/>
          <w:szCs w:val="32"/>
        </w:rPr>
        <w:t>对辖区内严重精神障碍患者进行登记管理，对在家居住的严重精神障碍患者进行治疗随访和康复指导，共管理严重精神障碍患者133人。其中系统内建档数133人次，随访数112人次，稳定率84%。</w:t>
      </w:r>
    </w:p>
    <w:p>
      <w:pPr>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11、计生卫生监督协管</w:t>
      </w:r>
    </w:p>
    <w:p>
      <w:pPr>
        <w:pStyle w:val="13"/>
        <w:ind w:firstLine="615"/>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在突发公共卫生事件应急处理及卫生监督协管方面，卫生院对学校卫生，饮用水卫生，报告，职业卫生咨询指导，非法行医和非法采供血信息报告进行安全巡查，保障了公共卫生安全。</w:t>
      </w:r>
      <w:r>
        <w:rPr>
          <w:rFonts w:hint="eastAsia" w:ascii="仿宋_GB2312" w:hAnsi="仿宋_GB2312" w:eastAsia="仿宋_GB2312" w:cs="仿宋_GB2312"/>
          <w:sz w:val="32"/>
          <w:szCs w:val="32"/>
        </w:rPr>
        <w:t>其中协助饮用水安全巡查10次，学校卫生服务巡查10次，非法行医巡查10次，对辖区内娱乐场所进行了检查并通知换证体检工作10次，共计40次，及时发现线索并上报2次。对服务对象进行指导整改，改善现有状态。</w:t>
      </w:r>
    </w:p>
    <w:p>
      <w:pPr>
        <w:pStyle w:val="13"/>
        <w:numPr>
          <w:ilvl w:val="0"/>
          <w:numId w:val="2"/>
        </w:numPr>
        <w:ind w:firstLine="61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中医药健康管理</w:t>
      </w:r>
    </w:p>
    <w:p>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65岁及以上老年人（1622人）和0-3岁儿童(697人)进行中医体质辨识工作，制定个性化饮食、起居方案，进行中医健康指导，定期和（或）不定期对重点人群随访，提供养生保健、食疗药膳、情志调摄、运动功法和体质调养的中医健康教育处方。</w:t>
      </w:r>
    </w:p>
    <w:p>
      <w:pPr>
        <w:pStyle w:val="13"/>
        <w:ind w:firstLine="61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13、结核病患者健康管理</w:t>
      </w:r>
    </w:p>
    <w:p>
      <w:pPr>
        <w:pStyle w:val="13"/>
        <w:ind w:firstLine="6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2021年全年我辖区内10名结核病患者,已由结核门诊进行管理。 </w:t>
      </w:r>
    </w:p>
    <w:p>
      <w:pPr>
        <w:pStyle w:val="13"/>
        <w:ind w:firstLine="615"/>
        <w:rPr>
          <w:rFonts w:hint="eastAsia" w:ascii="仿宋" w:hAnsi="仿宋" w:eastAsia="仿宋" w:cs="仿宋"/>
          <w:kern w:val="0"/>
          <w:sz w:val="32"/>
          <w:szCs w:val="32"/>
          <w:lang w:eastAsia="zh-CN"/>
        </w:rPr>
      </w:pPr>
      <w:r>
        <w:rPr>
          <w:rFonts w:hint="eastAsia" w:ascii="仿宋" w:hAnsi="仿宋" w:eastAsia="仿宋" w:cs="仿宋"/>
          <w:b/>
          <w:bCs/>
          <w:kern w:val="0"/>
          <w:sz w:val="32"/>
          <w:szCs w:val="32"/>
        </w:rPr>
        <w:t>(二）</w:t>
      </w:r>
      <w:r>
        <w:rPr>
          <w:rFonts w:hint="eastAsia" w:ascii="仿宋" w:hAnsi="仿宋" w:eastAsia="仿宋" w:cs="仿宋"/>
          <w:b/>
          <w:bCs/>
          <w:kern w:val="0"/>
          <w:sz w:val="32"/>
          <w:szCs w:val="32"/>
          <w:lang w:eastAsia="zh-CN"/>
        </w:rPr>
        <w:t>基本医疗服务情况</w:t>
      </w:r>
      <w:r>
        <w:rPr>
          <w:rFonts w:hint="eastAsia" w:ascii="仿宋" w:hAnsi="仿宋" w:eastAsia="仿宋" w:cs="仿宋"/>
          <w:kern w:val="0"/>
          <w:sz w:val="32"/>
          <w:szCs w:val="32"/>
          <w:lang w:eastAsia="zh-CN"/>
        </w:rPr>
        <w:t>。</w:t>
      </w:r>
    </w:p>
    <w:p>
      <w:pPr>
        <w:pStyle w:val="13"/>
        <w:ind w:firstLine="615"/>
        <w:rPr>
          <w:rFonts w:hint="eastAsia" w:ascii="仿宋" w:hAnsi="仿宋" w:eastAsia="仿宋" w:cs="仿宋"/>
          <w:sz w:val="32"/>
          <w:szCs w:val="32"/>
        </w:rPr>
      </w:pPr>
      <w:r>
        <w:rPr>
          <w:rFonts w:hint="eastAsia" w:ascii="仿宋" w:hAnsi="仿宋" w:eastAsia="仿宋" w:cs="仿宋"/>
          <w:kern w:val="0"/>
          <w:sz w:val="32"/>
          <w:szCs w:val="32"/>
        </w:rPr>
        <w:t>不断优化就诊流程，提高医疗质量，继续充分发挥计划生育专科技术优势，为北部片区老百姓提高安全、简便、有效、经济的计划生育技术服务，1至10月门诊人次达1203人次，上环人次达18人次，取环人次达37人次，换环人次达1人次</w:t>
      </w:r>
      <w:r>
        <w:rPr>
          <w:rFonts w:hint="eastAsia" w:ascii="仿宋" w:hAnsi="仿宋" w:eastAsia="仿宋" w:cs="仿宋"/>
          <w:sz w:val="32"/>
          <w:szCs w:val="32"/>
        </w:rPr>
        <w:t>。</w:t>
      </w:r>
    </w:p>
    <w:p>
      <w:pPr>
        <w:widowControl/>
        <w:jc w:val="left"/>
        <w:rPr>
          <w:rFonts w:hint="eastAsia" w:ascii="仿宋" w:hAnsi="仿宋" w:eastAsia="仿宋" w:cs="仿宋"/>
          <w:kern w:val="0"/>
          <w:sz w:val="32"/>
          <w:szCs w:val="32"/>
        </w:rPr>
      </w:pPr>
      <w:r>
        <w:rPr>
          <w:rFonts w:hint="eastAsia" w:ascii="仿宋" w:hAnsi="仿宋" w:eastAsia="仿宋" w:cs="仿宋"/>
          <w:sz w:val="32"/>
          <w:szCs w:val="32"/>
        </w:rPr>
        <w:br w:type="page"/>
      </w:r>
    </w:p>
    <w:p>
      <w:pPr>
        <w:pStyle w:val="3"/>
        <w:ind w:right="440"/>
        <w:jc w:val="center"/>
        <w:rPr>
          <w:rStyle w:val="26"/>
          <w:rFonts w:ascii="黑体" w:hAnsi="黑体" w:eastAsia="黑体"/>
          <w:b w:val="0"/>
          <w:bCs/>
        </w:rPr>
      </w:pPr>
      <w:bookmarkStart w:id="16" w:name="_Toc15396602"/>
      <w:bookmarkStart w:id="17" w:name="_Toc15377204"/>
      <w:r>
        <w:rPr>
          <w:rFonts w:hint="eastAsia" w:ascii="黑体" w:hAnsi="黑体" w:eastAsia="黑体"/>
          <w:b w:val="0"/>
        </w:rPr>
        <w:t>第二部分 2021年度</w:t>
      </w:r>
      <w:r>
        <w:rPr>
          <w:rStyle w:val="26"/>
          <w:rFonts w:hint="eastAsia" w:ascii="黑体" w:hAnsi="黑体" w:eastAsia="黑体"/>
          <w:b w:val="0"/>
          <w:bCs/>
        </w:rPr>
        <w:t>单位决算情况说明</w:t>
      </w:r>
      <w:bookmarkEnd w:id="16"/>
      <w:bookmarkEnd w:id="17"/>
    </w:p>
    <w:p/>
    <w:p>
      <w:pPr>
        <w:pStyle w:val="25"/>
        <w:numPr>
          <w:ilvl w:val="0"/>
          <w:numId w:val="3"/>
        </w:numPr>
        <w:spacing w:line="600" w:lineRule="exact"/>
        <w:ind w:firstLineChars="0"/>
        <w:outlineLvl w:val="1"/>
        <w:rPr>
          <w:rStyle w:val="27"/>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7"/>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2021年度收、支总计</w:t>
      </w:r>
      <w:r>
        <w:rPr>
          <w:rFonts w:hint="eastAsia" w:ascii="仿宋" w:hAnsi="仿宋" w:eastAsia="仿宋"/>
          <w:sz w:val="32"/>
          <w:szCs w:val="32"/>
          <w:lang w:val="en-US" w:eastAsia="zh-CN"/>
        </w:rPr>
        <w:t>717.57</w:t>
      </w:r>
      <w:r>
        <w:rPr>
          <w:rFonts w:hint="eastAsia" w:ascii="仿宋" w:hAnsi="仿宋" w:eastAsia="仿宋"/>
          <w:sz w:val="32"/>
          <w:szCs w:val="32"/>
        </w:rPr>
        <w:t>万元。与2020年相比，收、支总计各增加</w:t>
      </w:r>
      <w:r>
        <w:rPr>
          <w:rFonts w:hint="eastAsia" w:ascii="仿宋" w:hAnsi="仿宋" w:eastAsia="仿宋"/>
          <w:sz w:val="32"/>
          <w:szCs w:val="32"/>
          <w:lang w:val="en-US" w:eastAsia="zh-CN"/>
        </w:rPr>
        <w:t>194.07</w:t>
      </w:r>
      <w:r>
        <w:rPr>
          <w:rFonts w:hint="eastAsia" w:ascii="仿宋" w:hAnsi="仿宋" w:eastAsia="仿宋"/>
          <w:sz w:val="32"/>
          <w:szCs w:val="32"/>
        </w:rPr>
        <w:t>万元，增长</w:t>
      </w:r>
      <w:r>
        <w:rPr>
          <w:rFonts w:hint="eastAsia" w:ascii="仿宋" w:hAnsi="仿宋" w:eastAsia="仿宋"/>
          <w:sz w:val="32"/>
          <w:szCs w:val="32"/>
          <w:lang w:eastAsia="zh-CN"/>
        </w:rPr>
        <w:t>了</w:t>
      </w:r>
      <w:r>
        <w:rPr>
          <w:rFonts w:hint="eastAsia" w:ascii="仿宋" w:hAnsi="仿宋" w:eastAsia="仿宋"/>
          <w:sz w:val="32"/>
          <w:szCs w:val="32"/>
          <w:lang w:val="en-US" w:eastAsia="zh-CN"/>
        </w:rPr>
        <w:t>37.07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因为职工工资上调及新冠疫苗接种收入和支出增加。</w:t>
      </w:r>
    </w:p>
    <w:p>
      <w:pPr>
        <w:pStyle w:val="2"/>
        <w:jc w:val="center"/>
        <w:rPr>
          <w:rFonts w:ascii="仿宋" w:hAnsi="仿宋" w:eastAsia="仿宋"/>
          <w:sz w:val="32"/>
          <w:szCs w:val="32"/>
        </w:rPr>
      </w:pPr>
      <w:r>
        <w:rPr>
          <w:rFonts w:hint="default" w:ascii="仿宋_GB2312" w:hAnsi="Times New Roman" w:eastAsia="仿宋_GB2312" w:cs="Times New Roman"/>
          <w:kern w:val="0"/>
          <w:sz w:val="30"/>
          <w:szCs w:val="24"/>
          <w:lang w:val="en-US" w:eastAsia="zh-CN" w:bidi="ar-SA"/>
        </w:rPr>
        <w:object>
          <v:shape id="_x0000_i1025" o:spt="75" type="#_x0000_t75" style="height:208.5pt;width:448.25pt;" o:ole="t" filled="f" o:preferrelative="t" stroked="f" coordsize="21600,21600">
            <v:path/>
            <v:fill on="f" focussize="0,0"/>
            <v:stroke on="f"/>
            <v:imagedata r:id="rId7" blacklevel="0f" o:title=""/>
            <o:lock v:ext="edit" aspectratio="t"/>
            <w10:wrap type="none"/>
            <w10:anchorlock/>
          </v:shape>
          <o:OLEObject Type="Embed" ProgID="Excel.Chart.8" ShapeID="_x0000_i1025" DrawAspect="Content" ObjectID="_1468075725" r:id="rId6">
            <o:LockedField>false</o:LockedField>
          </o:OLEObject>
        </w:object>
      </w:r>
    </w:p>
    <w:p>
      <w:pPr>
        <w:pStyle w:val="25"/>
        <w:numPr>
          <w:ilvl w:val="0"/>
          <w:numId w:val="0"/>
        </w:numPr>
        <w:spacing w:line="600" w:lineRule="exact"/>
        <w:outlineLvl w:val="1"/>
        <w:rPr>
          <w:rStyle w:val="27"/>
          <w:rFonts w:ascii="黑体" w:hAnsi="黑体" w:eastAsia="黑体"/>
          <w:b w:val="0"/>
        </w:rPr>
      </w:pPr>
      <w:bookmarkStart w:id="20" w:name="_Toc15377206"/>
      <w:bookmarkStart w:id="21" w:name="_Toc15396604"/>
      <w:r>
        <w:rPr>
          <w:rFonts w:hint="eastAsia" w:ascii="黑体" w:hAnsi="黑体" w:eastAsia="黑体"/>
          <w:sz w:val="32"/>
          <w:szCs w:val="32"/>
          <w:lang w:eastAsia="zh-CN"/>
        </w:rPr>
        <w:t>二、</w:t>
      </w:r>
      <w:r>
        <w:rPr>
          <w:rFonts w:hint="eastAsia" w:ascii="黑体" w:hAnsi="黑体" w:eastAsia="黑体"/>
          <w:sz w:val="32"/>
          <w:szCs w:val="32"/>
        </w:rPr>
        <w:t>收</w:t>
      </w:r>
      <w:r>
        <w:rPr>
          <w:rStyle w:val="27"/>
          <w:rFonts w:hint="eastAsia" w:ascii="黑体" w:hAnsi="黑体" w:eastAsia="黑体"/>
          <w:b w:val="0"/>
        </w:rPr>
        <w:t>入决算情况说明</w:t>
      </w:r>
      <w:bookmarkEnd w:id="20"/>
      <w:bookmarkEnd w:id="21"/>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717.57</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651.46</w:t>
      </w:r>
      <w:r>
        <w:rPr>
          <w:rFonts w:hint="eastAsia" w:ascii="仿宋" w:hAnsi="仿宋" w:eastAsia="仿宋"/>
          <w:sz w:val="32"/>
          <w:szCs w:val="32"/>
        </w:rPr>
        <w:t>万元，占</w:t>
      </w:r>
      <w:r>
        <w:rPr>
          <w:rFonts w:hint="eastAsia" w:ascii="仿宋" w:hAnsi="仿宋" w:eastAsia="仿宋"/>
          <w:sz w:val="32"/>
          <w:szCs w:val="32"/>
          <w:lang w:val="en-US" w:eastAsia="zh-CN"/>
        </w:rPr>
        <w:t>90.8</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66.11</w:t>
      </w:r>
      <w:r>
        <w:rPr>
          <w:rFonts w:hint="eastAsia" w:ascii="仿宋" w:hAnsi="仿宋" w:eastAsia="仿宋"/>
          <w:sz w:val="32"/>
          <w:szCs w:val="32"/>
        </w:rPr>
        <w:t>万元，占</w:t>
      </w:r>
      <w:r>
        <w:rPr>
          <w:rFonts w:hint="eastAsia" w:ascii="仿宋" w:hAnsi="仿宋" w:eastAsia="仿宋"/>
          <w:sz w:val="32"/>
          <w:szCs w:val="32"/>
          <w:lang w:val="en-US" w:eastAsia="zh-CN"/>
        </w:rPr>
        <w:t>9.2</w:t>
      </w:r>
      <w:r>
        <w:rPr>
          <w:rFonts w:ascii="仿宋" w:hAnsi="仿宋" w:eastAsia="仿宋"/>
          <w:sz w:val="32"/>
          <w:szCs w:val="32"/>
        </w:rPr>
        <w:t>%</w:t>
      </w:r>
      <w:r>
        <w:rPr>
          <w:rFonts w:hint="eastAsia" w:ascii="仿宋" w:hAnsi="仿宋" w:eastAsia="仿宋"/>
          <w:sz w:val="32"/>
          <w:szCs w:val="32"/>
        </w:rPr>
        <w:t>。</w:t>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Style w:val="27"/>
          <w:rFonts w:ascii="黑体" w:hAnsi="黑体" w:eastAsia="黑体"/>
          <w:b w:val="0"/>
        </w:rPr>
      </w:pPr>
      <w:r>
        <w:rPr>
          <w:rFonts w:hint="eastAsia" w:ascii="仿宋" w:hAnsi="仿宋" w:eastAsia="仿宋" w:cs="Times New Roman"/>
          <w:kern w:val="0"/>
          <w:sz w:val="32"/>
          <w:szCs w:val="32"/>
          <w:lang w:val="en-US" w:eastAsia="zh-CN" w:bidi="ar-SA"/>
        </w:rPr>
        <w:object>
          <v:shape id="_x0000_i1026" o:spt="75" type="#_x0000_t75" style="height:234.05pt;width:423.7pt;" o:ole="t" filled="f" o:preferrelative="t" stroked="f" coordsize="21600,21600">
            <v:path/>
            <v:fill on="f" focussize="0,0"/>
            <v:stroke on="f"/>
            <v:imagedata r:id="rId9" blacklevel="0f" o:title=""/>
            <o:lock v:ext="edit" aspectratio="t"/>
            <w10:wrap type="none"/>
            <w10:anchorlock/>
          </v:shape>
          <o:OLEObject Type="Embed" ProgID="Excel.Chart.8" ShapeID="_x0000_i1026" DrawAspect="Content" ObjectID="_1468075726" r:id="rId8">
            <o:LockedField>false</o:LockedField>
          </o:OLEObject>
        </w:object>
      </w:r>
      <w:r>
        <w:rPr>
          <w:rFonts w:hint="eastAsia" w:ascii="仿宋" w:hAnsi="仿宋" w:eastAsia="仿宋" w:cs="Times New Roman"/>
          <w:kern w:val="0"/>
          <w:sz w:val="32"/>
          <w:szCs w:val="32"/>
          <w:lang w:val="en-US" w:eastAsia="zh-CN" w:bidi="ar-SA"/>
        </w:rPr>
        <w:t xml:space="preserve"> </w:t>
      </w:r>
      <w:bookmarkStart w:id="22" w:name="_Toc15396605"/>
      <w:bookmarkStart w:id="23" w:name="_Toc15377207"/>
      <w:r>
        <w:rPr>
          <w:rFonts w:hint="eastAsia" w:ascii="仿宋" w:hAnsi="仿宋" w:eastAsia="仿宋" w:cs="Times New Roman"/>
          <w:kern w:val="0"/>
          <w:sz w:val="32"/>
          <w:szCs w:val="32"/>
          <w:lang w:val="en-US" w:eastAsia="zh-CN" w:bidi="ar-SA"/>
        </w:rPr>
        <w:t xml:space="preserve">  </w:t>
      </w:r>
      <w:r>
        <w:rPr>
          <w:rFonts w:hint="eastAsia" w:ascii="黑体" w:hAnsi="黑体" w:eastAsia="黑体"/>
          <w:sz w:val="32"/>
          <w:szCs w:val="32"/>
          <w:lang w:eastAsia="zh-CN"/>
        </w:rPr>
        <w:t>三、</w:t>
      </w:r>
      <w:r>
        <w:rPr>
          <w:rFonts w:hint="eastAsia" w:ascii="黑体" w:hAnsi="黑体" w:eastAsia="黑体"/>
          <w:sz w:val="32"/>
          <w:szCs w:val="32"/>
        </w:rPr>
        <w:t>支</w:t>
      </w:r>
      <w:r>
        <w:rPr>
          <w:rStyle w:val="27"/>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706.05</w:t>
      </w:r>
      <w:r>
        <w:rPr>
          <w:rFonts w:hint="eastAsia" w:ascii="仿宋" w:hAnsi="仿宋" w:eastAsia="仿宋"/>
          <w:sz w:val="32"/>
          <w:szCs w:val="32"/>
        </w:rPr>
        <w:t>万元，其中：基本支出</w:t>
      </w:r>
      <w:r>
        <w:rPr>
          <w:rFonts w:hint="eastAsia" w:ascii="仿宋" w:hAnsi="仿宋" w:eastAsia="仿宋"/>
          <w:sz w:val="32"/>
          <w:szCs w:val="32"/>
          <w:lang w:val="en-US" w:eastAsia="zh-CN"/>
        </w:rPr>
        <w:t>285.29</w:t>
      </w:r>
      <w:r>
        <w:rPr>
          <w:rFonts w:hint="eastAsia" w:ascii="仿宋" w:hAnsi="仿宋" w:eastAsia="仿宋"/>
          <w:sz w:val="32"/>
          <w:szCs w:val="32"/>
        </w:rPr>
        <w:t>万元，占</w:t>
      </w:r>
      <w:r>
        <w:rPr>
          <w:rFonts w:hint="eastAsia" w:ascii="仿宋" w:hAnsi="仿宋" w:eastAsia="仿宋"/>
          <w:sz w:val="32"/>
          <w:szCs w:val="32"/>
          <w:lang w:val="en-US" w:eastAsia="zh-CN"/>
        </w:rPr>
        <w:t>40.41</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420.76</w:t>
      </w:r>
      <w:r>
        <w:rPr>
          <w:rFonts w:hint="eastAsia" w:ascii="仿宋" w:hAnsi="仿宋" w:eastAsia="仿宋"/>
          <w:sz w:val="32"/>
          <w:szCs w:val="32"/>
        </w:rPr>
        <w:t>万元，占</w:t>
      </w:r>
      <w:r>
        <w:rPr>
          <w:rFonts w:hint="eastAsia" w:ascii="仿宋" w:hAnsi="仿宋" w:eastAsia="仿宋"/>
          <w:sz w:val="32"/>
          <w:szCs w:val="32"/>
          <w:lang w:val="en-US" w:eastAsia="zh-CN"/>
        </w:rPr>
        <w:t>59.59</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bidi w:val="0"/>
        <w:jc w:val="left"/>
        <w:rPr>
          <w:rFonts w:hint="eastAsia"/>
        </w:rPr>
      </w:pPr>
    </w:p>
    <w:p>
      <w:pPr>
        <w:pStyle w:val="2"/>
        <w:rPr>
          <w:rFonts w:hint="eastAsia" w:ascii="仿宋" w:hAnsi="仿宋" w:eastAsia="仿宋"/>
          <w:sz w:val="32"/>
          <w:szCs w:val="32"/>
        </w:rPr>
      </w:pPr>
      <w:r>
        <w:rPr>
          <w:rFonts w:hint="eastAsia" w:ascii="仿宋" w:hAnsi="仿宋" w:eastAsia="仿宋" w:cs="Times New Roman"/>
          <w:kern w:val="0"/>
          <w:sz w:val="32"/>
          <w:szCs w:val="32"/>
          <w:shd w:val="pct10" w:color="auto" w:fill="FFFFFF"/>
          <w:lang w:val="en-US" w:eastAsia="zh-CN" w:bidi="ar-SA"/>
        </w:rPr>
        <w:object>
          <v:shape id="_x0000_i1027" o:spt="75" type="#_x0000_t75" style="height:166.45pt;width:384.1pt;" o:ole="t" filled="f" o:preferrelative="t" stroked="f" coordsize="21600,21600">
            <v:path/>
            <v:fill on="f" focussize="0,0"/>
            <v:stroke on="f"/>
            <v:imagedata r:id="rId11" blacklevel="0f" o:title=""/>
            <o:lock v:ext="edit" aspectratio="t"/>
            <w10:wrap type="none"/>
            <w10:anchorlock/>
          </v:shape>
          <o:OLEObject Type="Embed" ProgID="Excel.Chart.8" ShapeID="_x0000_i1027" DrawAspect="Content" ObjectID="_1468075727" r:id="rId10">
            <o:LockedField>false</o:LockedField>
          </o:OLEObject>
        </w:object>
      </w:r>
    </w:p>
    <w:p>
      <w:pPr>
        <w:spacing w:line="600" w:lineRule="exact"/>
        <w:ind w:firstLine="640" w:firstLineChars="200"/>
        <w:outlineLvl w:val="1"/>
        <w:rPr>
          <w:rStyle w:val="27"/>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631.09</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20年相比，财政拨款收、支总计各增加</w:t>
      </w:r>
      <w:r>
        <w:rPr>
          <w:rFonts w:hint="eastAsia" w:ascii="仿宋" w:hAnsi="仿宋" w:eastAsia="仿宋"/>
          <w:sz w:val="32"/>
          <w:szCs w:val="32"/>
          <w:lang w:val="en-US" w:eastAsia="zh-CN"/>
        </w:rPr>
        <w:t>148.45</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hint="eastAsia" w:ascii="仿宋" w:hAnsi="仿宋" w:eastAsia="仿宋"/>
          <w:sz w:val="32"/>
          <w:szCs w:val="32"/>
          <w:lang w:val="en-US" w:eastAsia="zh-CN"/>
        </w:rPr>
        <w:t>30.76</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是职工工资晋升及项目资金增加。</w:t>
      </w:r>
    </w:p>
    <w:p>
      <w:pPr>
        <w:pStyle w:val="2"/>
        <w:rPr>
          <w:rStyle w:val="27"/>
          <w:rFonts w:ascii="黑体" w:hAnsi="黑体" w:eastAsia="黑体"/>
          <w:b w:val="0"/>
        </w:rPr>
      </w:pPr>
      <w:r>
        <w:rPr>
          <w:rFonts w:hint="eastAsia" w:ascii="仿宋" w:hAnsi="仿宋" w:eastAsia="仿宋" w:cs="Times New Roman"/>
          <w:kern w:val="0"/>
          <w:sz w:val="32"/>
          <w:szCs w:val="32"/>
          <w:lang w:val="en-US" w:eastAsia="zh-CN" w:bidi="ar-SA"/>
        </w:rPr>
        <w:object>
          <v:shape id="_x0000_i1028" o:spt="75" type="#_x0000_t75" style="height:208.5pt;width:422.95pt;" o:ole="t" filled="f" o:preferrelative="t" stroked="f" coordsize="21600,21600">
            <v:path/>
            <v:fill on="f" focussize="0,0"/>
            <v:stroke on="f"/>
            <v:imagedata r:id="rId13" blacklevel="0f" o:title=""/>
            <o:lock v:ext="edit" aspectratio="t"/>
            <w10:wrap type="none"/>
            <w10:anchorlock/>
          </v:shape>
          <o:OLEObject Type="Embed" ProgID="Excel.Chart.8" ShapeID="_x0000_i1028" DrawAspect="Content" ObjectID="_1468075728" r:id="rId12">
            <o:LockedField>false</o:LockedField>
          </o:OLEObject>
        </w:object>
      </w:r>
      <w:bookmarkStart w:id="26" w:name="_Toc15396607"/>
      <w:bookmarkStart w:id="27" w:name="_Toc15377209"/>
      <w:r>
        <w:rPr>
          <w:rFonts w:hint="eastAsia" w:ascii="仿宋" w:hAnsi="仿宋" w:eastAsia="仿宋" w:cs="Times New Roman"/>
          <w:kern w:val="0"/>
          <w:sz w:val="32"/>
          <w:szCs w:val="32"/>
          <w:lang w:val="en-US" w:eastAsia="zh-CN" w:bidi="ar-SA"/>
        </w:rPr>
        <w:t xml:space="preserve">  </w:t>
      </w:r>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630.39</w:t>
      </w:r>
      <w:r>
        <w:rPr>
          <w:rFonts w:hint="eastAsia" w:ascii="仿宋" w:hAnsi="仿宋" w:eastAsia="仿宋"/>
          <w:sz w:val="32"/>
          <w:szCs w:val="32"/>
        </w:rPr>
        <w:t>万元，占本年支出合计的</w:t>
      </w:r>
      <w:r>
        <w:rPr>
          <w:rFonts w:hint="eastAsia" w:ascii="仿宋" w:hAnsi="仿宋" w:eastAsia="仿宋"/>
          <w:sz w:val="32"/>
          <w:szCs w:val="32"/>
          <w:lang w:val="en-US" w:eastAsia="zh-CN"/>
        </w:rPr>
        <w:t>87.85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203.8</w:t>
      </w:r>
      <w:r>
        <w:rPr>
          <w:rFonts w:hint="eastAsia" w:ascii="仿宋" w:hAnsi="仿宋" w:eastAsia="仿宋"/>
          <w:sz w:val="32"/>
          <w:szCs w:val="32"/>
        </w:rPr>
        <w:t>万元，增长</w:t>
      </w:r>
      <w:r>
        <w:rPr>
          <w:rFonts w:hint="eastAsia" w:ascii="仿宋" w:hAnsi="仿宋" w:eastAsia="仿宋"/>
          <w:sz w:val="32"/>
          <w:szCs w:val="32"/>
          <w:lang w:val="en-US" w:eastAsia="zh-CN"/>
        </w:rPr>
        <w:t>47.78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公共卫生项目增加及基本药物补助、医疗发展资金等纳入项目管理增加。</w:t>
      </w:r>
    </w:p>
    <w:p>
      <w:pPr>
        <w:pStyle w:val="2"/>
        <w:jc w:val="center"/>
        <w:rPr>
          <w:rFonts w:ascii="仿宋" w:hAnsi="仿宋" w:eastAsia="仿宋"/>
          <w:b/>
          <w:sz w:val="32"/>
          <w:szCs w:val="32"/>
        </w:rPr>
      </w:pPr>
      <w:r>
        <w:rPr>
          <w:rFonts w:hint="eastAsia" w:ascii="仿宋_GB2312" w:hAnsi="Times New Roman" w:eastAsia="仿宋_GB2312" w:cs="Times New Roman"/>
          <w:kern w:val="0"/>
          <w:sz w:val="30"/>
          <w:szCs w:val="24"/>
          <w:lang w:val="en-US" w:eastAsia="zh-CN" w:bidi="ar-SA"/>
        </w:rPr>
        <w:object>
          <v:shape id="_x0000_i1029" o:spt="75" type="#_x0000_t75" style="height:189.05pt;width:428.3pt;" o:ole="t" filled="f" o:preferrelative="t" stroked="f" coordsize="21600,21600">
            <v:path/>
            <v:fill on="f" focussize="0,0"/>
            <v:stroke on="f"/>
            <v:imagedata r:id="rId15" blacklevel="0f" o:title=""/>
            <o:lock v:ext="edit" aspectratio="t"/>
            <w10:wrap type="none"/>
            <w10:anchorlock/>
          </v:shape>
          <o:OLEObject Type="Embed" ProgID="Excel.Chart.8" ShapeID="_x0000_i1029" DrawAspect="Content" ObjectID="_1468075729" r:id="rId14">
            <o:LockedField>false</o:LockedField>
          </o:OLEObject>
        </w:object>
      </w: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hint="eastAsia"/>
          <w:lang w:val="en-US"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630.39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b/>
          <w:sz w:val="32"/>
          <w:szCs w:val="32"/>
        </w:rPr>
        <w:t>教育支出（类）</w:t>
      </w:r>
      <w:r>
        <w:rPr>
          <w:rFonts w:hint="eastAsia" w:ascii="仿宋" w:hAnsi="仿宋" w:eastAsia="仿宋"/>
          <w:b/>
          <w:sz w:val="32"/>
          <w:szCs w:val="32"/>
          <w:lang w:val="en-US" w:eastAsia="zh-CN"/>
        </w:rPr>
        <w:t>0</w:t>
      </w:r>
      <w:r>
        <w:rPr>
          <w:rFonts w:hint="eastAsia" w:ascii="仿宋" w:hAnsi="仿宋" w:eastAsia="仿宋"/>
          <w:sz w:val="32"/>
          <w:szCs w:val="32"/>
        </w:rPr>
        <w:t>万元；</w:t>
      </w:r>
      <w:r>
        <w:rPr>
          <w:rFonts w:hint="eastAsia" w:ascii="仿宋" w:hAnsi="仿宋" w:eastAsia="仿宋"/>
          <w:b/>
          <w:sz w:val="32"/>
          <w:szCs w:val="32"/>
        </w:rPr>
        <w:t>科学技术（类）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0</w:t>
      </w:r>
      <w:r>
        <w:rPr>
          <w:rFonts w:hint="eastAsia" w:ascii="仿宋" w:hAnsi="仿宋" w:eastAsia="仿宋"/>
          <w:b/>
          <w:bCs/>
          <w:sz w:val="32"/>
          <w:szCs w:val="32"/>
        </w:rPr>
        <w:t>万元</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23.60</w:t>
      </w:r>
      <w:r>
        <w:rPr>
          <w:rFonts w:hint="eastAsia" w:ascii="仿宋" w:hAnsi="仿宋" w:eastAsia="仿宋"/>
          <w:sz w:val="32"/>
          <w:szCs w:val="32"/>
        </w:rPr>
        <w:t>万元，占</w:t>
      </w:r>
      <w:r>
        <w:rPr>
          <w:rFonts w:hint="eastAsia" w:ascii="仿宋" w:hAnsi="仿宋" w:eastAsia="仿宋"/>
          <w:sz w:val="32"/>
          <w:szCs w:val="32"/>
          <w:lang w:val="en-US" w:eastAsia="zh-CN"/>
        </w:rPr>
        <w:t>3.74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583.65</w:t>
      </w:r>
      <w:r>
        <w:rPr>
          <w:rFonts w:hint="eastAsia" w:ascii="仿宋" w:hAnsi="仿宋" w:eastAsia="仿宋"/>
          <w:sz w:val="32"/>
          <w:szCs w:val="32"/>
        </w:rPr>
        <w:t>万元，占</w:t>
      </w:r>
      <w:r>
        <w:rPr>
          <w:rFonts w:hint="eastAsia" w:ascii="仿宋" w:hAnsi="仿宋" w:eastAsia="仿宋"/>
          <w:sz w:val="32"/>
          <w:szCs w:val="32"/>
          <w:lang w:val="en-US" w:eastAsia="zh-CN"/>
        </w:rPr>
        <w:t>92.59</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23.13</w:t>
      </w:r>
      <w:r>
        <w:rPr>
          <w:rFonts w:hint="eastAsia" w:ascii="仿宋" w:hAnsi="仿宋" w:eastAsia="仿宋"/>
          <w:sz w:val="32"/>
          <w:szCs w:val="32"/>
        </w:rPr>
        <w:t>万元，占</w:t>
      </w:r>
      <w:r>
        <w:rPr>
          <w:rFonts w:hint="eastAsia" w:ascii="仿宋" w:hAnsi="仿宋" w:eastAsia="仿宋"/>
          <w:sz w:val="32"/>
          <w:szCs w:val="32"/>
          <w:lang w:val="en-US" w:eastAsia="zh-CN"/>
        </w:rPr>
        <w:t>3.67</w:t>
      </w:r>
      <w:r>
        <w:rPr>
          <w:rFonts w:ascii="仿宋" w:hAnsi="仿宋" w:eastAsia="仿宋"/>
          <w:sz w:val="32"/>
          <w:szCs w:val="32"/>
        </w:rPr>
        <w:t>%</w:t>
      </w:r>
      <w:r>
        <w:rPr>
          <w:rFonts w:hint="eastAsia" w:ascii="仿宋" w:hAnsi="仿宋" w:eastAsia="仿宋"/>
          <w:sz w:val="32"/>
          <w:szCs w:val="32"/>
        </w:rPr>
        <w:t>。</w:t>
      </w:r>
    </w:p>
    <w:p>
      <w:pPr>
        <w:pStyle w:val="2"/>
        <w:rPr>
          <w:rFonts w:hint="eastAsia" w:ascii="仿宋" w:hAnsi="仿宋" w:eastAsia="仿宋"/>
          <w:sz w:val="32"/>
          <w:szCs w:val="32"/>
          <w:lang w:eastAsia="zh-CN"/>
        </w:rPr>
      </w:pPr>
      <w:r>
        <w:rPr>
          <w:rFonts w:hint="eastAsia" w:ascii="仿宋" w:hAnsi="仿宋" w:eastAsia="仿宋" w:cs="Times New Roman"/>
          <w:kern w:val="0"/>
          <w:sz w:val="32"/>
          <w:szCs w:val="32"/>
          <w:lang w:val="en-US" w:eastAsia="zh-CN" w:bidi="ar-SA"/>
        </w:rPr>
        <w:object>
          <v:shape id="_x0000_i1030" o:spt="75" type="#_x0000_t75" style="height:155.3pt;width:350.4pt;" o:ole="t" filled="f" o:preferrelative="t" stroked="f" coordsize="21600,21600">
            <v:path/>
            <v:fill on="f" focussize="0,0"/>
            <v:stroke on="f"/>
            <v:imagedata r:id="rId17" blacklevel="0f" o:title=""/>
            <o:lock v:ext="edit" aspectratio="t"/>
            <w10:wrap type="none"/>
            <w10:anchorlock/>
          </v:shape>
          <o:OLEObject Type="Embed" ProgID="Excel.Chart.8" ShapeID="_x0000_i1030" DrawAspect="Content" ObjectID="_1468075730" r:id="rId16">
            <o:LockedField>false</o:LockedField>
          </o:OLEObject>
        </w:object>
      </w:r>
      <w:r>
        <w:rPr>
          <w:rFonts w:hint="eastAsia" w:ascii="仿宋" w:hAnsi="仿宋" w:eastAsia="仿宋" w:cs="Times New Roman"/>
          <w:kern w:val="0"/>
          <w:sz w:val="32"/>
          <w:szCs w:val="32"/>
          <w:lang w:val="en-US" w:eastAsia="zh-CN" w:bidi="ar-SA"/>
        </w:rPr>
        <w:t xml:space="preserve">    </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630.39万元</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一般公共服务</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万元，决算数等于预算数。</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2.</w:t>
      </w:r>
      <w:r>
        <w:rPr>
          <w:rStyle w:val="16"/>
          <w:rFonts w:hint="eastAsia" w:ascii="仿宋" w:hAnsi="仿宋" w:eastAsia="仿宋"/>
          <w:bCs/>
          <w:sz w:val="32"/>
          <w:szCs w:val="32"/>
        </w:rPr>
        <w:t>教育</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万元，决算数等于预算数。</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3.</w:t>
      </w:r>
      <w:r>
        <w:rPr>
          <w:rStyle w:val="16"/>
          <w:rFonts w:hint="eastAsia" w:ascii="仿宋" w:hAnsi="仿宋" w:eastAsia="仿宋"/>
          <w:bCs/>
          <w:sz w:val="32"/>
          <w:szCs w:val="32"/>
        </w:rPr>
        <w:t>科学技术</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万元，决算数等于预算数。</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4.</w:t>
      </w:r>
      <w:r>
        <w:rPr>
          <w:rStyle w:val="16"/>
          <w:rFonts w:hint="eastAsia" w:ascii="仿宋" w:hAnsi="仿宋" w:eastAsia="仿宋"/>
          <w:bCs/>
          <w:sz w:val="32"/>
          <w:szCs w:val="32"/>
        </w:rPr>
        <w:t>文化旅游体育与传媒</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w:t>
      </w:r>
      <w:r>
        <w:rPr>
          <w:rStyle w:val="16"/>
          <w:rFonts w:hint="eastAsia" w:ascii="仿宋" w:hAnsi="仿宋" w:eastAsia="仿宋"/>
          <w:b w:val="0"/>
          <w:bCs/>
          <w:sz w:val="32"/>
          <w:szCs w:val="32"/>
        </w:rPr>
        <w:t>万元，决算数等于预算数。</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5.</w:t>
      </w:r>
      <w:r>
        <w:rPr>
          <w:rStyle w:val="16"/>
          <w:rFonts w:hint="eastAsia" w:ascii="仿宋" w:hAnsi="仿宋" w:eastAsia="仿宋"/>
          <w:bCs/>
          <w:sz w:val="32"/>
          <w:szCs w:val="32"/>
        </w:rPr>
        <w:t>社会保障和就业（类）</w:t>
      </w:r>
      <w:r>
        <w:rPr>
          <w:rStyle w:val="16"/>
          <w:rFonts w:hint="eastAsia" w:ascii="仿宋" w:hAnsi="仿宋" w:eastAsia="仿宋"/>
          <w:bCs/>
          <w:sz w:val="32"/>
          <w:szCs w:val="32"/>
          <w:lang w:eastAsia="zh-CN"/>
        </w:rPr>
        <w:t>行政事业单位养老支出</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机关事业单位养老保险费支出</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23.60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6.</w:t>
      </w:r>
      <w:r>
        <w:rPr>
          <w:rFonts w:hint="eastAsia" w:ascii="仿宋" w:hAnsi="仿宋" w:eastAsia="仿宋"/>
          <w:b/>
          <w:bCs/>
          <w:sz w:val="32"/>
          <w:szCs w:val="32"/>
        </w:rPr>
        <w:t>卫生健康</w:t>
      </w:r>
      <w:r>
        <w:rPr>
          <w:rStyle w:val="16"/>
          <w:rFonts w:hint="eastAsia" w:ascii="仿宋" w:hAnsi="仿宋" w:eastAsia="仿宋"/>
          <w:bCs/>
          <w:sz w:val="32"/>
          <w:szCs w:val="32"/>
        </w:rPr>
        <w:t>（类）</w:t>
      </w:r>
      <w:r>
        <w:rPr>
          <w:rStyle w:val="16"/>
          <w:rFonts w:hint="eastAsia" w:ascii="仿宋" w:hAnsi="仿宋" w:eastAsia="仿宋"/>
          <w:bCs/>
          <w:sz w:val="32"/>
          <w:szCs w:val="32"/>
          <w:lang w:eastAsia="zh-CN"/>
        </w:rPr>
        <w:t>基层医疗卫生机构</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乡镇卫生院</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583.65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napToGrid w:val="0"/>
        <w:spacing w:line="520" w:lineRule="exact"/>
        <w:ind w:firstLine="640" w:firstLineChars="200"/>
        <w:rPr>
          <w:rFonts w:ascii="仿宋" w:hAnsi="仿宋" w:eastAsia="仿宋"/>
          <w:b/>
          <w:sz w:val="32"/>
          <w:szCs w:val="32"/>
        </w:rPr>
      </w:pPr>
      <w:r>
        <w:rPr>
          <w:rFonts w:hint="eastAsia" w:eastAsia="仿宋_GB2312"/>
          <w:sz w:val="32"/>
          <w:szCs w:val="32"/>
          <w:lang w:val="en-US" w:eastAsia="zh-CN"/>
        </w:rPr>
        <w:t>7.住房保障（类） 住房改革支出（款）住房公积金（项）：</w:t>
      </w:r>
      <w:r>
        <w:rPr>
          <w:rFonts w:eastAsia="仿宋_GB2312"/>
          <w:sz w:val="32"/>
          <w:szCs w:val="32"/>
        </w:rPr>
        <w:t>支出决算为</w:t>
      </w:r>
      <w:r>
        <w:rPr>
          <w:rFonts w:hint="eastAsia" w:eastAsia="仿宋_GB2312"/>
          <w:sz w:val="32"/>
          <w:szCs w:val="32"/>
          <w:lang w:val="en-US" w:eastAsia="zh-CN"/>
        </w:rPr>
        <w:t>23.13</w:t>
      </w:r>
      <w:r>
        <w:rPr>
          <w:rFonts w:eastAsia="仿宋_GB2312"/>
          <w:sz w:val="32"/>
          <w:szCs w:val="32"/>
        </w:rPr>
        <w:t>万元，完成预算</w:t>
      </w:r>
      <w:r>
        <w:rPr>
          <w:rFonts w:hint="eastAsia" w:eastAsia="仿宋_GB2312"/>
          <w:sz w:val="32"/>
          <w:szCs w:val="32"/>
          <w:lang w:val="en-US" w:eastAsia="zh-CN"/>
        </w:rPr>
        <w:t>的100</w:t>
      </w:r>
      <w:r>
        <w:rPr>
          <w:rFonts w:eastAsia="仿宋_GB2312"/>
          <w:sz w:val="32"/>
          <w:szCs w:val="32"/>
        </w:rPr>
        <w:t>%，决算数</w:t>
      </w:r>
      <w:r>
        <w:rPr>
          <w:rFonts w:hint="eastAsia" w:eastAsia="仿宋_GB2312"/>
          <w:sz w:val="32"/>
          <w:szCs w:val="32"/>
          <w:lang w:eastAsia="zh-CN"/>
        </w:rPr>
        <w:t>等于</w:t>
      </w:r>
      <w:r>
        <w:rPr>
          <w:rFonts w:eastAsia="仿宋_GB2312"/>
          <w:sz w:val="32"/>
          <w:szCs w:val="32"/>
        </w:rPr>
        <w:t>预算数</w:t>
      </w:r>
      <w:r>
        <w:rPr>
          <w:rFonts w:hint="eastAsia" w:ascii="仿宋_GB2312" w:hAnsi="仿宋" w:eastAsia="仿宋_GB2312" w:cs="仿宋"/>
          <w:sz w:val="32"/>
          <w:szCs w:val="32"/>
          <w:lang w:eastAsia="zh-CN"/>
        </w:rPr>
        <w:t>。</w:t>
      </w:r>
    </w:p>
    <w:p>
      <w:pPr>
        <w:tabs>
          <w:tab w:val="right" w:pos="8306"/>
        </w:tabs>
        <w:spacing w:line="600" w:lineRule="exact"/>
        <w:ind w:firstLine="640"/>
        <w:outlineLvl w:val="1"/>
        <w:rPr>
          <w:rStyle w:val="27"/>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34"/>
      <w:bookmarkEnd w:id="35"/>
      <w:r>
        <w:rPr>
          <w:rStyle w:val="2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630.39</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268.04</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36" w:name="_Toc15396609"/>
      <w:bookmarkStart w:id="37" w:name="_Toc15377215"/>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0.78</w:t>
      </w:r>
      <w:r>
        <w:rPr>
          <w:rFonts w:hint="eastAsia" w:ascii="仿宋" w:hAnsi="仿宋" w:eastAsia="仿宋"/>
          <w:sz w:val="32"/>
          <w:szCs w:val="32"/>
        </w:rPr>
        <w:t>万元，完成预算</w:t>
      </w:r>
      <w:r>
        <w:rPr>
          <w:rFonts w:hint="eastAsia" w:ascii="仿宋" w:hAnsi="仿宋" w:eastAsia="仿宋"/>
          <w:sz w:val="32"/>
          <w:szCs w:val="32"/>
          <w:lang w:val="en-US" w:eastAsia="zh-CN"/>
        </w:rPr>
        <w:t>68.42</w:t>
      </w:r>
      <w:r>
        <w:rPr>
          <w:rFonts w:ascii="仿宋" w:hAnsi="仿宋" w:eastAsia="仿宋"/>
          <w:sz w:val="32"/>
          <w:szCs w:val="32"/>
        </w:rPr>
        <w:t>%</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除公务用车运行费外无其他“三公”经费支出，本卫生院无财政拨款“三公”经费，为本级经营收入</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0.78</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pStyle w:val="2"/>
        <w:rPr>
          <w:rFonts w:hint="default" w:ascii="仿宋" w:hAnsi="仿宋" w:eastAsia="仿宋"/>
          <w:sz w:val="32"/>
          <w:szCs w:val="32"/>
          <w:lang w:val="en-US" w:eastAsia="zh-CN"/>
        </w:rPr>
      </w:pPr>
      <w:r>
        <w:rPr>
          <w:rFonts w:hint="eastAsia" w:ascii="仿宋_GB2312" w:hAnsi="Times New Roman" w:eastAsia="仿宋_GB2312" w:cs="Times New Roman"/>
          <w:kern w:val="0"/>
          <w:sz w:val="30"/>
          <w:szCs w:val="24"/>
          <w:lang w:val="en-US" w:eastAsia="zh-CN" w:bidi="ar-SA"/>
        </w:rPr>
        <w:object>
          <v:shape id="_x0000_i1031" o:spt="75" type="#_x0000_t75" style="height:205.3pt;width:327pt;" o:ole="t" filled="f" o:preferrelative="t" stroked="f" coordsize="21600,21600">
            <v:path/>
            <v:fill on="f" focussize="0,0"/>
            <v:stroke on="f"/>
            <v:imagedata r:id="rId19" blacklevel="0f" o:title=""/>
            <o:lock v:ext="edit" aspectratio="t"/>
            <w10:wrap type="none"/>
            <w10:anchorlock/>
          </v:shape>
          <o:OLEObject Type="Embed" ProgID="Excel.Chart.8" ShapeID="_x0000_i1031" DrawAspect="Content" ObjectID="_1468075731" r:id="rId18">
            <o:LockedField>false</o:LockedField>
          </o:OLEObject>
        </w:object>
      </w:r>
    </w:p>
    <w:p>
      <w:pPr>
        <w:spacing w:line="60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lang w:val="en-US" w:eastAsia="zh-CN"/>
        </w:rPr>
        <w:t>2020年持平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b/>
          <w:sz w:val="32"/>
          <w:szCs w:val="32"/>
          <w:lang w:val="en-US" w:eastAsia="zh-CN"/>
        </w:rPr>
        <w:t>0.78</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0.57</w:t>
      </w:r>
      <w:r>
        <w:rPr>
          <w:rFonts w:hint="eastAsia" w:ascii="仿宋_GB2312" w:eastAsia="仿宋_GB2312"/>
          <w:sz w:val="32"/>
          <w:szCs w:val="32"/>
        </w:rPr>
        <w:t>万元，增长</w:t>
      </w:r>
      <w:r>
        <w:rPr>
          <w:rFonts w:hint="eastAsia" w:ascii="仿宋_GB2312" w:eastAsia="仿宋_GB2312"/>
          <w:sz w:val="32"/>
          <w:szCs w:val="32"/>
          <w:lang w:val="en-US" w:eastAsia="zh-CN"/>
        </w:rPr>
        <w:t>271.43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新冠疫情和新冠疫苗接种下村车辆运行费增加</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b/>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2</w:t>
      </w:r>
      <w:r>
        <w:rPr>
          <w:rFonts w:hint="eastAsia" w:ascii="仿宋_GB2312" w:eastAsia="仿宋_GB2312"/>
          <w:sz w:val="32"/>
          <w:szCs w:val="32"/>
        </w:rPr>
        <w:t>辆，其中：</w:t>
      </w:r>
      <w:r>
        <w:rPr>
          <w:rFonts w:hint="eastAsia" w:ascii="仿宋_GB2312" w:eastAsia="仿宋_GB2312"/>
          <w:sz w:val="32"/>
          <w:szCs w:val="32"/>
          <w:lang w:eastAsia="zh-CN"/>
        </w:rPr>
        <w:t>救护车</w:t>
      </w:r>
      <w:r>
        <w:rPr>
          <w:rFonts w:hint="eastAsia" w:ascii="仿宋_GB2312" w:eastAsia="仿宋_GB2312"/>
          <w:sz w:val="32"/>
          <w:szCs w:val="32"/>
          <w:lang w:val="en-US" w:eastAsia="zh-CN"/>
        </w:rPr>
        <w:t>2辆，</w:t>
      </w:r>
      <w:r>
        <w:rPr>
          <w:rFonts w:hint="eastAsia" w:ascii="仿宋_GB2312" w:eastAsia="仿宋_GB2312"/>
          <w:sz w:val="32"/>
          <w:szCs w:val="32"/>
        </w:rPr>
        <w:t>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b/>
          <w:sz w:val="32"/>
          <w:szCs w:val="32"/>
          <w:lang w:val="en-US" w:eastAsia="zh-CN"/>
        </w:rPr>
        <w:t>0.78</w:t>
      </w:r>
      <w:r>
        <w:rPr>
          <w:rFonts w:hint="eastAsia" w:ascii="仿宋_GB2312" w:eastAsia="仿宋_GB2312"/>
          <w:sz w:val="32"/>
          <w:szCs w:val="32"/>
        </w:rPr>
        <w:t>万元。主要用于</w:t>
      </w:r>
      <w:r>
        <w:rPr>
          <w:rFonts w:hint="eastAsia" w:ascii="仿宋_GB2312" w:eastAsia="仿宋_GB2312"/>
          <w:sz w:val="32"/>
          <w:szCs w:val="32"/>
          <w:lang w:eastAsia="zh-CN"/>
        </w:rPr>
        <w:t>新冠疫情下村、新冠疫苗接种下村</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lang w:val="en-US" w:eastAsia="zh-CN"/>
        </w:rPr>
        <w:t>2020年持平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hint="eastAsia" w:ascii="仿宋_GB2312" w:eastAsia="仿宋_GB2312"/>
          <w:sz w:val="32"/>
          <w:szCs w:val="32"/>
          <w:lang w:eastAsia="zh-CN"/>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firstLineChars="200"/>
        <w:outlineLvl w:val="1"/>
        <w:rPr>
          <w:rStyle w:val="27"/>
          <w:rFonts w:ascii="黑体" w:hAnsi="黑体" w:eastAsia="黑体"/>
        </w:rPr>
      </w:pPr>
      <w:bookmarkStart w:id="40" w:name="_Toc15396610"/>
      <w:bookmarkStart w:id="41" w:name="_Toc15377218"/>
      <w:r>
        <w:rPr>
          <w:rFonts w:hint="eastAsia" w:ascii="黑体" w:eastAsia="黑体"/>
          <w:sz w:val="32"/>
          <w:szCs w:val="32"/>
        </w:rPr>
        <w:t>八、</w:t>
      </w:r>
      <w:r>
        <w:rPr>
          <w:rStyle w:val="27"/>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0.70</w:t>
      </w:r>
      <w:r>
        <w:rPr>
          <w:rFonts w:hint="eastAsia" w:ascii="仿宋_GB2312" w:eastAsia="仿宋_GB2312"/>
          <w:sz w:val="32"/>
          <w:szCs w:val="32"/>
        </w:rPr>
        <w:t>万元</w:t>
      </w:r>
      <w:r>
        <w:rPr>
          <w:rFonts w:hint="eastAsia" w:ascii="仿宋_GB2312" w:eastAsia="仿宋_GB2312"/>
          <w:sz w:val="32"/>
          <w:szCs w:val="32"/>
          <w:lang w:eastAsia="zh-CN"/>
        </w:rPr>
        <w:t>，主要用于抗疫相关支出</w:t>
      </w:r>
      <w:r>
        <w:rPr>
          <w:rFonts w:hint="eastAsia" w:ascii="仿宋_GB2312" w:eastAsia="仿宋_GB2312"/>
          <w:sz w:val="32"/>
          <w:szCs w:val="32"/>
        </w:rPr>
        <w:t>。</w:t>
      </w:r>
    </w:p>
    <w:p>
      <w:pPr>
        <w:numPr>
          <w:ilvl w:val="0"/>
          <w:numId w:val="0"/>
        </w:numPr>
        <w:spacing w:line="600" w:lineRule="exact"/>
        <w:ind w:firstLine="640" w:firstLineChars="200"/>
        <w:outlineLvl w:val="1"/>
        <w:rPr>
          <w:rStyle w:val="27"/>
          <w:rFonts w:ascii="黑体" w:hAnsi="黑体" w:eastAsia="黑体"/>
          <w:b w:val="0"/>
        </w:rPr>
      </w:pPr>
      <w:bookmarkStart w:id="42" w:name="_Toc15396611"/>
      <w:bookmarkStart w:id="43" w:name="_Toc15377219"/>
      <w:r>
        <w:rPr>
          <w:rStyle w:val="27"/>
          <w:rFonts w:hint="eastAsia" w:ascii="黑体" w:hAnsi="黑体" w:eastAsia="黑体"/>
          <w:b w:val="0"/>
          <w:lang w:eastAsia="zh-CN"/>
        </w:rPr>
        <w:t>九、</w:t>
      </w:r>
      <w:r>
        <w:rPr>
          <w:rStyle w:val="27"/>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0"/>
        </w:numPr>
        <w:spacing w:line="600" w:lineRule="exact"/>
        <w:ind w:firstLine="640" w:firstLineChars="200"/>
        <w:outlineLvl w:val="1"/>
        <w:rPr>
          <w:rStyle w:val="27"/>
          <w:rFonts w:ascii="黑体" w:hAnsi="黑体" w:eastAsia="黑体"/>
          <w:b w:val="0"/>
        </w:rPr>
      </w:pPr>
      <w:bookmarkStart w:id="44" w:name="_Toc15377221"/>
      <w:bookmarkStart w:id="45" w:name="_Toc15396612"/>
      <w:r>
        <w:rPr>
          <w:rStyle w:val="27"/>
          <w:rFonts w:hint="eastAsia" w:ascii="黑体" w:hAnsi="黑体" w:eastAsia="黑体"/>
          <w:b w:val="0"/>
          <w:lang w:eastAsia="zh-CN"/>
        </w:rPr>
        <w:t>十、</w:t>
      </w:r>
      <w:r>
        <w:rPr>
          <w:rStyle w:val="27"/>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盐边县渔门中心卫生院</w:t>
      </w:r>
      <w:r>
        <w:rPr>
          <w:rFonts w:hint="eastAsia" w:ascii="仿宋_GB2312" w:eastAsia="仿宋_GB2312"/>
          <w:sz w:val="32"/>
          <w:szCs w:val="32"/>
        </w:rPr>
        <w:t>机关运行经费支出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万元，与</w:t>
      </w:r>
      <w:r>
        <w:rPr>
          <w:rFonts w:ascii="仿宋_GB2312" w:eastAsia="仿宋_GB2312"/>
          <w:sz w:val="32"/>
          <w:szCs w:val="32"/>
        </w:rPr>
        <w:t>20</w:t>
      </w:r>
      <w:r>
        <w:rPr>
          <w:rFonts w:hint="eastAsia" w:ascii="仿宋_GB2312" w:eastAsia="仿宋_GB2312"/>
          <w:sz w:val="32"/>
          <w:szCs w:val="32"/>
        </w:rPr>
        <w:t>20年决算数持平。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盐边县渔门中心卫生院</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盐边县渔门中心卫生院</w:t>
      </w:r>
      <w:r>
        <w:rPr>
          <w:rFonts w:hint="eastAsia" w:ascii="仿宋_GB2312" w:eastAsia="仿宋_GB2312"/>
          <w:sz w:val="32"/>
          <w:szCs w:val="32"/>
        </w:rPr>
        <w:t>共有车辆</w:t>
      </w:r>
      <w:r>
        <w:rPr>
          <w:rFonts w:hint="eastAsia" w:ascii="仿宋_GB2312" w:eastAsia="仿宋_GB2312"/>
          <w:sz w:val="32"/>
          <w:szCs w:val="32"/>
          <w:lang w:val="en-US" w:eastAsia="zh-CN"/>
        </w:rPr>
        <w:t>2</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eastAsia="zh-CN"/>
        </w:rPr>
        <w:t>（救护车）</w:t>
      </w:r>
      <w:r>
        <w:rPr>
          <w:rFonts w:hint="eastAsia" w:ascii="仿宋_GB2312" w:eastAsia="仿宋_GB2312"/>
          <w:sz w:val="32"/>
          <w:szCs w:val="32"/>
          <w:lang w:val="en-US" w:eastAsia="zh-CN"/>
        </w:rPr>
        <w:t>2</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w:t>
      </w:r>
      <w:r>
        <w:rPr>
          <w:rFonts w:hint="eastAsia" w:ascii="仿宋_GB2312" w:hAnsi="仿宋_GB2312" w:eastAsia="仿宋_GB2312" w:cs="仿宋_GB2312"/>
          <w:sz w:val="32"/>
          <w:szCs w:val="32"/>
          <w:lang w:eastAsia="zh-CN"/>
        </w:rPr>
        <w:t>基本公共卫生服务资金、基本药物补助资金、医疗机构事业发展资金</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个项目开展了绩效自评，2021年特定目标类部门预算项目绩效目标自评表见附件（第四部分）。</w:t>
      </w:r>
    </w:p>
    <w:p>
      <w:pPr>
        <w:widowControl/>
        <w:jc w:val="left"/>
        <w:rPr>
          <w:rFonts w:ascii="仿宋_GB2312" w:eastAsia="仿宋_GB2312"/>
          <w:b/>
          <w:sz w:val="32"/>
          <w:szCs w:val="32"/>
        </w:rPr>
      </w:pPr>
      <w:r>
        <w:rPr>
          <w:rFonts w:hint="eastAsia" w:hAnsi="仿宋_GB2312" w:cs="仿宋_GB2312"/>
          <w:sz w:val="32"/>
          <w:szCs w:val="32"/>
          <w:lang w:val="en-US" w:eastAsia="zh-CN"/>
        </w:rPr>
        <w:t xml:space="preserve">  </w:t>
      </w:r>
    </w:p>
    <w:p>
      <w:pPr>
        <w:numPr>
          <w:ilvl w:val="0"/>
          <w:numId w:val="4"/>
        </w:numPr>
        <w:spacing w:line="600" w:lineRule="exact"/>
        <w:ind w:firstLine="660" w:firstLineChars="150"/>
        <w:jc w:val="center"/>
        <w:outlineLvl w:val="0"/>
        <w:rPr>
          <w:rStyle w:val="26"/>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6"/>
          <w:rFonts w:hint="eastAsia" w:ascii="黑体" w:hAnsi="黑体" w:eastAsia="黑体"/>
          <w:b w:val="0"/>
        </w:rPr>
        <w:t>词解释</w:t>
      </w:r>
      <w:bookmarkEnd w:id="49"/>
      <w:bookmarkEnd w:id="50"/>
    </w:p>
    <w:p>
      <w:pPr>
        <w:spacing w:line="600" w:lineRule="exact"/>
        <w:jc w:val="left"/>
        <w:rPr>
          <w:rFonts w:ascii="宋体"/>
          <w:b/>
          <w:sz w:val="44"/>
          <w:szCs w:val="44"/>
        </w:rPr>
      </w:pP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4"/>
        <w:spacing w:line="560" w:lineRule="exact"/>
        <w:ind w:firstLine="640" w:firstLineChars="200"/>
        <w:rPr>
          <w:rFonts w:ascii="仿宋_GB2312" w:eastAsia="仿宋_GB2312"/>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560" w:lineRule="exact"/>
        <w:ind w:firstLine="640" w:firstLineChars="200"/>
        <w:rPr>
          <w:rFonts w:hint="eastAsia" w:eastAsia="仿宋_GB2312"/>
          <w:b w:val="0"/>
          <w:bCs/>
          <w:sz w:val="32"/>
          <w:szCs w:val="32"/>
          <w:lang w:eastAsia="zh-CN"/>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社会保障和就业（类）</w:t>
      </w:r>
      <w:r>
        <w:rPr>
          <w:rFonts w:hint="eastAsia" w:eastAsia="仿宋_GB2312"/>
          <w:b/>
          <w:sz w:val="32"/>
          <w:szCs w:val="32"/>
          <w:lang w:eastAsia="zh-CN"/>
        </w:rPr>
        <w:t>行政事业单位养老支出</w:t>
      </w:r>
      <w:r>
        <w:rPr>
          <w:rFonts w:hint="eastAsia" w:ascii="仿宋_GB2312" w:eastAsia="仿宋_GB2312"/>
          <w:sz w:val="32"/>
          <w:szCs w:val="32"/>
        </w:rPr>
        <w:t>（款）</w:t>
      </w:r>
      <w:r>
        <w:rPr>
          <w:rFonts w:hint="eastAsia" w:eastAsia="仿宋_GB2312"/>
          <w:b/>
          <w:sz w:val="32"/>
          <w:szCs w:val="32"/>
          <w:lang w:val="en-US" w:eastAsia="zh-CN"/>
        </w:rPr>
        <w:t>机关事业养老保险支出</w:t>
      </w:r>
      <w:r>
        <w:rPr>
          <w:rFonts w:hint="eastAsia" w:ascii="仿宋_GB2312" w:eastAsia="仿宋_GB2312"/>
          <w:sz w:val="32"/>
          <w:szCs w:val="32"/>
        </w:rPr>
        <w:t>（项）：指</w:t>
      </w:r>
      <w:r>
        <w:rPr>
          <w:rFonts w:hint="eastAsia" w:eastAsia="仿宋_GB2312"/>
          <w:b w:val="0"/>
          <w:bCs/>
          <w:sz w:val="32"/>
          <w:szCs w:val="32"/>
          <w:lang w:eastAsia="zh-CN"/>
        </w:rPr>
        <w:t>指《关于机关事业单位工作人员养老保险制度改革的决定》决定的事业单位工作人员养老保险缴费。</w:t>
      </w:r>
    </w:p>
    <w:p>
      <w:pPr>
        <w:ind w:firstLine="640" w:firstLineChars="200"/>
        <w:rPr>
          <w:rFonts w:ascii="仿宋_GB2312" w:eastAsia="仿宋_GB2312"/>
          <w:sz w:val="32"/>
          <w:szCs w:val="32"/>
        </w:rPr>
      </w:pPr>
      <w:r>
        <w:rPr>
          <w:rFonts w:hint="eastAsia" w:ascii="仿宋_GB2312" w:eastAsia="仿宋_GB2312"/>
          <w:sz w:val="32"/>
          <w:szCs w:val="32"/>
        </w:rPr>
        <w:t>。</w:t>
      </w:r>
    </w:p>
    <w:p>
      <w:pPr>
        <w:spacing w:line="560" w:lineRule="exact"/>
        <w:ind w:firstLine="640" w:firstLineChars="200"/>
        <w:rPr>
          <w:rFonts w:hint="eastAsia" w:eastAsia="仿宋_GB2312"/>
          <w:sz w:val="32"/>
          <w:szCs w:val="32"/>
          <w:lang w:eastAsia="zh-CN"/>
        </w:rPr>
      </w:pPr>
      <w:r>
        <w:rPr>
          <w:rFonts w:ascii="仿宋_GB2312" w:eastAsia="仿宋_GB2312"/>
          <w:sz w:val="32"/>
          <w:szCs w:val="32"/>
        </w:rPr>
        <w:t>1</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医疗卫生与计划生育（类）</w:t>
      </w:r>
      <w:r>
        <w:rPr>
          <w:rFonts w:hint="eastAsia" w:eastAsia="仿宋_GB2312"/>
          <w:b/>
          <w:sz w:val="32"/>
          <w:szCs w:val="32"/>
          <w:lang w:eastAsia="zh-CN"/>
        </w:rPr>
        <w:t>基层医疗卫生机构</w:t>
      </w:r>
      <w:r>
        <w:rPr>
          <w:rFonts w:hint="eastAsia" w:ascii="仿宋_GB2312" w:eastAsia="仿宋_GB2312"/>
          <w:sz w:val="32"/>
          <w:szCs w:val="32"/>
        </w:rPr>
        <w:t>（款）</w:t>
      </w:r>
      <w:r>
        <w:rPr>
          <w:rFonts w:hint="eastAsia" w:eastAsia="仿宋_GB2312"/>
          <w:b/>
          <w:sz w:val="32"/>
          <w:szCs w:val="32"/>
          <w:lang w:eastAsia="zh-CN"/>
        </w:rPr>
        <w:t>乡镇卫生院</w:t>
      </w:r>
      <w:r>
        <w:rPr>
          <w:rFonts w:hint="eastAsia" w:ascii="仿宋_GB2312" w:eastAsia="仿宋_GB2312"/>
          <w:sz w:val="32"/>
          <w:szCs w:val="32"/>
        </w:rPr>
        <w:t>（项）：指</w:t>
      </w:r>
      <w:r>
        <w:rPr>
          <w:rFonts w:eastAsia="仿宋_GB2312"/>
          <w:sz w:val="32"/>
          <w:szCs w:val="32"/>
        </w:rPr>
        <w:t>指</w:t>
      </w:r>
      <w:r>
        <w:rPr>
          <w:rFonts w:hint="eastAsia" w:eastAsia="仿宋_GB2312"/>
          <w:sz w:val="32"/>
          <w:szCs w:val="32"/>
          <w:lang w:eastAsia="zh-CN"/>
        </w:rPr>
        <w:t>医疗机构在专业业务活动中的人员经费、社会保障、就业、住房保障等支出。</w:t>
      </w:r>
    </w:p>
    <w:p>
      <w:pPr>
        <w:spacing w:line="560" w:lineRule="exact"/>
        <w:ind w:firstLine="643" w:firstLineChars="200"/>
        <w:rPr>
          <w:rFonts w:eastAsia="仿宋_GB2312"/>
          <w:sz w:val="32"/>
          <w:szCs w:val="32"/>
        </w:rPr>
      </w:pPr>
      <w:r>
        <w:rPr>
          <w:rFonts w:hint="eastAsia" w:eastAsia="仿宋_GB2312"/>
          <w:b/>
          <w:sz w:val="32"/>
          <w:szCs w:val="32"/>
          <w:lang w:val="en-US" w:eastAsia="zh-CN"/>
        </w:rPr>
        <w:t>11</w:t>
      </w:r>
      <w:r>
        <w:rPr>
          <w:rFonts w:eastAsia="仿宋_GB2312"/>
          <w:b/>
          <w:sz w:val="32"/>
          <w:szCs w:val="32"/>
        </w:rPr>
        <w:t>.住房保障（类）</w:t>
      </w:r>
      <w:r>
        <w:rPr>
          <w:rFonts w:hint="eastAsia" w:eastAsia="仿宋_GB2312"/>
          <w:sz w:val="32"/>
          <w:szCs w:val="32"/>
          <w:lang w:val="en-US" w:eastAsia="zh-CN"/>
        </w:rPr>
        <w:t>住房改革</w:t>
      </w:r>
      <w:r>
        <w:rPr>
          <w:rFonts w:eastAsia="仿宋_GB2312"/>
          <w:b/>
          <w:sz w:val="32"/>
          <w:szCs w:val="32"/>
        </w:rPr>
        <w:t>（款）</w:t>
      </w:r>
      <w:r>
        <w:rPr>
          <w:rFonts w:hint="eastAsia" w:eastAsia="仿宋_GB2312"/>
          <w:b/>
          <w:sz w:val="32"/>
          <w:szCs w:val="32"/>
          <w:lang w:eastAsia="zh-CN"/>
        </w:rPr>
        <w:t>住房公积金</w:t>
      </w:r>
      <w:r>
        <w:rPr>
          <w:rFonts w:eastAsia="仿宋_GB2312"/>
          <w:b/>
          <w:sz w:val="32"/>
          <w:szCs w:val="32"/>
        </w:rPr>
        <w:t>（项）：</w:t>
      </w:r>
      <w:r>
        <w:rPr>
          <w:rFonts w:eastAsia="仿宋_GB2312"/>
          <w:sz w:val="32"/>
          <w:szCs w:val="32"/>
        </w:rPr>
        <w:t>指</w:t>
      </w:r>
      <w:r>
        <w:rPr>
          <w:rFonts w:hint="eastAsia" w:eastAsia="仿宋_GB2312"/>
          <w:sz w:val="32"/>
          <w:szCs w:val="32"/>
          <w:lang w:eastAsia="zh-CN"/>
        </w:rPr>
        <w:t>事业单位工作人员住房公积金缴费支出</w:t>
      </w:r>
      <w:r>
        <w:rPr>
          <w:rFonts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2.</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6"/>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6"/>
          <w:rFonts w:hint="eastAsia" w:ascii="黑体" w:hAnsi="黑体" w:eastAsia="黑体"/>
          <w:b w:val="0"/>
        </w:rPr>
        <w:t>四部分 附件</w:t>
      </w:r>
      <w:bookmarkEnd w:id="52"/>
    </w:p>
    <w:p>
      <w:pPr>
        <w:spacing w:line="572" w:lineRule="exact"/>
        <w:jc w:val="left"/>
        <w:outlineLvl w:val="0"/>
        <w:rPr>
          <w:rFonts w:hint="eastAsia" w:ascii="仿宋_GB2312" w:hAnsi="仿宋_GB2312" w:eastAsia="黑体" w:cs="仿宋_GB2312"/>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ind w:firstLine="1285" w:firstLineChars="400"/>
              <w:textAlignment w:val="center"/>
              <w:rPr>
                <w:rFonts w:ascii="宋体" w:hAnsi="宋体" w:cs="宋体"/>
                <w:b/>
                <w:sz w:val="32"/>
                <w:szCs w:val="32"/>
              </w:rPr>
            </w:pPr>
            <w:bookmarkStart w:id="53" w:name="_Toc15396618"/>
            <w:r>
              <w:rPr>
                <w:rFonts w:hint="eastAsia" w:ascii="宋体" w:hAnsi="宋体" w:cs="宋体"/>
                <w:b/>
                <w:sz w:val="32"/>
                <w:szCs w:val="32"/>
              </w:rPr>
              <w:t>2021年（含）特定目标类部门预算项目绩效目标自评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eastAsia="zh-CN"/>
              </w:rPr>
            </w:pPr>
            <w:r>
              <w:rPr>
                <w:rFonts w:hint="eastAsia" w:ascii="宋体" w:hAnsi="宋体" w:cs="宋体"/>
                <w:sz w:val="24"/>
                <w:lang w:eastAsia="zh-CN"/>
              </w:rPr>
              <w:t>盐边县卫生健康局</w:t>
            </w:r>
          </w:p>
        </w:tc>
        <w:tc>
          <w:tcPr>
            <w:tcW w:w="122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盐边县渔门中心卫生院</w:t>
            </w: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项目名称</w:t>
            </w:r>
          </w:p>
        </w:tc>
        <w:tc>
          <w:tcPr>
            <w:tcW w:w="64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hint="eastAsia" w:ascii="宋体" w:hAnsi="宋体" w:cs="宋体"/>
                <w:sz w:val="24"/>
                <w:lang w:eastAsia="zh-CN"/>
              </w:rPr>
            </w:pPr>
            <w:r>
              <w:rPr>
                <w:rFonts w:hint="eastAsia" w:ascii="宋体" w:hAnsi="宋体" w:cs="宋体"/>
                <w:sz w:val="24"/>
                <w:lang w:eastAsia="zh-CN"/>
              </w:rPr>
              <w:t>基本公共卫生服务</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204.2</w:t>
            </w:r>
          </w:p>
        </w:tc>
        <w:tc>
          <w:tcPr>
            <w:tcW w:w="122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ascii="宋体" w:hAnsi="宋体" w:eastAsia="宋体" w:cs="宋体"/>
                <w:sz w:val="24"/>
                <w:lang w:val="en-US" w:eastAsia="zh-CN"/>
              </w:rPr>
            </w:pPr>
            <w:r>
              <w:rPr>
                <w:rFonts w:hint="eastAsia" w:ascii="宋体" w:hAnsi="宋体" w:cs="宋体"/>
                <w:sz w:val="24"/>
                <w:lang w:val="en-US" w:eastAsia="zh-CN"/>
              </w:rPr>
              <w:t>189.4</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204.2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189.4</w:t>
            </w:r>
          </w:p>
        </w:tc>
      </w:tr>
      <w:tr>
        <w:tblPrEx>
          <w:tblCellMar>
            <w:top w:w="0" w:type="dxa"/>
            <w:left w:w="108" w:type="dxa"/>
            <w:bottom w:w="0" w:type="dxa"/>
            <w:right w:w="108" w:type="dxa"/>
          </w:tblCellMar>
        </w:tblPrEx>
        <w:trPr>
          <w:gridAfter w:val="1"/>
          <w:wAfter w:w="236" w:type="dxa"/>
          <w:trHeight w:val="376"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免费向全镇居民提供基本公共卫生服务</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已向全镇4万余人提供免费的基本公共卫生服务</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12项公共卫生服务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规范管理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按月推进</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204.2万元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93%</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全面健康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90%</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群众满意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w:t>
            </w:r>
          </w:p>
        </w:tc>
      </w:tr>
    </w:tbl>
    <w:p>
      <w:pPr>
        <w:spacing w:line="600" w:lineRule="exact"/>
        <w:jc w:val="center"/>
        <w:outlineLvl w:val="0"/>
        <w:rPr>
          <w:rFonts w:ascii="黑体" w:hAnsi="黑体" w:eastAsia="黑体"/>
          <w:sz w:val="44"/>
          <w:szCs w:val="44"/>
        </w:rPr>
      </w:pPr>
    </w:p>
    <w:p>
      <w:pPr>
        <w:widowControl/>
        <w:adjustRightInd w:val="0"/>
        <w:snapToGrid w:val="0"/>
        <w:spacing w:line="580" w:lineRule="exact"/>
        <w:contextualSpacing/>
        <w:jc w:val="left"/>
      </w:pPr>
    </w:p>
    <w:p>
      <w:pPr>
        <w:pStyle w:val="2"/>
      </w:pPr>
    </w:p>
    <w:p>
      <w:pPr>
        <w:spacing w:line="600" w:lineRule="exact"/>
        <w:jc w:val="left"/>
        <w:outlineLvl w:val="0"/>
        <w:rPr>
          <w:rFonts w:hint="default" w:ascii="黑体" w:hAnsi="黑体" w:eastAsia="黑体"/>
          <w:sz w:val="44"/>
          <w:szCs w:val="44"/>
          <w:lang w:val="en-US" w:eastAsia="zh-CN"/>
        </w:rPr>
      </w:pPr>
      <w:r>
        <w:rPr>
          <w:rFonts w:hint="eastAsia" w:ascii="黑体" w:hAnsi="黑体" w:eastAsia="黑体"/>
          <w:sz w:val="44"/>
          <w:szCs w:val="44"/>
          <w:lang w:eastAsia="zh-CN"/>
        </w:rPr>
        <w:t>附件</w:t>
      </w:r>
      <w:r>
        <w:rPr>
          <w:rFonts w:hint="eastAsia" w:ascii="黑体" w:hAnsi="黑体" w:eastAsia="黑体"/>
          <w:sz w:val="44"/>
          <w:szCs w:val="44"/>
          <w:lang w:val="en-US" w:eastAsia="zh-CN"/>
        </w:rPr>
        <w:t>2</w:t>
      </w:r>
    </w:p>
    <w:tbl>
      <w:tblPr>
        <w:tblStyle w:val="14"/>
        <w:tblpPr w:leftFromText="180" w:rightFromText="180" w:vertAnchor="text" w:horzAnchor="page" w:tblpX="1315" w:tblpY="349"/>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ind w:firstLine="964" w:firstLineChars="300"/>
              <w:textAlignment w:val="center"/>
              <w:rPr>
                <w:rFonts w:ascii="宋体" w:hAnsi="宋体" w:cs="宋体"/>
                <w:b/>
                <w:sz w:val="32"/>
                <w:szCs w:val="32"/>
              </w:rPr>
            </w:pPr>
            <w:r>
              <w:rPr>
                <w:rFonts w:hint="eastAsia" w:ascii="宋体" w:hAnsi="宋体" w:cs="宋体"/>
                <w:b/>
                <w:sz w:val="32"/>
                <w:szCs w:val="32"/>
              </w:rPr>
              <w:t>2021年（含）特定目标类部门预算项目绩效目标自评</w:t>
            </w:r>
          </w:p>
        </w:tc>
      </w:tr>
      <w:tr>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eastAsia="zh-CN"/>
              </w:rPr>
            </w:pPr>
            <w:r>
              <w:rPr>
                <w:rFonts w:hint="eastAsia" w:ascii="宋体" w:hAnsi="宋体" w:cs="宋体"/>
                <w:sz w:val="24"/>
                <w:lang w:eastAsia="zh-CN"/>
              </w:rPr>
              <w:t>盐边县卫生健康局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盐边县渔门中心卫生院</w:t>
            </w:r>
          </w:p>
        </w:tc>
      </w:tr>
      <w:tr>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项目名称</w:t>
            </w:r>
          </w:p>
        </w:tc>
        <w:tc>
          <w:tcPr>
            <w:tcW w:w="6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cs="宋体"/>
                <w:sz w:val="24"/>
                <w:lang w:eastAsia="zh-CN"/>
              </w:rPr>
            </w:pPr>
            <w:r>
              <w:rPr>
                <w:rFonts w:hint="eastAsia" w:ascii="宋体" w:hAnsi="宋体" w:cs="宋体"/>
                <w:sz w:val="24"/>
                <w:lang w:eastAsia="zh-CN"/>
              </w:rPr>
              <w:t>基本药物补助</w:t>
            </w:r>
          </w:p>
        </w:tc>
      </w:tr>
      <w:tr>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46.2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ascii="宋体" w:hAnsi="宋体" w:eastAsia="宋体" w:cs="宋体"/>
                <w:sz w:val="24"/>
                <w:lang w:val="en-US" w:eastAsia="zh-CN"/>
              </w:rPr>
            </w:pPr>
            <w:r>
              <w:rPr>
                <w:rFonts w:hint="eastAsia" w:ascii="宋体" w:hAnsi="宋体" w:cs="宋体"/>
                <w:sz w:val="24"/>
                <w:lang w:val="en-US" w:eastAsia="zh-CN"/>
              </w:rPr>
              <w:t>46.2</w:t>
            </w:r>
          </w:p>
        </w:tc>
      </w:tr>
      <w:tr>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46.2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46.2</w:t>
            </w:r>
          </w:p>
        </w:tc>
      </w:tr>
      <w:tr>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 xml:space="preserve">保证卫生院实施国家基本药物制度，推进综合改革顺利进行。对实施国家基本药物制度的村卫生室给予补助，支持国家基本药物制度在村卫生室顺利实施。 </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2021年我卫生院和村卫生室全面实施了国家基本药物制度，依据考核方案给予了资金补助，基本药物制度在我镇落地落实。</w:t>
            </w:r>
          </w:p>
        </w:tc>
      </w:tr>
      <w:tr>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覆盖数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药品零差价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药品采购量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稳定村医收入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群众受益率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基本药物制度发展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长期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长期</w:t>
            </w:r>
          </w:p>
        </w:tc>
      </w:tr>
      <w:tr>
        <w:tblPrEx>
          <w:tblCellMar>
            <w:top w:w="0" w:type="dxa"/>
            <w:left w:w="108" w:type="dxa"/>
            <w:bottom w:w="0" w:type="dxa"/>
            <w:right w:w="108" w:type="dxa"/>
          </w:tblCellMar>
        </w:tblPrEx>
        <w:trPr>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bl>
    <w:p>
      <w:pPr>
        <w:spacing w:line="600" w:lineRule="exact"/>
        <w:jc w:val="center"/>
        <w:outlineLvl w:val="0"/>
        <w:rPr>
          <w:rFonts w:ascii="黑体" w:hAnsi="黑体" w:eastAsia="黑体"/>
          <w:sz w:val="44"/>
          <w:szCs w:val="44"/>
        </w:rPr>
      </w:pPr>
    </w:p>
    <w:p>
      <w:pPr>
        <w:spacing w:line="600" w:lineRule="exact"/>
        <w:jc w:val="left"/>
        <w:outlineLvl w:val="0"/>
        <w:rPr>
          <w:rFonts w:hint="default" w:ascii="黑体" w:hAnsi="黑体" w:eastAsia="黑体"/>
          <w:sz w:val="44"/>
          <w:szCs w:val="44"/>
          <w:lang w:val="en-US" w:eastAsia="zh-CN"/>
        </w:rPr>
      </w:pPr>
    </w:p>
    <w:tbl>
      <w:tblPr>
        <w:tblStyle w:val="14"/>
        <w:tblpPr w:leftFromText="180" w:rightFromText="180" w:vertAnchor="text" w:horzAnchor="page" w:tblpX="1255" w:tblpY="-8177"/>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ind w:firstLine="964" w:firstLineChars="300"/>
              <w:textAlignment w:val="center"/>
              <w:rPr>
                <w:rFonts w:hint="eastAsia" w:ascii="宋体" w:hAnsi="宋体" w:cs="宋体"/>
                <w:b/>
                <w:sz w:val="32"/>
                <w:szCs w:val="32"/>
                <w:lang w:eastAsia="zh-CN"/>
              </w:rPr>
            </w:pPr>
          </w:p>
          <w:p>
            <w:pPr>
              <w:widowControl/>
              <w:ind w:firstLine="964" w:firstLineChars="300"/>
              <w:textAlignment w:val="center"/>
              <w:rPr>
                <w:rFonts w:hint="eastAsia" w:ascii="宋体" w:hAnsi="宋体" w:cs="宋体"/>
                <w:b/>
                <w:sz w:val="32"/>
                <w:szCs w:val="32"/>
                <w:lang w:eastAsia="zh-CN"/>
              </w:rPr>
            </w:pPr>
          </w:p>
          <w:p>
            <w:pPr>
              <w:widowControl/>
              <w:ind w:firstLine="964" w:firstLineChars="300"/>
              <w:textAlignment w:val="center"/>
              <w:rPr>
                <w:rFonts w:hint="default" w:ascii="宋体" w:hAnsi="宋体" w:eastAsia="宋体" w:cs="宋体"/>
                <w:b/>
                <w:sz w:val="32"/>
                <w:szCs w:val="32"/>
                <w:lang w:val="en-US" w:eastAsia="zh-CN"/>
              </w:rPr>
            </w:pPr>
            <w:r>
              <w:rPr>
                <w:rFonts w:hint="eastAsia" w:ascii="宋体" w:hAnsi="宋体" w:cs="宋体"/>
                <w:b/>
                <w:sz w:val="32"/>
                <w:szCs w:val="32"/>
                <w:lang w:eastAsia="zh-CN"/>
              </w:rPr>
              <w:t>附件</w:t>
            </w:r>
            <w:r>
              <w:rPr>
                <w:rFonts w:hint="eastAsia" w:ascii="宋体" w:hAnsi="宋体" w:cs="宋体"/>
                <w:b/>
                <w:sz w:val="32"/>
                <w:szCs w:val="32"/>
                <w:lang w:val="en-US" w:eastAsia="zh-CN"/>
              </w:rPr>
              <w:t>3</w:t>
            </w:r>
          </w:p>
          <w:p>
            <w:pPr>
              <w:widowControl/>
              <w:textAlignment w:val="center"/>
              <w:rPr>
                <w:rFonts w:ascii="宋体" w:hAnsi="宋体" w:cs="宋体"/>
                <w:b/>
                <w:sz w:val="32"/>
                <w:szCs w:val="32"/>
              </w:rPr>
            </w:pPr>
            <w:r>
              <w:rPr>
                <w:rFonts w:hint="eastAsia" w:ascii="宋体" w:hAnsi="宋体" w:cs="宋体"/>
                <w:b/>
                <w:sz w:val="32"/>
                <w:szCs w:val="32"/>
              </w:rPr>
              <w:t>2021年（含）特定目标类部门预算项目绩效目标自评</w:t>
            </w:r>
          </w:p>
        </w:tc>
      </w:tr>
      <w:tr>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项目名称</w:t>
            </w:r>
          </w:p>
        </w:tc>
        <w:tc>
          <w:tcPr>
            <w:tcW w:w="64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医疗机构事业发展资金</w:t>
            </w:r>
          </w:p>
        </w:tc>
      </w:tr>
      <w:tr>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20.2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ascii="宋体" w:hAnsi="宋体" w:eastAsia="宋体" w:cs="宋体"/>
                <w:sz w:val="24"/>
                <w:lang w:val="en-US" w:eastAsia="zh-CN"/>
              </w:rPr>
            </w:pPr>
            <w:r>
              <w:rPr>
                <w:rFonts w:hint="eastAsia" w:ascii="宋体" w:hAnsi="宋体" w:cs="宋体"/>
                <w:sz w:val="24"/>
                <w:lang w:val="en-US" w:eastAsia="zh-CN"/>
              </w:rPr>
              <w:t>15.7</w:t>
            </w:r>
          </w:p>
        </w:tc>
      </w:tr>
      <w:tr>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r>
      <w:tr>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eastAsia="zh-CN"/>
              </w:rPr>
              <w:t>本级收入</w:t>
            </w:r>
            <w:r>
              <w:rPr>
                <w:rFonts w:hint="eastAsia" w:ascii="宋体" w:hAnsi="宋体" w:cs="宋体"/>
                <w:kern w:val="0"/>
                <w:sz w:val="24"/>
              </w:rPr>
              <w:t>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20.2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eastAsia="zh-CN"/>
              </w:rPr>
              <w:t>本级收入</w:t>
            </w:r>
            <w:r>
              <w:rPr>
                <w:rFonts w:hint="eastAsia" w:ascii="宋体" w:hAnsi="宋体" w:cs="宋体"/>
                <w:kern w:val="0"/>
                <w:sz w:val="24"/>
              </w:rPr>
              <w:t>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15.7</w:t>
            </w:r>
          </w:p>
        </w:tc>
      </w:tr>
      <w:tr>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1、加强和规范全县医疗机构收支预算管理、合理控制成本、提高管理水平、提升资源使用效益、促进医疗 机构持续健康发展；2、实行全面预算管理制度、强化预算约束、保障医疗机构正常运转。</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本级单位全部纳入，并按时上缴事业收入纳入财政预算管理，资金上缴率100%。强化预算约束，增加财政收入，提升资金管理水平；财政及时拨付，确保医疗机构正常运转。医疗机构资金规范使用率100%。</w:t>
            </w:r>
          </w:p>
        </w:tc>
      </w:tr>
      <w:tr>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资金收入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15.7</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预算管理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年度内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78%</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预算投入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卫生院发展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有所提高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有所提高</w:t>
            </w: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提高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提高</w:t>
            </w:r>
          </w:p>
        </w:tc>
      </w:tr>
      <w:tr>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w:t>
            </w:r>
          </w:p>
        </w:tc>
      </w:tr>
    </w:tbl>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ind w:firstLine="2200" w:firstLineChars="500"/>
        <w:jc w:val="both"/>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7"/>
          <w:rFonts w:hint="eastAsia" w:ascii="仿宋" w:hAnsi="仿宋" w:eastAsia="仿宋"/>
          <w:b w:val="0"/>
          <w:bCs w:val="0"/>
        </w:rPr>
        <w:t>入决算表</w:t>
      </w:r>
      <w:bookmarkEnd w:id="55"/>
    </w:p>
    <w:p>
      <w:pPr>
        <w:pStyle w:val="4"/>
        <w:rPr>
          <w:rFonts w:ascii="仿宋" w:hAnsi="仿宋" w:eastAsia="仿宋"/>
        </w:rPr>
      </w:pPr>
      <w:bookmarkStart w:id="56" w:name="_Toc15396621"/>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57"/>
    </w:p>
    <w:p>
      <w:pPr>
        <w:pStyle w:val="4"/>
        <w:rPr>
          <w:rStyle w:val="27"/>
          <w:rFonts w:ascii="仿宋" w:hAnsi="仿宋" w:eastAsia="仿宋"/>
          <w:b w:val="0"/>
          <w:bCs w:val="0"/>
        </w:rPr>
      </w:pPr>
      <w:bookmarkStart w:id="58" w:name="_Toc15396623"/>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63"/>
    </w:p>
    <w:p>
      <w:pPr>
        <w:pStyle w:val="4"/>
        <w:rPr>
          <w:rFonts w:ascii="仿宋" w:hAnsi="仿宋" w:eastAsia="仿宋"/>
        </w:rPr>
      </w:pPr>
      <w:bookmarkStart w:id="64" w:name="_Toc15396629"/>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64"/>
    </w:p>
    <w:p>
      <w:pPr>
        <w:pStyle w:val="4"/>
        <w:rPr>
          <w:rFonts w:ascii="仿宋" w:hAnsi="仿宋" w:eastAsia="仿宋"/>
        </w:rPr>
      </w:pPr>
      <w:bookmarkStart w:id="65" w:name="_Toc15396630"/>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65"/>
    </w:p>
    <w:p>
      <w:pPr>
        <w:pStyle w:val="4"/>
        <w:rPr>
          <w:rStyle w:val="27"/>
          <w:rFonts w:ascii="仿宋" w:hAnsi="仿宋" w:eastAsia="仿宋"/>
          <w:b w:val="0"/>
          <w:bCs w:val="0"/>
        </w:rPr>
      </w:pPr>
      <w:bookmarkStart w:id="66" w:name="_Toc15396631"/>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66"/>
    </w:p>
    <w:p>
      <w:pPr>
        <w:rPr>
          <w:rFonts w:eastAsia="仿宋"/>
        </w:rPr>
      </w:pPr>
      <w:r>
        <w:rPr>
          <w:rStyle w:val="27"/>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17</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5F73EF9"/>
    <w:multiLevelType w:val="singleLevel"/>
    <w:tmpl w:val="15F73EF9"/>
    <w:lvl w:ilvl="0" w:tentative="0">
      <w:start w:val="12"/>
      <w:numFmt w:val="decimal"/>
      <w:suff w:val="nothing"/>
      <w:lvlText w:val="%1、"/>
      <w:lvlJc w:val="left"/>
    </w:lvl>
  </w:abstractNum>
  <w:abstractNum w:abstractNumId="3">
    <w:nsid w:val="6888E5E5"/>
    <w:multiLevelType w:val="singleLevel"/>
    <w:tmpl w:val="6888E5E5"/>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19"/>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WJhN2YyYWU1ZWRlMWQ0NzVhN2I3YjE2ZmI5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0F08"/>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1E1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50BB"/>
    <w:rsid w:val="00F36D8F"/>
    <w:rsid w:val="00F417B1"/>
    <w:rsid w:val="00F45853"/>
    <w:rsid w:val="00F602DF"/>
    <w:rsid w:val="00F754A1"/>
    <w:rsid w:val="00F81FD9"/>
    <w:rsid w:val="00F841AA"/>
    <w:rsid w:val="00F84A94"/>
    <w:rsid w:val="00F87E96"/>
    <w:rsid w:val="00FA23E8"/>
    <w:rsid w:val="00FC22E2"/>
    <w:rsid w:val="00FD3CC1"/>
    <w:rsid w:val="00FF1E02"/>
    <w:rsid w:val="00FF30B4"/>
    <w:rsid w:val="02AD6493"/>
    <w:rsid w:val="0539563E"/>
    <w:rsid w:val="0A2032A3"/>
    <w:rsid w:val="0B8A37D8"/>
    <w:rsid w:val="10C055FF"/>
    <w:rsid w:val="118107EC"/>
    <w:rsid w:val="11DD6519"/>
    <w:rsid w:val="14091CCD"/>
    <w:rsid w:val="140F3B05"/>
    <w:rsid w:val="16BB723D"/>
    <w:rsid w:val="18015F3F"/>
    <w:rsid w:val="183C2558"/>
    <w:rsid w:val="18E46F14"/>
    <w:rsid w:val="1BE8440E"/>
    <w:rsid w:val="1D155CEE"/>
    <w:rsid w:val="20F57F95"/>
    <w:rsid w:val="22594BE8"/>
    <w:rsid w:val="23D0571D"/>
    <w:rsid w:val="240371BF"/>
    <w:rsid w:val="25C741E6"/>
    <w:rsid w:val="25EB42DB"/>
    <w:rsid w:val="271D2C8D"/>
    <w:rsid w:val="27842671"/>
    <w:rsid w:val="29FD04D3"/>
    <w:rsid w:val="2ABE7A3E"/>
    <w:rsid w:val="2ECF0EFE"/>
    <w:rsid w:val="2EFA178C"/>
    <w:rsid w:val="30B46D73"/>
    <w:rsid w:val="319F7F4E"/>
    <w:rsid w:val="322A60CF"/>
    <w:rsid w:val="33F56325"/>
    <w:rsid w:val="39AE70AB"/>
    <w:rsid w:val="3AB877CD"/>
    <w:rsid w:val="3C0C0783"/>
    <w:rsid w:val="3E6829CB"/>
    <w:rsid w:val="3F9F3A96"/>
    <w:rsid w:val="493C27E9"/>
    <w:rsid w:val="49441489"/>
    <w:rsid w:val="496F39ED"/>
    <w:rsid w:val="49FF41D3"/>
    <w:rsid w:val="4A0B69DC"/>
    <w:rsid w:val="4AD8632C"/>
    <w:rsid w:val="4BD07F75"/>
    <w:rsid w:val="4BE068DB"/>
    <w:rsid w:val="4BF6002B"/>
    <w:rsid w:val="4ECE2238"/>
    <w:rsid w:val="517B2107"/>
    <w:rsid w:val="51DB4B86"/>
    <w:rsid w:val="55333C3E"/>
    <w:rsid w:val="5AA05B53"/>
    <w:rsid w:val="5C3B2BBF"/>
    <w:rsid w:val="5F131BD1"/>
    <w:rsid w:val="636C0ACE"/>
    <w:rsid w:val="648A6492"/>
    <w:rsid w:val="64CA39A1"/>
    <w:rsid w:val="64DD2B24"/>
    <w:rsid w:val="69450BD9"/>
    <w:rsid w:val="6BB12556"/>
    <w:rsid w:val="6C4A05C8"/>
    <w:rsid w:val="6F176B74"/>
    <w:rsid w:val="72734D90"/>
    <w:rsid w:val="75D446F8"/>
    <w:rsid w:val="790508F3"/>
    <w:rsid w:val="79E7B28D"/>
    <w:rsid w:val="7CA9543C"/>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widowControl/>
      <w:jc w:val="left"/>
    </w:pPr>
    <w:rPr>
      <w:rFonts w:ascii="宋体" w:hAnsi="宋体" w:eastAsia="宋体" w:cs="宋体"/>
      <w:kern w:val="0"/>
      <w:sz w:val="24"/>
      <w:szCs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7994</Words>
  <Characters>8776</Characters>
  <Lines>44</Lines>
  <Paragraphs>12</Paragraphs>
  <TotalTime>45</TotalTime>
  <ScaleCrop>false</ScaleCrop>
  <LinksUpToDate>false</LinksUpToDate>
  <CharactersWithSpaces>8868</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张露</cp:lastModifiedBy>
  <cp:lastPrinted>2022-08-06T02:23:00Z</cp:lastPrinted>
  <dcterms:modified xsi:type="dcterms:W3CDTF">2025-01-16T02:43:58Z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A42BC12E2692463082AA2352139E1173</vt:lpwstr>
  </property>
</Properties>
</file>