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76AB">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96597"/>
      <w:bookmarkStart w:id="3" w:name="_Toc15377425"/>
      <w:bookmarkStart w:id="4" w:name="_Toc15377193"/>
      <w:bookmarkStart w:id="5" w:name="_Toc15306267"/>
    </w:p>
    <w:p w14:paraId="247B2130">
      <w:pPr>
        <w:spacing w:line="600" w:lineRule="exact"/>
        <w:jc w:val="center"/>
        <w:outlineLvl w:val="0"/>
        <w:rPr>
          <w:rFonts w:ascii="方正小标宋简体" w:hAnsi="宋体" w:eastAsia="方正小标宋简体"/>
          <w:sz w:val="72"/>
          <w:szCs w:val="72"/>
        </w:rPr>
      </w:pPr>
    </w:p>
    <w:p w14:paraId="17AEA6A3">
      <w:pPr>
        <w:spacing w:line="600" w:lineRule="exact"/>
        <w:jc w:val="center"/>
        <w:outlineLvl w:val="0"/>
        <w:rPr>
          <w:rFonts w:ascii="方正小标宋简体" w:hAnsi="宋体" w:eastAsia="方正小标宋简体"/>
          <w:sz w:val="72"/>
          <w:szCs w:val="72"/>
        </w:rPr>
      </w:pPr>
    </w:p>
    <w:p w14:paraId="4BCA67BF">
      <w:pPr>
        <w:spacing w:line="600" w:lineRule="exact"/>
        <w:jc w:val="center"/>
        <w:outlineLvl w:val="0"/>
        <w:rPr>
          <w:rFonts w:ascii="方正小标宋简体" w:hAnsi="宋体" w:eastAsia="方正小标宋简体"/>
          <w:sz w:val="72"/>
          <w:szCs w:val="72"/>
        </w:rPr>
      </w:pPr>
    </w:p>
    <w:p w14:paraId="05F8ECB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54389CE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194"/>
      <w:bookmarkStart w:id="9" w:name="_Toc15377426"/>
      <w:bookmarkStart w:id="10" w:name="_Toc15396598"/>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财政局部门决算</w:t>
      </w:r>
      <w:bookmarkEnd w:id="6"/>
      <w:bookmarkEnd w:id="7"/>
      <w:bookmarkEnd w:id="8"/>
      <w:bookmarkEnd w:id="9"/>
      <w:bookmarkEnd w:id="10"/>
      <w:bookmarkEnd w:id="11"/>
    </w:p>
    <w:p w14:paraId="64794FB2">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C371ED7">
      <w:pPr>
        <w:widowControl/>
        <w:jc w:val="center"/>
        <w:rPr>
          <w:rFonts w:ascii="黑体" w:hAnsi="黑体" w:eastAsia="黑体" w:cstheme="minorBidi"/>
          <w:sz w:val="28"/>
          <w:szCs w:val="28"/>
        </w:rPr>
      </w:pPr>
    </w:p>
    <w:p w14:paraId="663C6190">
      <w:pPr>
        <w:pStyle w:val="12"/>
      </w:pPr>
      <w:r>
        <w:rPr>
          <w:rFonts w:hint="eastAsia"/>
        </w:rPr>
        <w:t>公开时间：2022年10月26日</w:t>
      </w:r>
    </w:p>
    <w:p w14:paraId="3A71A1A5"/>
    <w:sdt>
      <w:sdtPr>
        <w:rPr>
          <w:rFonts w:ascii="宋体" w:hAnsi="宋体"/>
          <w:kern w:val="0"/>
          <w:sz w:val="20"/>
          <w:szCs w:val="20"/>
        </w:rPr>
        <w:id w:val="147456482"/>
        <w:docPartObj>
          <w:docPartGallery w:val="Table of Contents"/>
          <w:docPartUnique/>
        </w:docPartObj>
      </w:sdtPr>
      <w:sdtEndPr>
        <w:rPr>
          <w:rFonts w:hint="eastAsia" w:ascii="仿宋_GB2312" w:hAnsi="仿宋_GB2312" w:eastAsia="仿宋_GB2312" w:cs="仿宋_GB2312"/>
          <w:kern w:val="0"/>
          <w:sz w:val="32"/>
          <w:szCs w:val="32"/>
        </w:rPr>
      </w:sdtEndPr>
      <w:sdtContent>
        <w:p w14:paraId="23B1CCD9">
          <w:pPr>
            <w:jc w:val="center"/>
          </w:pPr>
        </w:p>
        <w:p w14:paraId="1A74BB15">
          <w:pPr>
            <w:pStyle w:val="34"/>
            <w:tabs>
              <w:tab w:val="right" w:leader="dot" w:pos="8306"/>
            </w:tabs>
            <w:rPr>
              <w:rFonts w:ascii="仿宋_GB2312" w:hAnsi="仿宋_GB2312" w:eastAsia="仿宋_GB2312" w:cs="仿宋_GB2312"/>
              <w:sz w:val="32"/>
              <w:szCs w:val="32"/>
            </w:rPr>
          </w:pPr>
          <w:r>
            <w:fldChar w:fldCharType="begin"/>
          </w:r>
          <w:r>
            <w:instrText xml:space="preserve"> HYPERLINK \l "_Toc15223_WPSOffice_Level1" </w:instrText>
          </w:r>
          <w:r>
            <w:fldChar w:fldCharType="separate"/>
          </w:r>
          <w:r>
            <w:rPr>
              <w:rFonts w:hint="eastAsia" w:ascii="仿宋_GB2312" w:hAnsi="仿宋_GB2312" w:eastAsia="仿宋_GB2312" w:cs="仿宋_GB2312"/>
              <w:b/>
              <w:bCs/>
              <w:sz w:val="32"/>
              <w:szCs w:val="32"/>
            </w:rPr>
            <w:t>第一部分 部门概况</w:t>
          </w:r>
          <w:r>
            <w:rPr>
              <w:rFonts w:hint="eastAsia" w:ascii="仿宋_GB2312" w:hAnsi="仿宋_GB2312" w:eastAsia="仿宋_GB2312" w:cs="仿宋_GB2312"/>
              <w:b/>
              <w:bCs/>
              <w:sz w:val="32"/>
              <w:szCs w:val="32"/>
            </w:rPr>
            <w:tab/>
          </w:r>
          <w:bookmarkStart w:id="12" w:name="_Toc15223_WPSOffice_Level1Page"/>
          <w:r>
            <w:rPr>
              <w:rFonts w:hint="eastAsia" w:ascii="仿宋_GB2312" w:hAnsi="仿宋_GB2312" w:eastAsia="仿宋_GB2312" w:cs="仿宋_GB2312"/>
              <w:b/>
              <w:bCs/>
              <w:sz w:val="32"/>
              <w:szCs w:val="32"/>
            </w:rPr>
            <w:t>4</w:t>
          </w:r>
          <w:bookmarkEnd w:id="12"/>
          <w:r>
            <w:rPr>
              <w:rFonts w:hint="eastAsia" w:ascii="仿宋_GB2312" w:hAnsi="仿宋_GB2312" w:eastAsia="仿宋_GB2312" w:cs="仿宋_GB2312"/>
              <w:b/>
              <w:bCs/>
              <w:sz w:val="32"/>
              <w:szCs w:val="32"/>
            </w:rPr>
            <w:fldChar w:fldCharType="end"/>
          </w:r>
        </w:p>
        <w:p w14:paraId="2E67A2E6">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"_Toc17175_WPSOffice_Level2" </w:instrText>
          </w:r>
          <w:r>
            <w:fldChar w:fldCharType="separate"/>
          </w: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rPr>
            <w:tab/>
          </w:r>
          <w:bookmarkStart w:id="13" w:name="_Toc17175_WPSOffice_Level2Page"/>
          <w:r>
            <w:rPr>
              <w:rFonts w:hint="eastAsia" w:ascii="仿宋_GB2312" w:hAnsi="仿宋_GB2312" w:eastAsia="仿宋_GB2312" w:cs="仿宋_GB2312"/>
              <w:sz w:val="32"/>
              <w:szCs w:val="32"/>
            </w:rPr>
            <w:t>4</w:t>
          </w:r>
          <w:bookmarkEnd w:id="13"/>
          <w:r>
            <w:rPr>
              <w:rFonts w:hint="eastAsia" w:ascii="仿宋_GB2312" w:hAnsi="仿宋_GB2312" w:eastAsia="仿宋_GB2312" w:cs="仿宋_GB2312"/>
              <w:sz w:val="32"/>
              <w:szCs w:val="32"/>
            </w:rPr>
            <w:fldChar w:fldCharType="end"/>
          </w:r>
        </w:p>
        <w:p w14:paraId="17E8BFF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"_Toc31561_WPSOffice_Level2" </w:instrText>
          </w:r>
          <w: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bookmarkStart w:id="14" w:name="_Toc31561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08B4857F">
          <w:pPr>
            <w:pStyle w:val="34"/>
            <w:tabs>
              <w:tab w:val="right" w:leader="dot" w:pos="8306"/>
            </w:tabs>
            <w:rPr>
              <w:rFonts w:ascii="仿宋_GB2312" w:hAnsi="仿宋_GB2312" w:eastAsia="仿宋_GB2312" w:cs="仿宋_GB2312"/>
              <w:sz w:val="32"/>
              <w:szCs w:val="32"/>
            </w:rPr>
          </w:pPr>
          <w:r>
            <w:fldChar w:fldCharType="begin"/>
          </w:r>
          <w:r>
            <w:instrText xml:space="preserve"> HYPERLINK \l "_Toc17175_WPSOffice_Level1" </w:instrText>
          </w:r>
          <w:r>
            <w:fldChar w:fldCharType="separate"/>
          </w:r>
          <w:r>
            <w:rPr>
              <w:rFonts w:hint="eastAsia" w:ascii="仿宋_GB2312" w:hAnsi="仿宋_GB2312" w:eastAsia="仿宋_GB2312" w:cs="仿宋_GB2312"/>
              <w:b/>
              <w:bCs/>
              <w:sz w:val="32"/>
              <w:szCs w:val="32"/>
            </w:rPr>
            <w:t>第二部分 2021年度部门决算情况说明</w:t>
          </w:r>
          <w:r>
            <w:rPr>
              <w:rFonts w:hint="eastAsia" w:ascii="仿宋_GB2312" w:hAnsi="仿宋_GB2312" w:eastAsia="仿宋_GB2312" w:cs="仿宋_GB2312"/>
              <w:b/>
              <w:bCs/>
              <w:sz w:val="32"/>
              <w:szCs w:val="32"/>
            </w:rPr>
            <w:tab/>
          </w:r>
          <w:bookmarkStart w:id="15" w:name="_Toc17175_WPSOffice_Level1Page"/>
          <w:r>
            <w:rPr>
              <w:rFonts w:hint="eastAsia" w:ascii="仿宋_GB2312" w:hAnsi="仿宋_GB2312" w:eastAsia="仿宋_GB2312" w:cs="仿宋_GB2312"/>
              <w:b/>
              <w:bCs/>
              <w:sz w:val="32"/>
              <w:szCs w:val="32"/>
            </w:rPr>
            <w:t>1</w:t>
          </w:r>
          <w:bookmarkEnd w:id="15"/>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p>
        <w:p w14:paraId="60EAF886">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"_Toc3235_WPSOffice_Level2" </w:instrText>
          </w:r>
          <w:r>
            <w:fldChar w:fldCharType="separate"/>
          </w:r>
          <w:r>
            <w:rPr>
              <w:rFonts w:hint="eastAsia" w:ascii="仿宋_GB2312" w:hAnsi="仿宋_GB2312" w:eastAsia="仿宋_GB2312" w:cs="仿宋_GB2312"/>
              <w:sz w:val="32"/>
              <w:szCs w:val="32"/>
            </w:rPr>
            <w:t>一、 收入支出决算总体情况说明</w:t>
          </w:r>
          <w:r>
            <w:rPr>
              <w:rFonts w:hint="eastAsia" w:ascii="仿宋_GB2312" w:hAnsi="仿宋_GB2312" w:eastAsia="仿宋_GB2312" w:cs="仿宋_GB2312"/>
              <w:sz w:val="32"/>
              <w:szCs w:val="32"/>
            </w:rPr>
            <w:tab/>
          </w:r>
          <w:bookmarkStart w:id="16" w:name="_Toc3235_WPSOffice_Level2Page"/>
          <w:r>
            <w:rPr>
              <w:rFonts w:hint="eastAsia" w:ascii="仿宋_GB2312" w:hAnsi="仿宋_GB2312" w:eastAsia="仿宋_GB2312" w:cs="仿宋_GB2312"/>
              <w:sz w:val="32"/>
              <w:szCs w:val="32"/>
            </w:rPr>
            <w:t>1</w:t>
          </w:r>
          <w:bookmarkEnd w:id="16"/>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14:paraId="70745541">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"_Toc24689_WPSOffice_Level2" </w:instrText>
          </w:r>
          <w:r>
            <w:fldChar w:fldCharType="separate"/>
          </w:r>
          <w:r>
            <w:rPr>
              <w:rFonts w:hint="eastAsia" w:ascii="仿宋_GB2312" w:hAnsi="仿宋_GB2312" w:eastAsia="仿宋_GB2312" w:cs="仿宋_GB2312"/>
              <w:sz w:val="32"/>
              <w:szCs w:val="32"/>
            </w:rPr>
            <w:t>二、 收入决算情况说明</w:t>
          </w:r>
          <w:r>
            <w:rPr>
              <w:rFonts w:hint="eastAsia" w:ascii="仿宋_GB2312" w:hAnsi="仿宋_GB2312" w:eastAsia="仿宋_GB2312" w:cs="仿宋_GB2312"/>
              <w:sz w:val="32"/>
              <w:szCs w:val="32"/>
            </w:rPr>
            <w:tab/>
          </w:r>
          <w:bookmarkStart w:id="17" w:name="_Toc24689_WPSOffice_Level2Page"/>
          <w:r>
            <w:rPr>
              <w:rFonts w:hint="eastAsia" w:ascii="仿宋_GB2312" w:hAnsi="仿宋_GB2312" w:eastAsia="仿宋_GB2312" w:cs="仿宋_GB2312"/>
              <w:sz w:val="32"/>
              <w:szCs w:val="32"/>
            </w:rPr>
            <w:t>1</w:t>
          </w:r>
          <w:bookmarkEnd w:id="17"/>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14:paraId="603367BF">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"_Toc27752_WPSOffice_Level2" </w:instrText>
          </w:r>
          <w:r>
            <w:fldChar w:fldCharType="separate"/>
          </w:r>
          <w:r>
            <w:rPr>
              <w:rFonts w:hint="eastAsia" w:ascii="仿宋_GB2312" w:hAnsi="仿宋_GB2312" w:eastAsia="仿宋_GB2312" w:cs="仿宋_GB2312"/>
              <w:sz w:val="32"/>
              <w:szCs w:val="32"/>
            </w:rPr>
            <w:t>三、 支出决算情况说明</w:t>
          </w:r>
          <w:r>
            <w:rPr>
              <w:rFonts w:hint="eastAsia" w:ascii="仿宋_GB2312" w:hAnsi="仿宋_GB2312" w:eastAsia="仿宋_GB2312" w:cs="仿宋_GB2312"/>
              <w:sz w:val="32"/>
              <w:szCs w:val="32"/>
            </w:rPr>
            <w:tab/>
          </w:r>
          <w:bookmarkStart w:id="18" w:name="_Toc27752_WPSOffice_Level2Page"/>
          <w:r>
            <w:rPr>
              <w:rFonts w:hint="eastAsia" w:ascii="仿宋_GB2312" w:hAnsi="仿宋_GB2312" w:eastAsia="仿宋_GB2312" w:cs="仿宋_GB2312"/>
              <w:sz w:val="32"/>
              <w:szCs w:val="32"/>
            </w:rPr>
            <w:t>1</w:t>
          </w:r>
          <w:bookmarkEnd w:id="18"/>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14:paraId="35D022D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"_Toc5525_WPSOffice_Level2" </w:instrText>
          </w:r>
          <w: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bookmarkStart w:id="19" w:name="_Toc5525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14:paraId="5D01E03D">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"_Toc18756_WPSOffice_Level2" </w:instrText>
          </w:r>
          <w: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bookmarkStart w:id="20" w:name="_Toc18756_WPSOffice_Level2Page"/>
          <w:r>
            <w:rPr>
              <w:rFonts w:hint="eastAsia" w:ascii="仿宋_GB2312" w:hAnsi="仿宋_GB2312" w:eastAsia="仿宋_GB2312" w:cs="仿宋_GB2312"/>
              <w:sz w:val="32"/>
              <w:szCs w:val="32"/>
            </w:rPr>
            <w:t>1</w:t>
          </w:r>
          <w:bookmarkEnd w:id="20"/>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14:paraId="5B3A77F2">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"_Toc7490_WPSOffice_Level2" </w:instrText>
          </w:r>
          <w: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bookmarkStart w:id="21" w:name="_Toc7490_WPSOffice_Level2Page"/>
          <w:r>
            <w:rPr>
              <w:rFonts w:hint="eastAsia" w:ascii="仿宋_GB2312" w:hAnsi="仿宋_GB2312" w:eastAsia="仿宋_GB2312" w:cs="仿宋_GB2312"/>
              <w:sz w:val="32"/>
              <w:szCs w:val="32"/>
            </w:rPr>
            <w:t>2</w:t>
          </w:r>
          <w:bookmarkEnd w:id="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14:paraId="2E6C50F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"_Toc7705_WPSOffice_Level2" </w:instrText>
          </w:r>
          <w:r>
            <w:fldChar w:fldCharType="separate"/>
          </w: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rPr>
            <w:tab/>
          </w:r>
          <w:bookmarkStart w:id="22" w:name="_Toc7705_WPSOffice_Level2Page"/>
          <w:r>
            <w:rPr>
              <w:rFonts w:hint="eastAsia" w:ascii="仿宋_GB2312" w:hAnsi="仿宋_GB2312" w:eastAsia="仿宋_GB2312" w:cs="仿宋_GB2312"/>
              <w:sz w:val="32"/>
              <w:szCs w:val="32"/>
            </w:rPr>
            <w:t>2</w:t>
          </w:r>
          <w:bookmarkEnd w:id="22"/>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14:paraId="28C1542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"_Toc1868_WPSOffice_Level2" </w:instrText>
          </w:r>
          <w: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bookmarkStart w:id="23" w:name="_Toc1868_WPSOffice_Level2Page"/>
          <w:r>
            <w:rPr>
              <w:rFonts w:hint="eastAsia" w:ascii="仿宋_GB2312" w:hAnsi="仿宋_GB2312" w:eastAsia="仿宋_GB2312" w:cs="仿宋_GB2312"/>
              <w:sz w:val="32"/>
              <w:szCs w:val="32"/>
            </w:rPr>
            <w:t>2</w:t>
          </w:r>
          <w:bookmarkEnd w:id="23"/>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78348DE9">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"_Toc8701_WPSOffice_Level2" </w:instrText>
          </w:r>
          <w:r>
            <w:fldChar w:fldCharType="separate"/>
          </w:r>
          <w:r>
            <w:rPr>
              <w:rFonts w:hint="eastAsia" w:ascii="仿宋_GB2312" w:hAnsi="仿宋_GB2312" w:eastAsia="仿宋_GB2312" w:cs="仿宋_GB2312"/>
              <w:sz w:val="32"/>
              <w:szCs w:val="32"/>
            </w:rPr>
            <w:t>九、 国有资本经营预算支出决算情况说明</w:t>
          </w:r>
          <w:r>
            <w:rPr>
              <w:rFonts w:hint="eastAsia" w:ascii="仿宋_GB2312" w:hAnsi="仿宋_GB2312" w:eastAsia="仿宋_GB2312" w:cs="仿宋_GB2312"/>
              <w:sz w:val="32"/>
              <w:szCs w:val="32"/>
            </w:rPr>
            <w:tab/>
          </w:r>
          <w:bookmarkStart w:id="24" w:name="_Toc8701_WPSOffice_Level2Page"/>
          <w:r>
            <w:rPr>
              <w:rFonts w:hint="eastAsia" w:ascii="仿宋_GB2312" w:hAnsi="仿宋_GB2312" w:eastAsia="仿宋_GB2312" w:cs="仿宋_GB2312"/>
              <w:sz w:val="32"/>
              <w:szCs w:val="32"/>
            </w:rPr>
            <w:t>2</w:t>
          </w:r>
          <w:bookmarkEnd w:id="24"/>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0D80176E">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"_Toc17087_WPSOffice_Level2" </w:instrText>
          </w:r>
          <w:r>
            <w:fldChar w:fldCharType="separate"/>
          </w:r>
          <w:r>
            <w:rPr>
              <w:rFonts w:hint="eastAsia" w:ascii="仿宋_GB2312" w:hAnsi="仿宋_GB2312" w:eastAsia="仿宋_GB2312" w:cs="仿宋_GB2312"/>
              <w:sz w:val="32"/>
              <w:szCs w:val="32"/>
            </w:rPr>
            <w:t>十、 其他重要事项的情况说明</w:t>
          </w:r>
          <w:r>
            <w:rPr>
              <w:rFonts w:hint="eastAsia" w:ascii="仿宋_GB2312" w:hAnsi="仿宋_GB2312" w:eastAsia="仿宋_GB2312" w:cs="仿宋_GB2312"/>
              <w:sz w:val="32"/>
              <w:szCs w:val="32"/>
            </w:rPr>
            <w:tab/>
          </w:r>
          <w:bookmarkStart w:id="25" w:name="_Toc17087_WPSOffice_Level2Page"/>
          <w:r>
            <w:rPr>
              <w:rFonts w:hint="eastAsia" w:ascii="仿宋_GB2312" w:hAnsi="仿宋_GB2312" w:eastAsia="仿宋_GB2312" w:cs="仿宋_GB2312"/>
              <w:sz w:val="32"/>
              <w:szCs w:val="32"/>
            </w:rPr>
            <w:t>2</w:t>
          </w:r>
          <w:bookmarkEnd w:id="25"/>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68BFF67D">
          <w:pPr>
            <w:pStyle w:val="34"/>
            <w:tabs>
              <w:tab w:val="right" w:leader="dot" w:pos="8306"/>
            </w:tabs>
            <w:rPr>
              <w:rFonts w:ascii="仿宋_GB2312" w:hAnsi="仿宋_GB2312" w:eastAsia="仿宋_GB2312" w:cs="仿宋_GB2312"/>
              <w:sz w:val="32"/>
              <w:szCs w:val="32"/>
            </w:rPr>
          </w:pPr>
          <w:r>
            <w:fldChar w:fldCharType="begin"/>
          </w:r>
          <w:r>
            <w:instrText xml:space="preserve"> HYPERLINK \l "_Toc31561_WPSOffice_Level1" </w:instrText>
          </w:r>
          <w:r>
            <w:fldChar w:fldCharType="separate"/>
          </w:r>
          <w:r>
            <w:rPr>
              <w:rFonts w:hint="eastAsia" w:ascii="仿宋_GB2312" w:hAnsi="仿宋_GB2312" w:eastAsia="仿宋_GB2312" w:cs="仿宋_GB2312"/>
              <w:b/>
              <w:bCs/>
              <w:sz w:val="32"/>
              <w:szCs w:val="32"/>
            </w:rPr>
            <w:t>第三部分 名词解释</w:t>
          </w:r>
          <w:r>
            <w:rPr>
              <w:rFonts w:hint="eastAsia" w:ascii="仿宋_GB2312" w:hAnsi="仿宋_GB2312" w:eastAsia="仿宋_GB2312" w:cs="仿宋_GB2312"/>
              <w:b/>
              <w:bCs/>
              <w:sz w:val="32"/>
              <w:szCs w:val="32"/>
            </w:rPr>
            <w:tab/>
          </w:r>
          <w:bookmarkStart w:id="26" w:name="_Toc31561_WPSOffice_Level1Page"/>
          <w:r>
            <w:rPr>
              <w:rFonts w:hint="eastAsia" w:ascii="仿宋_GB2312" w:hAnsi="仿宋_GB2312" w:eastAsia="仿宋_GB2312" w:cs="仿宋_GB2312"/>
              <w:b/>
              <w:bCs/>
              <w:sz w:val="32"/>
              <w:szCs w:val="32"/>
            </w:rPr>
            <w:t>2</w:t>
          </w:r>
          <w:bookmarkEnd w:id="26"/>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p>
        <w:p w14:paraId="27B6E3B0">
          <w:pPr>
            <w:pStyle w:val="34"/>
            <w:tabs>
              <w:tab w:val="right" w:leader="dot" w:pos="8306"/>
            </w:tabs>
            <w:rPr>
              <w:rFonts w:ascii="仿宋_GB2312" w:hAnsi="仿宋_GB2312" w:eastAsia="仿宋_GB2312" w:cs="仿宋_GB2312"/>
              <w:sz w:val="32"/>
              <w:szCs w:val="32"/>
            </w:rPr>
          </w:pPr>
          <w:r>
            <w:fldChar w:fldCharType="begin"/>
          </w:r>
          <w:r>
            <w:instrText xml:space="preserve"> HYPERLINK \l "_Toc3235_WPSOffice_Level1" </w:instrText>
          </w:r>
          <w:r>
            <w:fldChar w:fldCharType="separate"/>
          </w:r>
          <w:sdt>
            <w:sdtPr>
              <w:rPr>
                <w:rFonts w:hint="eastAsia" w:ascii="仿宋_GB2312" w:hAnsi="仿宋_GB2312" w:eastAsia="仿宋_GB2312" w:cs="仿宋_GB2312"/>
                <w:b/>
                <w:bCs/>
                <w:kern w:val="2"/>
                <w:sz w:val="32"/>
                <w:szCs w:val="32"/>
              </w:rPr>
              <w:id w:val="147456485"/>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第四部分 附件</w:t>
              </w:r>
            </w:sdtContent>
          </w:sdt>
          <w:r>
            <w:rPr>
              <w:rFonts w:hint="eastAsia" w:ascii="仿宋_GB2312" w:hAnsi="仿宋_GB2312" w:eastAsia="仿宋_GB2312" w:cs="仿宋_GB2312"/>
              <w:b/>
              <w:bCs/>
              <w:sz w:val="32"/>
              <w:szCs w:val="32"/>
            </w:rPr>
            <w:tab/>
          </w:r>
          <w:bookmarkStart w:id="27" w:name="_Toc3235_WPSOffice_Level1Page"/>
          <w:r>
            <w:rPr>
              <w:rFonts w:hint="eastAsia" w:ascii="仿宋_GB2312" w:hAnsi="仿宋_GB2312" w:eastAsia="仿宋_GB2312" w:cs="仿宋_GB2312"/>
              <w:b/>
              <w:bCs/>
              <w:sz w:val="32"/>
              <w:szCs w:val="32"/>
            </w:rPr>
            <w:t>3</w:t>
          </w:r>
          <w:bookmarkEnd w:id="27"/>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rPr>
            <w:fldChar w:fldCharType="end"/>
          </w:r>
        </w:p>
        <w:p w14:paraId="5A1909C9">
          <w:pPr>
            <w:pStyle w:val="34"/>
            <w:tabs>
              <w:tab w:val="right" w:leader="dot" w:pos="8306"/>
            </w:tabs>
            <w:rPr>
              <w:rFonts w:ascii="仿宋_GB2312" w:hAnsi="仿宋_GB2312" w:eastAsia="仿宋_GB2312" w:cs="仿宋_GB2312"/>
              <w:sz w:val="32"/>
              <w:szCs w:val="32"/>
            </w:rPr>
          </w:pPr>
          <w:r>
            <w:fldChar w:fldCharType="begin"/>
          </w:r>
          <w:r>
            <w:instrText xml:space="preserve"> HYPERLINK \l "_Toc27923_WPSOffice_Level1" </w:instrText>
          </w:r>
          <w:r>
            <w:fldChar w:fldCharType="separate"/>
          </w:r>
          <w:r>
            <w:rPr>
              <w:rFonts w:hint="eastAsia" w:ascii="仿宋_GB2312" w:hAnsi="仿宋_GB2312" w:eastAsia="仿宋_GB2312" w:cs="仿宋_GB2312"/>
              <w:b/>
              <w:bCs/>
              <w:sz w:val="32"/>
              <w:szCs w:val="32"/>
            </w:rPr>
            <w:t>第五部分 附表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9</w:t>
          </w:r>
        </w:p>
        <w:p w14:paraId="7947FB02">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"_Toc27298_WPSOffice_Level2" </w:instrText>
          </w:r>
          <w: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5FE930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"_Toc2235_WPSOffice_Level2" </w:instrText>
          </w:r>
          <w: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p>
        <w:p w14:paraId="48BAC931">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"_Toc31678_WPSOffice_Level2" </w:instrText>
          </w:r>
          <w: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22858B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"_Toc8638_WPSOffice_Level2" </w:instrText>
          </w:r>
          <w: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38180C5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"_Toc15828_WPSOffice_Level2" </w:instrText>
          </w:r>
          <w: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1334A69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"_Toc24002_WPSOffice_Level2" </w:instrText>
          </w:r>
          <w: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034749DB">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"_Toc1557_WPSOffice_Level2" </w:instrText>
          </w:r>
          <w: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230727A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"_Toc1720_WPSOffice_Level2" </w:instrText>
          </w:r>
          <w:r>
            <w:fldChar w:fldCharType="separate"/>
          </w: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32DF052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"_Toc8745_WPSOffice_Level2" </w:instrText>
          </w:r>
          <w: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4CE128CE">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"_Toc6458_WPSOffice_Level2" </w:instrText>
          </w:r>
          <w:r>
            <w:fldChar w:fldCharType="separate"/>
          </w:r>
          <w:r>
            <w:rPr>
              <w:rFonts w:hint="eastAsia" w:ascii="仿宋_GB2312" w:hAnsi="仿宋_GB2312" w:eastAsia="仿宋_GB2312" w:cs="仿宋_GB2312"/>
              <w:sz w:val="32"/>
              <w:szCs w:val="32"/>
            </w:rPr>
            <w:t>十、一般公共预算财政拨款“三公”经费支出决算表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08A4AB5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"_Toc13198_WPSOffice_Level2" </w:instrText>
          </w:r>
          <w:r>
            <w:fldChar w:fldCharType="separate"/>
          </w:r>
          <w:r>
            <w:rPr>
              <w:rFonts w:hint="eastAsia" w:ascii="仿宋_GB2312" w:hAnsi="仿宋_GB2312" w:eastAsia="仿宋_GB2312" w:cs="仿宋_GB2312"/>
              <w:sz w:val="32"/>
              <w:szCs w:val="32"/>
            </w:rPr>
            <w:t>十一、政府性基金预算财政拨款收入支出决算表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155B7DB">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"_Toc4846_WPSOffice_Level2" </w:instrText>
          </w:r>
          <w:r>
            <w:fldChar w:fldCharType="separate"/>
          </w:r>
          <w:r>
            <w:rPr>
              <w:rFonts w:hint="eastAsia" w:ascii="仿宋_GB2312" w:hAnsi="仿宋_GB2312" w:eastAsia="仿宋_GB2312" w:cs="仿宋_GB2312"/>
              <w:sz w:val="32"/>
              <w:szCs w:val="32"/>
            </w:rPr>
            <w:t>十二、政府性基金预算财政拨款“三公”经费支出决算表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221C3F2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"_Toc8935_WPSOffice_Level2" </w:instrText>
          </w:r>
          <w:r>
            <w:fldChar w:fldCharType="separate"/>
          </w:r>
          <w:r>
            <w:rPr>
              <w:rFonts w:hint="eastAsia" w:ascii="仿宋_GB2312" w:hAnsi="仿宋_GB2312" w:eastAsia="仿宋_GB2312" w:cs="仿宋_GB2312"/>
              <w:sz w:val="32"/>
              <w:szCs w:val="32"/>
            </w:rPr>
            <w:t>十三、国有资本经营预算财政拨款收入支出决算表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976D7CF">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"_Toc32031_WPSOffice_Level2" </w:instrText>
          </w:r>
          <w:r>
            <w:fldChar w:fldCharType="separate"/>
          </w:r>
          <w:r>
            <w:rPr>
              <w:rFonts w:hint="eastAsia" w:ascii="仿宋_GB2312" w:hAnsi="仿宋_GB2312" w:eastAsia="仿宋_GB2312" w:cs="仿宋_GB2312"/>
              <w:sz w:val="32"/>
              <w:szCs w:val="32"/>
            </w:rPr>
            <w:t>十四、国有资本经营预算财政拨款支出决算表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sdtContent>
    </w:sdt>
    <w:p w14:paraId="0E391741">
      <w:pPr>
        <w:widowControl/>
        <w:spacing w:line="440" w:lineRule="exact"/>
        <w:jc w:val="left"/>
        <w:rPr>
          <w:rFonts w:ascii="仿宋_GB2312" w:hAnsi="仿宋_GB2312" w:eastAsia="仿宋_GB2312" w:cs="仿宋_GB2312"/>
          <w:bCs/>
          <w:kern w:val="44"/>
          <w:sz w:val="32"/>
          <w:szCs w:val="32"/>
        </w:rPr>
      </w:pPr>
      <w:r>
        <w:rPr>
          <w:rFonts w:hint="eastAsia" w:ascii="仿宋_GB2312" w:hAnsi="仿宋_GB2312" w:eastAsia="仿宋_GB2312" w:cs="仿宋_GB2312"/>
          <w:b/>
          <w:sz w:val="32"/>
          <w:szCs w:val="32"/>
        </w:rPr>
        <w:br w:type="page"/>
      </w:r>
    </w:p>
    <w:p w14:paraId="3F8A7B41">
      <w:pPr>
        <w:spacing w:line="560" w:lineRule="exact"/>
        <w:jc w:val="center"/>
        <w:rPr>
          <w:rFonts w:eastAsia="黑体"/>
          <w:sz w:val="44"/>
          <w:szCs w:val="44"/>
        </w:rPr>
      </w:pPr>
      <w:bookmarkStart w:id="28" w:name="_Toc15223_WPSOffice_Level1"/>
      <w:r>
        <w:rPr>
          <w:rFonts w:eastAsia="黑体"/>
          <w:sz w:val="44"/>
          <w:szCs w:val="44"/>
        </w:rPr>
        <w:t>第一部分 部门概况</w:t>
      </w:r>
      <w:bookmarkEnd w:id="28"/>
    </w:p>
    <w:p w14:paraId="438111CF">
      <w:pPr>
        <w:spacing w:line="560" w:lineRule="exact"/>
        <w:ind w:firstLine="640" w:firstLineChars="200"/>
        <w:rPr>
          <w:rFonts w:eastAsia="仿宋_GB2312"/>
          <w:sz w:val="32"/>
          <w:szCs w:val="32"/>
        </w:rPr>
      </w:pPr>
      <w:bookmarkStart w:id="29" w:name="_Toc15396600"/>
      <w:bookmarkStart w:id="30" w:name="_Toc17175_WPSOffice_Level2"/>
      <w:bookmarkStart w:id="31" w:name="_Toc15377197"/>
    </w:p>
    <w:p w14:paraId="3ACB0098">
      <w:pPr>
        <w:spacing w:line="560" w:lineRule="exact"/>
        <w:ind w:firstLine="640" w:firstLineChars="200"/>
        <w:rPr>
          <w:rFonts w:eastAsia="黑体"/>
          <w:sz w:val="32"/>
          <w:szCs w:val="32"/>
        </w:rPr>
      </w:pPr>
      <w:r>
        <w:rPr>
          <w:rFonts w:eastAsia="黑体"/>
          <w:sz w:val="32"/>
          <w:szCs w:val="32"/>
        </w:rPr>
        <w:t>一、基本职能及主要工作</w:t>
      </w:r>
      <w:bookmarkEnd w:id="29"/>
      <w:bookmarkEnd w:id="30"/>
      <w:bookmarkEnd w:id="31"/>
    </w:p>
    <w:p w14:paraId="6BD74061">
      <w:pPr>
        <w:spacing w:line="560" w:lineRule="exact"/>
        <w:ind w:firstLine="640" w:firstLineChars="200"/>
        <w:rPr>
          <w:rFonts w:eastAsia="楷体_GB2312"/>
          <w:sz w:val="32"/>
          <w:szCs w:val="32"/>
        </w:rPr>
      </w:pPr>
      <w:bookmarkStart w:id="32" w:name="_Toc15378445"/>
      <w:bookmarkStart w:id="33" w:name="_Toc15377198"/>
      <w:r>
        <w:rPr>
          <w:rFonts w:eastAsia="楷体_GB2312"/>
          <w:sz w:val="32"/>
          <w:szCs w:val="32"/>
        </w:rPr>
        <w:t>（一）主要职能。</w:t>
      </w:r>
      <w:bookmarkEnd w:id="32"/>
      <w:bookmarkEnd w:id="33"/>
    </w:p>
    <w:p w14:paraId="28F44479">
      <w:pPr>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与乡（镇）政府、政府与企业的分配政策，完善鼓励公益事业发展的财税政策。</w:t>
      </w:r>
    </w:p>
    <w:p w14:paraId="51CFFEE8">
      <w:pPr>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14:paraId="65E95BD0">
      <w:pPr>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14:paraId="194678E9">
      <w:pPr>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14:paraId="14FC6202">
      <w:pPr>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14:paraId="57DC3393">
      <w:pPr>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14:paraId="62DA6D4E">
      <w:pPr>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14:paraId="17833DE9">
      <w:pPr>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14:paraId="75D0636C">
      <w:pPr>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14:paraId="45FEB8D9">
      <w:pPr>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14:paraId="0A567EEB">
      <w:pPr>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14:paraId="1466C38C">
      <w:pPr>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14:paraId="712675D8">
      <w:pPr>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14:paraId="65CF747C">
      <w:pPr>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14:paraId="3B47FB85">
      <w:pPr>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14:paraId="68C74DFB">
      <w:pPr>
        <w:spacing w:line="560" w:lineRule="exact"/>
        <w:ind w:firstLine="640" w:firstLineChars="200"/>
        <w:rPr>
          <w:rFonts w:eastAsia="仿宋_GB2312"/>
          <w:sz w:val="32"/>
          <w:szCs w:val="32"/>
        </w:rPr>
      </w:pPr>
      <w:r>
        <w:rPr>
          <w:rFonts w:eastAsia="仿宋_GB2312"/>
          <w:sz w:val="32"/>
          <w:szCs w:val="32"/>
        </w:rPr>
        <w:t>16.完成县委、县政府交办的其他任务。</w:t>
      </w:r>
    </w:p>
    <w:p w14:paraId="034F8429">
      <w:pPr>
        <w:spacing w:line="560" w:lineRule="exact"/>
        <w:ind w:firstLine="640" w:firstLineChars="200"/>
        <w:rPr>
          <w:rFonts w:eastAsia="仿宋_GB2312"/>
          <w:sz w:val="32"/>
          <w:szCs w:val="32"/>
        </w:rPr>
      </w:pPr>
      <w:r>
        <w:rPr>
          <w:rFonts w:eastAsia="仿宋_GB2312"/>
          <w:sz w:val="32"/>
          <w:szCs w:val="32"/>
        </w:rPr>
        <w:t>17.职能转变。</w:t>
      </w:r>
    </w:p>
    <w:p w14:paraId="54C47E4B">
      <w:pPr>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14:paraId="4CD14B43">
      <w:pPr>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14:paraId="4FC6C312">
      <w:pPr>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14:paraId="5E21189C">
      <w:pPr>
        <w:spacing w:line="560" w:lineRule="exact"/>
        <w:ind w:firstLine="640" w:firstLineChars="200"/>
        <w:rPr>
          <w:rFonts w:eastAsia="仿宋_GB2312"/>
          <w:sz w:val="32"/>
          <w:szCs w:val="32"/>
        </w:rPr>
      </w:pPr>
      <w:r>
        <w:rPr>
          <w:rFonts w:eastAsia="仿宋_GB2312"/>
          <w:sz w:val="32"/>
          <w:szCs w:val="32"/>
        </w:rPr>
        <w:t>18.有关职责分工。</w:t>
      </w:r>
    </w:p>
    <w:p w14:paraId="1611ACFA">
      <w:pPr>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14:paraId="5C7BBF51">
      <w:pPr>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14:paraId="454CC3E5">
      <w:pPr>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14:paraId="4A7D4D27">
      <w:pPr>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规范发展。</w:t>
      </w:r>
    </w:p>
    <w:p w14:paraId="4C74FA6F">
      <w:pPr>
        <w:spacing w:line="560" w:lineRule="exact"/>
        <w:ind w:firstLine="640" w:firstLineChars="200"/>
        <w:rPr>
          <w:rFonts w:eastAsia="楷体_GB2312"/>
          <w:sz w:val="32"/>
          <w:szCs w:val="32"/>
        </w:rPr>
      </w:pPr>
      <w:bookmarkStart w:id="34" w:name="_Toc15377199"/>
      <w:bookmarkStart w:id="35" w:name="_Toc15378446"/>
      <w:r>
        <w:rPr>
          <w:rFonts w:eastAsia="楷体_GB2312"/>
          <w:sz w:val="32"/>
          <w:szCs w:val="32"/>
        </w:rPr>
        <w:t>（二）2021年重点工作完成情况。</w:t>
      </w:r>
      <w:bookmarkEnd w:id="34"/>
      <w:bookmarkEnd w:id="35"/>
    </w:p>
    <w:p w14:paraId="4976D419">
      <w:pPr>
        <w:spacing w:line="560" w:lineRule="exact"/>
        <w:ind w:firstLine="643" w:firstLineChars="200"/>
        <w:rPr>
          <w:rFonts w:eastAsia="仿宋_GB2312"/>
          <w:b/>
          <w:sz w:val="32"/>
          <w:szCs w:val="32"/>
        </w:rPr>
      </w:pPr>
      <w:r>
        <w:rPr>
          <w:rFonts w:eastAsia="仿宋_GB2312"/>
          <w:b/>
          <w:sz w:val="32"/>
          <w:szCs w:val="32"/>
        </w:rPr>
        <w:t>1.财政管理</w:t>
      </w:r>
    </w:p>
    <w:p w14:paraId="116CF8A0">
      <w:pPr>
        <w:spacing w:line="560" w:lineRule="exact"/>
        <w:ind w:firstLine="643" w:firstLineChars="200"/>
        <w:rPr>
          <w:rFonts w:eastAsia="仿宋_GB2312"/>
          <w:sz w:val="32"/>
          <w:szCs w:val="32"/>
        </w:rPr>
      </w:pPr>
      <w:r>
        <w:rPr>
          <w:rFonts w:eastAsia="仿宋_GB2312"/>
          <w:b/>
          <w:sz w:val="32"/>
          <w:szCs w:val="32"/>
        </w:rPr>
        <w:t>[三抓一强]</w:t>
      </w:r>
      <w:r>
        <w:rPr>
          <w:rFonts w:eastAsia="仿宋_GB2312"/>
          <w:sz w:val="32"/>
          <w:szCs w:val="32"/>
        </w:rPr>
        <w:t>强化“三抓一强”基础工作，深入剖析解读政策，充分用活用好政策，积极与省财政对接，加大对均衡性转移支付、县级基本财力保障机制奖补资金、贫困地区转移支付、重点生态功能区转移支付、债券资金等争取力度。同时，通过安排项目包装经费、及时兑现对上争取激励等措施，充分调动各部门资金争取的积极性。2021年全县共争取上级各项资金180,513万元，比2020年的153,786万元增加了26,727万元，增长17.38 %。</w:t>
      </w:r>
    </w:p>
    <w:p w14:paraId="0D87F0A3">
      <w:pPr>
        <w:spacing w:line="560" w:lineRule="exact"/>
        <w:ind w:firstLine="643" w:firstLineChars="200"/>
        <w:rPr>
          <w:rFonts w:eastAsia="仿宋_GB2312"/>
          <w:sz w:val="32"/>
          <w:szCs w:val="32"/>
        </w:rPr>
      </w:pPr>
      <w:r>
        <w:rPr>
          <w:rFonts w:eastAsia="仿宋_GB2312"/>
          <w:b/>
          <w:sz w:val="32"/>
          <w:szCs w:val="32"/>
        </w:rPr>
        <w:t>[三大攻坚战]打好防范化解重大风险攻坚战。</w:t>
      </w:r>
      <w:r>
        <w:rPr>
          <w:rFonts w:eastAsia="仿宋_GB2312"/>
          <w:sz w:val="32"/>
          <w:szCs w:val="32"/>
        </w:rPr>
        <w:t xml:space="preserve">积极争取债券资金，全年争取新增债券资金41,000万元，再融资债券资金16,150万元，有力支持了我县重大项目建设。健全制度机制，积极消化债务存量，政府综合债务率约81%（初步测算数据，准确数据省财政厅暂未下发）、利息支出率2.458%。偿还存量政府债务和到期地方政府债券本金16,150万元、地方政府债券利息6,793万元，偿还隐性债务本金合计10,741万元，偿还或有债务本金3,900万元，化解县本级财政暂付款9,541万元，守住了不出现系统性风险的底线。  </w:t>
      </w:r>
    </w:p>
    <w:p w14:paraId="50E0B51A">
      <w:pPr>
        <w:spacing w:line="560" w:lineRule="exact"/>
        <w:ind w:firstLine="643" w:firstLineChars="200"/>
        <w:rPr>
          <w:rFonts w:eastAsia="仿宋_GB2312"/>
          <w:sz w:val="32"/>
          <w:szCs w:val="32"/>
        </w:rPr>
      </w:pPr>
      <w:r>
        <w:rPr>
          <w:rFonts w:eastAsia="仿宋_GB2312"/>
          <w:b/>
          <w:sz w:val="32"/>
          <w:szCs w:val="32"/>
        </w:rPr>
        <w:t>做好巩固脱贫攻坚成果与乡村振兴有效衔接。</w:t>
      </w:r>
      <w:r>
        <w:rPr>
          <w:rFonts w:eastAsia="仿宋_GB2312"/>
          <w:sz w:val="32"/>
          <w:szCs w:val="32"/>
        </w:rPr>
        <w:t>严格落实“四不摘”要求，保持财政扶贫政策总体稳定。继续加大财政投入，2021年巩固脱贫攻坚成果与乡村振兴有效衔接共计投入超9,989万元（其中：县级财政专项资金投入996万元），为我县巩固脱贫攻坚成果与乡村振兴有效衔接项目实施提供了资金保障。</w:t>
      </w:r>
    </w:p>
    <w:p w14:paraId="2193EE58">
      <w:pPr>
        <w:spacing w:line="560" w:lineRule="exact"/>
        <w:ind w:firstLine="643" w:firstLineChars="200"/>
        <w:rPr>
          <w:rFonts w:eastAsia="仿宋_GB2312"/>
          <w:sz w:val="32"/>
          <w:szCs w:val="32"/>
        </w:rPr>
      </w:pPr>
      <w:r>
        <w:rPr>
          <w:rFonts w:eastAsia="仿宋_GB2312"/>
          <w:b/>
          <w:sz w:val="32"/>
          <w:szCs w:val="32"/>
        </w:rPr>
        <w:t>打好污染防治攻坚战。</w:t>
      </w:r>
      <w:r>
        <w:rPr>
          <w:rFonts w:eastAsia="仿宋_GB2312"/>
          <w:sz w:val="32"/>
          <w:szCs w:val="32"/>
        </w:rPr>
        <w:t>加快“盐边县环境治理和城镇基础设施建设” PPP 项目建设进度，2021年已经完成投资34,025.39万元。城区生活垃圾转运站、县城污水处理厂扩能重建工程已经完工，县城老旧小区改造工程-月潭小区改造已经完成，其他项目在加紧施工中。</w:t>
      </w:r>
    </w:p>
    <w:p w14:paraId="32D2DC30">
      <w:pPr>
        <w:spacing w:line="560" w:lineRule="exact"/>
        <w:ind w:firstLine="643" w:firstLineChars="200"/>
        <w:rPr>
          <w:rFonts w:eastAsia="仿宋_GB2312"/>
          <w:sz w:val="32"/>
          <w:szCs w:val="32"/>
        </w:rPr>
      </w:pPr>
      <w:r>
        <w:rPr>
          <w:rFonts w:eastAsia="仿宋_GB2312"/>
          <w:b/>
          <w:sz w:val="32"/>
          <w:szCs w:val="32"/>
        </w:rPr>
        <w:t>[乡村振兴]</w:t>
      </w:r>
      <w:r>
        <w:rPr>
          <w:rFonts w:eastAsia="仿宋_GB2312"/>
          <w:sz w:val="32"/>
          <w:szCs w:val="32"/>
        </w:rPr>
        <w:t>构建财政投入保障机制，保障财政支农投入与乡村振兴目标任务相适应。全年财政投入乡村振兴资金58,797万元，主要用于水利工程建设、高标准农田建设、现代农业“7+3”产业体系建设等。加大向上资金争取力度，争取上级农业财政专项资金29,189.84万元，其中，农业资金8,552万元、水利资金6,648万元、巩固脱贫攻坚成果与乡村振兴有效衔接资金8,104.74万元、其他资金5,885.10万元。构建财政金融联动机制，通过设立乡村振兴农业产业发展贷款风险补偿金，由合作银行按照补偿金规模10倍给予信贷支持，累计撬动银行发放农业产业贷款11,756万元。</w:t>
      </w:r>
    </w:p>
    <w:p w14:paraId="14D41825">
      <w:pPr>
        <w:spacing w:line="560" w:lineRule="exact"/>
        <w:ind w:firstLine="643" w:firstLineChars="200"/>
        <w:rPr>
          <w:rFonts w:eastAsia="仿宋_GB2312"/>
          <w:sz w:val="32"/>
          <w:szCs w:val="32"/>
        </w:rPr>
      </w:pPr>
      <w:r>
        <w:rPr>
          <w:rFonts w:eastAsia="仿宋_GB2312"/>
          <w:b/>
          <w:sz w:val="32"/>
          <w:szCs w:val="32"/>
        </w:rPr>
        <w:t>[政府采购]</w:t>
      </w:r>
      <w:r>
        <w:rPr>
          <w:rFonts w:eastAsia="仿宋_GB2312"/>
          <w:sz w:val="32"/>
          <w:szCs w:val="32"/>
        </w:rPr>
        <w:t>2021年政府采购预算16,824万元，实际采购16,340万元，节约资金484万元，节约率2.88%。全年共组织采购165场次，成交158场次，其中：公开招标13场次，竞争性谈判11场次，询价采购15场次，竞争性磋商59场次，网上竞价67场次。</w:t>
      </w:r>
    </w:p>
    <w:p w14:paraId="60BF5C5C">
      <w:pPr>
        <w:spacing w:line="560" w:lineRule="exact"/>
        <w:ind w:firstLine="643" w:firstLineChars="200"/>
        <w:rPr>
          <w:rFonts w:eastAsia="仿宋_GB2312"/>
          <w:sz w:val="32"/>
          <w:szCs w:val="32"/>
        </w:rPr>
      </w:pPr>
      <w:r>
        <w:rPr>
          <w:rFonts w:eastAsia="仿宋_GB2312"/>
          <w:b/>
          <w:sz w:val="32"/>
          <w:szCs w:val="32"/>
        </w:rPr>
        <w:t>[投资评审]</w:t>
      </w:r>
      <w:r>
        <w:rPr>
          <w:rFonts w:eastAsia="仿宋_GB2312"/>
          <w:sz w:val="32"/>
          <w:szCs w:val="32"/>
        </w:rPr>
        <w:t>2021年共评审项目149个，总送审资金67,765万元，审减资金8,095万元，审定资金59,670万元，综合审减率为11.95%。</w:t>
      </w:r>
    </w:p>
    <w:p w14:paraId="6BB7D277">
      <w:pPr>
        <w:spacing w:line="560" w:lineRule="exact"/>
        <w:ind w:firstLine="643" w:firstLineChars="200"/>
        <w:rPr>
          <w:rFonts w:eastAsia="仿宋_GB2312"/>
          <w:sz w:val="32"/>
          <w:szCs w:val="32"/>
        </w:rPr>
      </w:pPr>
      <w:r>
        <w:rPr>
          <w:rFonts w:eastAsia="仿宋_GB2312"/>
          <w:b/>
          <w:sz w:val="32"/>
          <w:szCs w:val="32"/>
        </w:rPr>
        <w:t>[财政监督]</w:t>
      </w:r>
      <w:r>
        <w:rPr>
          <w:rFonts w:eastAsia="仿宋_GB2312"/>
          <w:sz w:val="32"/>
          <w:szCs w:val="32"/>
        </w:rPr>
        <w:t>认真贯彻落实严肃财经纪律要求，2021年在全县先后开展了两次“排查清理两项工作”。经排查清理，全县各乡（镇）、各部门分两次共缴入财政18289.38万元（其中：上缴财政非税收入362.74万元，上缴财政代管质保金1218.07万元，上缴财政金库16708.57万元）。深入推进预决算公开工作，2021年重点对2018、2019、2020年3年共涉及438个单位预决算公开情况进行了专项检查，其中：决算公开2018年112 个、2019年110个，预算公开2019年112 个、2020年104 个。联合监督机制逐步形成，2021年向县委巡察工作小组派出10人次（第十一轮6人次、十二轮4人次）参与巡察工作，与纪委、审计局等单位联合开展严肃财经纪律专项检查参与人员21人次。四是发挥财会监督基础防线作用。配合纪检组完成2件信访调查工作，完成巡察组交办线索1件。</w:t>
      </w:r>
    </w:p>
    <w:p w14:paraId="5DC2A609">
      <w:pPr>
        <w:spacing w:line="560" w:lineRule="exact"/>
        <w:ind w:firstLine="643" w:firstLineChars="200"/>
        <w:rPr>
          <w:rFonts w:eastAsia="仿宋_GB2312"/>
          <w:sz w:val="32"/>
          <w:szCs w:val="32"/>
        </w:rPr>
      </w:pPr>
      <w:r>
        <w:rPr>
          <w:rFonts w:eastAsia="仿宋_GB2312"/>
          <w:b/>
          <w:sz w:val="32"/>
          <w:szCs w:val="32"/>
        </w:rPr>
        <w:t>[财政改革]</w:t>
      </w:r>
      <w:r>
        <w:rPr>
          <w:rFonts w:eastAsia="仿宋_GB2312"/>
          <w:sz w:val="32"/>
          <w:szCs w:val="32"/>
        </w:rPr>
        <w:t>持续推动电子票据改革和非税收缴系统电子化改革，拓展新的非税征收点。稳步推进预算管理一体化系统建设工作，为财政政策提质增效提供了有效实现途径。</w:t>
      </w:r>
    </w:p>
    <w:p w14:paraId="6CF3A7D9">
      <w:pPr>
        <w:spacing w:line="560" w:lineRule="exact"/>
        <w:ind w:firstLine="643" w:firstLineChars="200"/>
        <w:rPr>
          <w:rFonts w:eastAsia="仿宋_GB2312"/>
          <w:sz w:val="32"/>
          <w:szCs w:val="32"/>
        </w:rPr>
      </w:pPr>
      <w:r>
        <w:rPr>
          <w:rFonts w:eastAsia="仿宋_GB2312"/>
          <w:b/>
          <w:sz w:val="32"/>
          <w:szCs w:val="32"/>
        </w:rPr>
        <w:t>[盘活用好镇村公有资产]</w:t>
      </w:r>
      <w:r>
        <w:rPr>
          <w:rFonts w:eastAsia="仿宋_GB2312"/>
          <w:sz w:val="32"/>
          <w:szCs w:val="32"/>
        </w:rPr>
        <w:t>结合我县实际，制定资产清查方案，开展了闲置资产清查工作，摸清闲置资产底数及状况，建立闲置资产明细台账。采取“一事一议、一案一策”的方式，研究制定盘活方案，逐一盘活资产。盘活涉改乡镇闲置资产76宗，盘活率达到100%。</w:t>
      </w:r>
    </w:p>
    <w:p w14:paraId="1BA13572">
      <w:pPr>
        <w:spacing w:line="560" w:lineRule="exact"/>
        <w:ind w:firstLine="643" w:firstLineChars="200"/>
        <w:rPr>
          <w:rFonts w:eastAsia="仿宋_GB2312"/>
          <w:sz w:val="32"/>
          <w:szCs w:val="32"/>
        </w:rPr>
      </w:pPr>
      <w:r>
        <w:rPr>
          <w:rFonts w:eastAsia="仿宋_GB2312"/>
          <w:b/>
          <w:sz w:val="32"/>
          <w:szCs w:val="32"/>
        </w:rPr>
        <w:t>[国企改革三年行动]</w:t>
      </w:r>
      <w:r>
        <w:rPr>
          <w:rFonts w:eastAsia="仿宋_GB2312"/>
          <w:sz w:val="32"/>
          <w:szCs w:val="32"/>
        </w:rPr>
        <w:t>发挥统筹协调、指导推动作用，完成盐边县桐子林粮油食品站、盐边县自来水公司2户全民所有制企业公司制改革工作，稳慎推进攀枝花盐边国有林保护局改制工作。</w:t>
      </w:r>
    </w:p>
    <w:p w14:paraId="6985B692">
      <w:pPr>
        <w:spacing w:line="560" w:lineRule="exact"/>
        <w:ind w:firstLine="643" w:firstLineChars="200"/>
        <w:rPr>
          <w:rFonts w:eastAsia="仿宋_GB2312"/>
          <w:sz w:val="32"/>
          <w:szCs w:val="32"/>
        </w:rPr>
      </w:pPr>
      <w:r>
        <w:rPr>
          <w:rFonts w:eastAsia="仿宋_GB2312"/>
          <w:b/>
          <w:sz w:val="32"/>
          <w:szCs w:val="32"/>
        </w:rPr>
        <w:t>[财政预决算公开]</w:t>
      </w:r>
      <w:r>
        <w:rPr>
          <w:rFonts w:eastAsia="仿宋_GB2312"/>
          <w:sz w:val="32"/>
          <w:szCs w:val="32"/>
        </w:rPr>
        <w:t>全面完成2021年政府预算、部门预算及“三公”经费预算公开和2020年政府决算、部门决算、“</w:t>
      </w:r>
      <w:bookmarkStart w:id="150" w:name="_GoBack"/>
      <w:r>
        <w:rPr>
          <w:rFonts w:eastAsia="仿宋_GB2312"/>
          <w:sz w:val="32"/>
          <w:szCs w:val="32"/>
        </w:rPr>
        <w:t>三公</w:t>
      </w:r>
      <w:bookmarkEnd w:id="150"/>
      <w:r>
        <w:rPr>
          <w:rFonts w:eastAsia="仿宋_GB2312"/>
          <w:sz w:val="32"/>
          <w:szCs w:val="32"/>
        </w:rPr>
        <w:t>”经费决算公开工作，公开率达100%，提高了预决算透明度，自觉接受公众监督。</w:t>
      </w:r>
    </w:p>
    <w:p w14:paraId="0BAC1F73">
      <w:pPr>
        <w:spacing w:line="560" w:lineRule="exact"/>
        <w:ind w:firstLine="643" w:firstLineChars="200"/>
        <w:rPr>
          <w:rFonts w:eastAsia="仿宋_GB2312"/>
          <w:sz w:val="32"/>
          <w:szCs w:val="32"/>
        </w:rPr>
      </w:pPr>
      <w:r>
        <w:rPr>
          <w:rFonts w:eastAsia="仿宋_GB2312"/>
          <w:b/>
          <w:sz w:val="32"/>
          <w:szCs w:val="32"/>
        </w:rPr>
        <w:t>[盘活存量资金]</w:t>
      </w:r>
      <w:r>
        <w:rPr>
          <w:rFonts w:eastAsia="仿宋_GB2312"/>
          <w:sz w:val="32"/>
          <w:szCs w:val="32"/>
        </w:rPr>
        <w:t>加大财政存量资金清理盘活力度，2021年，全县财政盘活存量资金42,303万元，除统筹用于保基本民生、保基层运转等重点领域投入外，用于消化以前年度“暂付款”5,483万元，全年累计消化“暂付款”9,541万元。</w:t>
      </w:r>
    </w:p>
    <w:p w14:paraId="423B0B42">
      <w:pPr>
        <w:spacing w:line="560" w:lineRule="exact"/>
        <w:ind w:firstLine="643" w:firstLineChars="200"/>
        <w:rPr>
          <w:rFonts w:eastAsia="仿宋_GB2312"/>
          <w:sz w:val="32"/>
          <w:szCs w:val="32"/>
        </w:rPr>
      </w:pPr>
      <w:r>
        <w:rPr>
          <w:rFonts w:eastAsia="仿宋_GB2312"/>
          <w:b/>
          <w:sz w:val="32"/>
          <w:szCs w:val="32"/>
        </w:rPr>
        <w:t>[财政支出绩效考评]</w:t>
      </w:r>
      <w:r>
        <w:rPr>
          <w:rFonts w:eastAsia="仿宋_GB2312"/>
          <w:sz w:val="32"/>
          <w:szCs w:val="32"/>
        </w:rPr>
        <w:t>继续推进全面实施预算绩效管理，不断提升财政资金配置和使用效益。一是完善全面实施预算绩效管理工作制度。2021年印发了《盐边县委托第三方机构参与财政预算绩效管理工作暂行办法》、《关于建立预算绩效管理跟踪问效“两书一函”制度的通知》。二是加强预算绩效事中监控。监控资金额度227,329.92万元。三是组织开展部门整体支出绩效评价，全县部门整体支出自评金额260,229.9万元，其中：项目自评287个、涉及金额55,840.81万元。四是加大重点绩效评价力度，2021年对12个项目开展重点绩效评价，涉及项目资金1.42亿元，涵盖教育、卫生、民生、文化、水利等领域。</w:t>
      </w:r>
    </w:p>
    <w:p w14:paraId="16B047ED">
      <w:pPr>
        <w:spacing w:line="560" w:lineRule="exact"/>
        <w:ind w:firstLine="643" w:firstLineChars="200"/>
        <w:rPr>
          <w:rFonts w:eastAsia="仿宋_GB2312"/>
          <w:b/>
          <w:sz w:val="32"/>
          <w:szCs w:val="32"/>
        </w:rPr>
      </w:pPr>
      <w:r>
        <w:rPr>
          <w:rFonts w:eastAsia="仿宋_GB2312"/>
          <w:b/>
          <w:sz w:val="32"/>
          <w:szCs w:val="32"/>
        </w:rPr>
        <w:t>2.财政收支</w:t>
      </w:r>
    </w:p>
    <w:p w14:paraId="048F84CF">
      <w:pPr>
        <w:spacing w:line="560" w:lineRule="exact"/>
        <w:ind w:firstLine="643" w:firstLineChars="200"/>
        <w:rPr>
          <w:rFonts w:eastAsia="仿宋_GB2312"/>
          <w:sz w:val="32"/>
          <w:szCs w:val="32"/>
        </w:rPr>
      </w:pPr>
      <w:r>
        <w:rPr>
          <w:rFonts w:eastAsia="仿宋_GB2312"/>
          <w:b/>
          <w:sz w:val="32"/>
          <w:szCs w:val="32"/>
        </w:rPr>
        <w:t>[一般公共预算执行情况]</w:t>
      </w:r>
      <w:r>
        <w:rPr>
          <w:rFonts w:eastAsia="仿宋_GB2312"/>
          <w:sz w:val="32"/>
          <w:szCs w:val="32"/>
        </w:rPr>
        <w:t>2021年，一般公共预算收入完成95,294万元，为预算的100.31%，增长24.99%；一般公共预算支出完成204,873万元，为预算的99.94%，增长21.45%。</w:t>
      </w:r>
    </w:p>
    <w:p w14:paraId="5E0A2585">
      <w:pPr>
        <w:spacing w:line="560" w:lineRule="exact"/>
        <w:ind w:firstLine="640" w:firstLineChars="200"/>
        <w:rPr>
          <w:rFonts w:eastAsia="仿宋_GB2312"/>
          <w:sz w:val="32"/>
          <w:szCs w:val="32"/>
        </w:rPr>
      </w:pPr>
      <w:r>
        <w:rPr>
          <w:rFonts w:eastAsia="仿宋_GB2312"/>
          <w:sz w:val="32"/>
          <w:szCs w:val="32"/>
        </w:rPr>
        <w:t>2021年一般公共预算收支平衡情况：当年收入95,294万元，上级财政返还性收入-679万元，一般性转移支付收入89,979万元，专项转移支付收入9,998万元，一般债券转贷收入25,350万元（其中：新增债券9,200万元，再融资债券16,150万元），上年结转2,135万元，动用预算稳定调节基金3,166万元，调入资金21,140万元（其中：政府性基金调入10,000万元、国有资本经营预算调入182万元、其他调入10,958万元），收入总计246,383万元。当年一般公共预算支出204,873万元（其中：县级支出182,275万元、乡镇支出22,598万元），上解上级支出10,311万元，债务还本支出16,150万元，补充预算稳定调节基4,000万元，结转下年支出11,049万元，支出总计246,383万元。实现一般公共预算收支滚动平衡。</w:t>
      </w:r>
    </w:p>
    <w:p w14:paraId="4082BE6A">
      <w:pPr>
        <w:spacing w:line="560" w:lineRule="exact"/>
        <w:ind w:firstLine="643" w:firstLineChars="200"/>
        <w:rPr>
          <w:rFonts w:eastAsia="仿宋_GB2312"/>
          <w:sz w:val="32"/>
          <w:szCs w:val="32"/>
        </w:rPr>
      </w:pPr>
      <w:r>
        <w:rPr>
          <w:rFonts w:eastAsia="仿宋_GB2312"/>
          <w:b/>
          <w:sz w:val="32"/>
          <w:szCs w:val="32"/>
        </w:rPr>
        <w:t>[政府性基金预算执行情况]</w:t>
      </w:r>
      <w:r>
        <w:rPr>
          <w:rFonts w:eastAsia="仿宋_GB2312"/>
          <w:sz w:val="32"/>
          <w:szCs w:val="32"/>
        </w:rPr>
        <w:t>2021年，政府性基金收入完成65,874万元，为预算的100％，增长71.73％。政府性基金支出完成71,447万元，为预算的100％，同比增长84.56％。</w:t>
      </w:r>
    </w:p>
    <w:p w14:paraId="6C97528E">
      <w:pPr>
        <w:spacing w:line="560" w:lineRule="exact"/>
        <w:ind w:firstLine="640" w:firstLineChars="200"/>
        <w:rPr>
          <w:rFonts w:eastAsia="仿宋_GB2312"/>
          <w:sz w:val="32"/>
          <w:szCs w:val="32"/>
        </w:rPr>
      </w:pPr>
      <w:r>
        <w:rPr>
          <w:rFonts w:eastAsia="仿宋_GB2312"/>
          <w:sz w:val="32"/>
          <w:szCs w:val="32"/>
        </w:rPr>
        <w:t>2021年政府性基金收支平衡情况：当年收入65,874万元，上级补助收入5,798万元，专项债券收入31,800万元，加上年结余32万元，收入总计103,504万元。当年政府性基金支出71,447万元（其中：县级支出53,920万元、乡镇支出17,527万元），调出资金10,000万元，年终结余22,057万元，支出总计103,504万元。实现政府性基金预算收支滚动平衡。</w:t>
      </w:r>
    </w:p>
    <w:p w14:paraId="689EE866">
      <w:pPr>
        <w:spacing w:line="560" w:lineRule="exact"/>
        <w:ind w:firstLine="643" w:firstLineChars="200"/>
        <w:rPr>
          <w:rFonts w:eastAsia="仿宋_GB2312"/>
          <w:sz w:val="32"/>
          <w:szCs w:val="32"/>
        </w:rPr>
      </w:pPr>
      <w:r>
        <w:rPr>
          <w:rFonts w:eastAsia="仿宋_GB2312"/>
          <w:b/>
          <w:sz w:val="32"/>
          <w:szCs w:val="32"/>
        </w:rPr>
        <w:t>[国有资本经营预算执行情况]</w:t>
      </w:r>
      <w:r>
        <w:rPr>
          <w:rFonts w:eastAsia="仿宋_GB2312"/>
          <w:sz w:val="32"/>
          <w:szCs w:val="32"/>
        </w:rPr>
        <w:t>2021年，国有资本经营预算收入完成182万元，为预算的100%，增长10%。</w:t>
      </w:r>
    </w:p>
    <w:p w14:paraId="5539D3C5">
      <w:pPr>
        <w:spacing w:line="560" w:lineRule="exact"/>
        <w:ind w:firstLine="640" w:firstLineChars="200"/>
        <w:rPr>
          <w:rFonts w:eastAsia="仿宋_GB2312"/>
          <w:sz w:val="32"/>
          <w:szCs w:val="32"/>
        </w:rPr>
      </w:pPr>
      <w:r>
        <w:rPr>
          <w:rFonts w:eastAsia="仿宋_GB2312"/>
          <w:sz w:val="32"/>
          <w:szCs w:val="32"/>
        </w:rPr>
        <w:t>2021年国有资本经营预算收支平衡情况：当年收入总计182万元。当年支出总计182万元（其中：调出资金182万元），实现收支平衡。（备注：以上数据为财政收支快报数，尚未与省财政厅办理最终结算，数据以省财政厅结算批复为准。）</w:t>
      </w:r>
    </w:p>
    <w:p w14:paraId="1EF1759C">
      <w:pPr>
        <w:spacing w:line="560" w:lineRule="exact"/>
        <w:ind w:firstLine="643" w:firstLineChars="200"/>
        <w:rPr>
          <w:rFonts w:eastAsia="仿宋_GB2312"/>
          <w:sz w:val="32"/>
          <w:szCs w:val="32"/>
        </w:rPr>
      </w:pPr>
      <w:r>
        <w:rPr>
          <w:rFonts w:eastAsia="仿宋_GB2312"/>
          <w:b/>
          <w:sz w:val="32"/>
          <w:szCs w:val="32"/>
        </w:rPr>
        <w:t>[地方政府性债务情况]</w:t>
      </w:r>
      <w:r>
        <w:rPr>
          <w:rFonts w:eastAsia="仿宋_GB2312"/>
          <w:sz w:val="32"/>
          <w:szCs w:val="32"/>
        </w:rPr>
        <w:t xml:space="preserve">2021年盐边县地方政府债务限额为225,261万元，地方政府债务余额为219,378万元。 </w:t>
      </w:r>
    </w:p>
    <w:p w14:paraId="296F018D">
      <w:pPr>
        <w:spacing w:line="560" w:lineRule="exact"/>
        <w:ind w:firstLine="643" w:firstLineChars="200"/>
        <w:rPr>
          <w:rFonts w:eastAsia="仿宋_GB2312"/>
          <w:sz w:val="32"/>
          <w:szCs w:val="32"/>
        </w:rPr>
      </w:pPr>
      <w:r>
        <w:rPr>
          <w:rFonts w:eastAsia="仿宋_GB2312"/>
          <w:b/>
          <w:sz w:val="32"/>
          <w:szCs w:val="32"/>
        </w:rPr>
        <w:t>[重点支出]</w:t>
      </w:r>
      <w:r>
        <w:rPr>
          <w:rFonts w:eastAsia="仿宋_GB2312"/>
          <w:sz w:val="32"/>
          <w:szCs w:val="32"/>
        </w:rPr>
        <w:t>2021年，我县一般公共预算支出完成204,873万元，同口径增长21.45%，增支36185万元。当年民生支出达147,734万元,占一般公共预算支出比重达72.11%，提高1.23个百分点，民生保障更加有力。</w:t>
      </w:r>
    </w:p>
    <w:p w14:paraId="484F8DA9">
      <w:pPr>
        <w:spacing w:line="560" w:lineRule="exact"/>
        <w:ind w:firstLine="640" w:firstLineChars="200"/>
        <w:rPr>
          <w:rFonts w:ascii="仿宋_GB2312" w:eastAsia="仿宋_GB2312"/>
          <w:sz w:val="32"/>
          <w:szCs w:val="32"/>
        </w:rPr>
      </w:pPr>
      <w:r>
        <w:rPr>
          <w:rFonts w:eastAsia="仿宋_GB2312"/>
          <w:sz w:val="32"/>
          <w:szCs w:val="32"/>
        </w:rPr>
        <w:t>重点支出情况：一般公共服务支出22,433万元，占一般公共预算支出10.95%。公共安全支出12,271万元，占一般公共预算支出5.99%。文化旅游体育与传媒支出2,349万元，占一般公共预算支出1.15%。教育支出35,903万元,占一般公共预算支出17.52%。社会保障和就业支出24,655万元,占一般公共预算支出12.03%。卫生健康支出26,342万元, 占一般公共预算支出12.86%。节能环保支出1,440万元，占一般公共预算支出0.7%。城乡社区支出2,101万元，占一般公共预算支出1.03%。农林水支出48,578万元,占一般公共预算支出23.71%。交通运输支出8,919万元，占一般公共预算支出4.35%。住房保障支出8,677万元，占一般公共预算支出4.24%。</w:t>
      </w:r>
      <w:r>
        <w:rPr>
          <w:rFonts w:hint="eastAsia" w:ascii="仿宋_GB2312" w:eastAsia="仿宋_GB2312"/>
          <w:sz w:val="32"/>
          <w:szCs w:val="32"/>
        </w:rPr>
        <w:br w:type="page"/>
      </w:r>
    </w:p>
    <w:p w14:paraId="13BF6889">
      <w:pPr>
        <w:spacing w:line="560" w:lineRule="exact"/>
        <w:ind w:firstLine="640" w:firstLineChars="200"/>
        <w:rPr>
          <w:rFonts w:eastAsia="黑体"/>
          <w:sz w:val="32"/>
          <w:szCs w:val="32"/>
        </w:rPr>
      </w:pPr>
      <w:bookmarkStart w:id="36" w:name="_Toc31561_WPSOffice_Level2"/>
      <w:bookmarkStart w:id="37" w:name="_Toc15396601"/>
      <w:bookmarkStart w:id="38" w:name="_Toc15377200"/>
      <w:r>
        <w:rPr>
          <w:rFonts w:eastAsia="黑体"/>
          <w:sz w:val="32"/>
          <w:szCs w:val="32"/>
        </w:rPr>
        <w:t>二、机构设置</w:t>
      </w:r>
      <w:bookmarkEnd w:id="36"/>
      <w:bookmarkEnd w:id="37"/>
      <w:bookmarkEnd w:id="38"/>
    </w:p>
    <w:p w14:paraId="4260DFEF">
      <w:pPr>
        <w:spacing w:line="560" w:lineRule="exact"/>
        <w:ind w:firstLine="640" w:firstLineChars="200"/>
        <w:rPr>
          <w:rFonts w:eastAsia="仿宋_GB2312"/>
          <w:sz w:val="32"/>
          <w:szCs w:val="32"/>
        </w:rPr>
      </w:pPr>
      <w:r>
        <w:rPr>
          <w:rFonts w:eastAsia="仿宋_GB2312"/>
          <w:sz w:val="32"/>
          <w:szCs w:val="32"/>
        </w:rPr>
        <w:t>盐边县财政局下属二级单位6个，其中行政单位0个，参照公务员法管理的事业单位1个，其他事业单位5个。</w:t>
      </w:r>
    </w:p>
    <w:p w14:paraId="0AA3153E">
      <w:pPr>
        <w:spacing w:line="560" w:lineRule="exact"/>
        <w:ind w:firstLine="640" w:firstLineChars="200"/>
        <w:rPr>
          <w:rFonts w:eastAsia="仿宋_GB2312"/>
          <w:sz w:val="32"/>
          <w:szCs w:val="32"/>
        </w:rPr>
      </w:pPr>
      <w:r>
        <w:rPr>
          <w:rFonts w:eastAsia="仿宋_GB2312"/>
          <w:sz w:val="32"/>
          <w:szCs w:val="32"/>
        </w:rPr>
        <w:t>纳入财政局2021年度部门决算编制范围的二级预算单位包括：</w:t>
      </w:r>
    </w:p>
    <w:p w14:paraId="5D862FF9">
      <w:pPr>
        <w:spacing w:line="560" w:lineRule="exact"/>
        <w:ind w:firstLine="640" w:firstLineChars="200"/>
        <w:rPr>
          <w:rFonts w:eastAsia="仿宋_GB2312"/>
          <w:sz w:val="32"/>
          <w:szCs w:val="32"/>
        </w:rPr>
      </w:pPr>
      <w:bookmarkStart w:id="39" w:name="_Toc15306276"/>
      <w:bookmarkStart w:id="40" w:name="_Toc15377433"/>
      <w:bookmarkStart w:id="41" w:name="_Toc15378449"/>
      <w:bookmarkStart w:id="42" w:name="_Toc15377202"/>
      <w:r>
        <w:rPr>
          <w:rFonts w:eastAsia="仿宋_GB2312"/>
          <w:sz w:val="32"/>
          <w:szCs w:val="32"/>
        </w:rPr>
        <w:t>1.盐边县国有资产投资服务中心</w:t>
      </w:r>
    </w:p>
    <w:bookmarkEnd w:id="39"/>
    <w:bookmarkEnd w:id="40"/>
    <w:bookmarkEnd w:id="41"/>
    <w:bookmarkEnd w:id="42"/>
    <w:p w14:paraId="3633A61E">
      <w:pPr>
        <w:spacing w:line="560" w:lineRule="exact"/>
        <w:ind w:firstLine="640" w:firstLineChars="200"/>
        <w:rPr>
          <w:rFonts w:eastAsia="仿宋_GB2312"/>
          <w:sz w:val="32"/>
          <w:szCs w:val="32"/>
        </w:rPr>
      </w:pPr>
      <w:r>
        <w:rPr>
          <w:rFonts w:eastAsia="仿宋_GB2312"/>
          <w:sz w:val="32"/>
          <w:szCs w:val="32"/>
        </w:rPr>
        <w:t>2.盐边县财政收费票据中心</w:t>
      </w:r>
    </w:p>
    <w:p w14:paraId="6D9EA48B">
      <w:pPr>
        <w:spacing w:line="560" w:lineRule="exact"/>
        <w:ind w:firstLine="640" w:firstLineChars="200"/>
        <w:rPr>
          <w:rFonts w:eastAsia="仿宋_GB2312"/>
          <w:sz w:val="32"/>
          <w:szCs w:val="32"/>
        </w:rPr>
      </w:pPr>
      <w:r>
        <w:rPr>
          <w:rFonts w:eastAsia="仿宋_GB2312"/>
          <w:sz w:val="32"/>
          <w:szCs w:val="32"/>
        </w:rPr>
        <w:t>3.盐边县财政投资评审中心</w:t>
      </w:r>
    </w:p>
    <w:p w14:paraId="756CB6F5">
      <w:pPr>
        <w:spacing w:line="560" w:lineRule="exact"/>
        <w:ind w:firstLine="640" w:firstLineChars="200"/>
        <w:rPr>
          <w:rFonts w:eastAsia="仿宋_GB2312"/>
          <w:sz w:val="32"/>
          <w:szCs w:val="32"/>
        </w:rPr>
      </w:pPr>
      <w:r>
        <w:rPr>
          <w:rFonts w:eastAsia="仿宋_GB2312"/>
          <w:sz w:val="32"/>
          <w:szCs w:val="32"/>
        </w:rPr>
        <w:t>4.盐边县政府外债项目服务中心</w:t>
      </w:r>
    </w:p>
    <w:p w14:paraId="748F0FE9">
      <w:pPr>
        <w:spacing w:line="560" w:lineRule="exact"/>
        <w:ind w:firstLine="640" w:firstLineChars="200"/>
        <w:rPr>
          <w:rFonts w:eastAsia="仿宋_GB2312"/>
          <w:sz w:val="32"/>
          <w:szCs w:val="32"/>
        </w:rPr>
      </w:pPr>
      <w:r>
        <w:rPr>
          <w:rFonts w:eastAsia="仿宋_GB2312"/>
          <w:sz w:val="32"/>
          <w:szCs w:val="32"/>
        </w:rPr>
        <w:t>5.盐边县财政国库支付中心</w:t>
      </w:r>
    </w:p>
    <w:p w14:paraId="547320C9">
      <w:pPr>
        <w:spacing w:line="560" w:lineRule="exact"/>
        <w:ind w:firstLine="640" w:firstLineChars="200"/>
        <w:rPr>
          <w:rFonts w:eastAsia="仿宋_GB2312"/>
          <w:sz w:val="32"/>
          <w:szCs w:val="32"/>
        </w:rPr>
      </w:pPr>
      <w:r>
        <w:rPr>
          <w:rFonts w:eastAsia="仿宋_GB2312"/>
          <w:sz w:val="32"/>
          <w:szCs w:val="32"/>
        </w:rPr>
        <w:t>6.盐边县乡镇财政事务中心</w:t>
      </w:r>
    </w:p>
    <w:p w14:paraId="6FBC0541">
      <w:pPr>
        <w:spacing w:line="560" w:lineRule="exact"/>
        <w:ind w:firstLine="640" w:firstLineChars="200"/>
        <w:rPr>
          <w:rFonts w:eastAsia="仿宋_GB2312"/>
          <w:sz w:val="32"/>
          <w:szCs w:val="32"/>
        </w:rPr>
      </w:pPr>
      <w:r>
        <w:rPr>
          <w:rFonts w:eastAsia="仿宋_GB2312"/>
          <w:sz w:val="32"/>
          <w:szCs w:val="32"/>
        </w:rPr>
        <w:br w:type="page"/>
      </w:r>
    </w:p>
    <w:p w14:paraId="71715A76">
      <w:pPr>
        <w:jc w:val="center"/>
        <w:rPr>
          <w:rFonts w:eastAsia="黑体"/>
          <w:sz w:val="44"/>
          <w:szCs w:val="44"/>
        </w:rPr>
      </w:pPr>
      <w:bookmarkStart w:id="43" w:name="_Toc17175_WPSOffice_Level1"/>
      <w:bookmarkStart w:id="44" w:name="_Toc15377204"/>
      <w:bookmarkStart w:id="45" w:name="_Toc15396602"/>
      <w:r>
        <w:rPr>
          <w:rFonts w:eastAsia="黑体"/>
          <w:sz w:val="44"/>
          <w:szCs w:val="44"/>
        </w:rPr>
        <w:t>第二部分 2021年度部门决算情况说明</w:t>
      </w:r>
      <w:bookmarkEnd w:id="43"/>
      <w:bookmarkEnd w:id="44"/>
      <w:bookmarkEnd w:id="45"/>
    </w:p>
    <w:p w14:paraId="6CDC4206"/>
    <w:p w14:paraId="180FFF10">
      <w:pPr>
        <w:spacing w:line="560" w:lineRule="exact"/>
        <w:ind w:firstLine="640" w:firstLineChars="200"/>
        <w:rPr>
          <w:rFonts w:eastAsia="黑体"/>
          <w:sz w:val="32"/>
          <w:szCs w:val="32"/>
        </w:rPr>
      </w:pPr>
      <w:bookmarkStart w:id="46" w:name="_Toc15396603"/>
      <w:bookmarkStart w:id="47" w:name="_Toc3235_WPSOffice_Level2"/>
      <w:bookmarkStart w:id="48" w:name="_Toc15377205"/>
      <w:r>
        <w:rPr>
          <w:rFonts w:eastAsia="黑体"/>
          <w:sz w:val="32"/>
          <w:szCs w:val="32"/>
        </w:rPr>
        <w:t>一、收入支出决算总体情况说明</w:t>
      </w:r>
      <w:bookmarkEnd w:id="46"/>
      <w:bookmarkEnd w:id="47"/>
      <w:bookmarkEnd w:id="48"/>
    </w:p>
    <w:p w14:paraId="2452677F">
      <w:pPr>
        <w:spacing w:line="560" w:lineRule="exact"/>
        <w:ind w:firstLine="640" w:firstLineChars="200"/>
        <w:rPr>
          <w:rFonts w:eastAsia="仿宋_GB2312"/>
          <w:sz w:val="32"/>
          <w:szCs w:val="32"/>
        </w:rPr>
      </w:pPr>
      <w:r>
        <w:rPr>
          <w:rFonts w:eastAsia="仿宋_GB2312"/>
          <w:sz w:val="32"/>
          <w:szCs w:val="32"/>
        </w:rPr>
        <w:t>2021年度收、支总计2023.66万元。与2020年相比，收、支总计增加639.63万元，增长46.21%。主要变动原因是招录新增人员，人员经费增加及办公楼维修改造等项目支出经费增加。</w:t>
      </w:r>
    </w:p>
    <w:p w14:paraId="739B6B2E">
      <w:r>
        <w:drawing>
          <wp:inline distT="0" distB="0" distL="114300" distR="114300">
            <wp:extent cx="5271135" cy="3058160"/>
            <wp:effectExtent l="4445" t="4445" r="20320" b="23495"/>
            <wp:docPr id="23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42C851">
      <w:pPr>
        <w:spacing w:line="560" w:lineRule="exact"/>
        <w:ind w:firstLine="640" w:firstLineChars="200"/>
        <w:rPr>
          <w:rFonts w:ascii="仿宋_GB2312" w:eastAsia="仿宋_GB2312"/>
          <w:sz w:val="32"/>
          <w:szCs w:val="32"/>
        </w:rPr>
      </w:pPr>
      <w:bookmarkStart w:id="49" w:name="_Toc24689_WPSOffice_Level2"/>
      <w:bookmarkStart w:id="50" w:name="_Toc15396604"/>
      <w:bookmarkStart w:id="51" w:name="_Toc15377206"/>
    </w:p>
    <w:p w14:paraId="1939000B">
      <w:pPr>
        <w:spacing w:line="560" w:lineRule="exact"/>
        <w:ind w:firstLine="640" w:firstLineChars="200"/>
        <w:rPr>
          <w:rFonts w:eastAsia="黑体"/>
          <w:sz w:val="32"/>
          <w:szCs w:val="32"/>
        </w:rPr>
      </w:pPr>
      <w:r>
        <w:rPr>
          <w:rFonts w:eastAsia="黑体"/>
          <w:sz w:val="32"/>
          <w:szCs w:val="32"/>
        </w:rPr>
        <w:t>二、收入决算情况说明</w:t>
      </w:r>
      <w:bookmarkEnd w:id="49"/>
      <w:bookmarkEnd w:id="50"/>
      <w:bookmarkEnd w:id="51"/>
    </w:p>
    <w:p w14:paraId="1B89FC66">
      <w:pPr>
        <w:spacing w:line="560" w:lineRule="exact"/>
        <w:ind w:firstLine="640" w:firstLineChars="200"/>
        <w:rPr>
          <w:rFonts w:eastAsia="仿宋_GB2312"/>
          <w:sz w:val="32"/>
          <w:szCs w:val="32"/>
        </w:rPr>
      </w:pPr>
      <w:r>
        <w:rPr>
          <w:rFonts w:eastAsia="仿宋_GB2312"/>
          <w:sz w:val="32"/>
          <w:szCs w:val="32"/>
        </w:rPr>
        <w:t>2021年本年收入合计1543.21万元，其中：一般公共预算财政拨款收入1515.21万元，占98.19%；政府性基金预算财政拨款收入0万元，占0%；国有资本经营预算财政拨款收入0万元，占0%；上级补助收入0万元，占0%；事业收入0万元，占0%；经营收入0万元，占0%；附属单位上缴收入0万元，占0%；其他收入28.00万元，占1.81%。</w:t>
      </w:r>
    </w:p>
    <w:p w14:paraId="6C8A5CA1">
      <w:pPr>
        <w:rPr>
          <w:rFonts w:ascii="仿宋_GB2312" w:eastAsia="仿宋_GB2312"/>
          <w:sz w:val="32"/>
          <w:szCs w:val="32"/>
        </w:rPr>
      </w:pPr>
      <w:r>
        <w:drawing>
          <wp:inline distT="0" distB="0" distL="114300" distR="114300">
            <wp:extent cx="5499735" cy="2630805"/>
            <wp:effectExtent l="4445" t="4445" r="20320" b="12700"/>
            <wp:docPr id="23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437F70">
      <w:pPr>
        <w:pStyle w:val="2"/>
      </w:pPr>
    </w:p>
    <w:p w14:paraId="777B2B4C">
      <w:pPr>
        <w:spacing w:line="560" w:lineRule="exact"/>
        <w:ind w:firstLine="640" w:firstLineChars="200"/>
        <w:rPr>
          <w:rFonts w:eastAsia="黑体"/>
          <w:sz w:val="32"/>
          <w:szCs w:val="32"/>
        </w:rPr>
      </w:pPr>
      <w:bookmarkStart w:id="52" w:name="_Toc15396605"/>
      <w:bookmarkStart w:id="53" w:name="_Toc15377207"/>
      <w:bookmarkStart w:id="54" w:name="_Toc27752_WPSOffice_Level2"/>
      <w:r>
        <w:rPr>
          <w:rFonts w:eastAsia="黑体"/>
          <w:sz w:val="32"/>
          <w:szCs w:val="32"/>
        </w:rPr>
        <w:t>三、支出决算情况说明</w:t>
      </w:r>
      <w:bookmarkEnd w:id="52"/>
      <w:bookmarkEnd w:id="53"/>
      <w:bookmarkEnd w:id="54"/>
    </w:p>
    <w:p w14:paraId="5E15698B">
      <w:pPr>
        <w:spacing w:line="560" w:lineRule="exact"/>
        <w:ind w:firstLine="640" w:firstLineChars="200"/>
        <w:rPr>
          <w:rFonts w:eastAsia="仿宋_GB2312"/>
          <w:sz w:val="32"/>
          <w:szCs w:val="32"/>
        </w:rPr>
      </w:pPr>
      <w:r>
        <w:rPr>
          <w:rFonts w:eastAsia="仿宋_GB2312"/>
          <w:sz w:val="32"/>
          <w:szCs w:val="32"/>
        </w:rPr>
        <w:t>2021年本年支出合计2023.66万元，其中：基本支出1100.29万元，占54.37%；项目支出923.37万元，占45.63%；上缴上级支出0万元，占0%；经营支出0万元，占0%；对附属单位补助支出0万元，占0%。</w:t>
      </w:r>
    </w:p>
    <w:p w14:paraId="56383B5C">
      <w:pPr>
        <w:pStyle w:val="2"/>
      </w:pPr>
      <w:r>
        <w:drawing>
          <wp:inline distT="0" distB="0" distL="114300" distR="114300">
            <wp:extent cx="5272405" cy="2654300"/>
            <wp:effectExtent l="4445" t="4445" r="19050" b="8255"/>
            <wp:docPr id="23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6C7780">
      <w:pPr>
        <w:spacing w:line="560" w:lineRule="exact"/>
        <w:ind w:firstLine="640" w:firstLineChars="200"/>
        <w:rPr>
          <w:rFonts w:eastAsia="黑体"/>
          <w:sz w:val="32"/>
          <w:szCs w:val="32"/>
        </w:rPr>
      </w:pPr>
      <w:bookmarkStart w:id="55" w:name="_Toc15396606"/>
      <w:bookmarkStart w:id="56" w:name="_Toc15377208"/>
      <w:bookmarkStart w:id="57" w:name="_Toc5525_WPSOffice_Level2"/>
      <w:r>
        <w:rPr>
          <w:rFonts w:eastAsia="黑体"/>
          <w:sz w:val="32"/>
          <w:szCs w:val="32"/>
        </w:rPr>
        <w:t>四、财政拨款收入支出决算总体情况说明</w:t>
      </w:r>
      <w:bookmarkEnd w:id="55"/>
      <w:bookmarkEnd w:id="56"/>
      <w:bookmarkEnd w:id="57"/>
    </w:p>
    <w:p w14:paraId="3A79DAC6">
      <w:pPr>
        <w:spacing w:line="560" w:lineRule="exact"/>
        <w:ind w:firstLine="640" w:firstLineChars="200"/>
        <w:rPr>
          <w:rFonts w:eastAsia="仿宋_GB2312"/>
          <w:sz w:val="32"/>
          <w:szCs w:val="32"/>
        </w:rPr>
      </w:pPr>
      <w:r>
        <w:rPr>
          <w:rFonts w:eastAsia="仿宋_GB2312"/>
          <w:sz w:val="32"/>
          <w:szCs w:val="32"/>
        </w:rPr>
        <w:t>2021年财政拨款收、支总计1995.66万元。与2020年相比，财政拨款收、支总计增加611.63万元，增长44.19%。主要变动原因是招录新增人员，人员经费增加及办公楼维修改造等项目支出经费增加。</w:t>
      </w:r>
    </w:p>
    <w:p w14:paraId="4C520EC7">
      <w:pPr>
        <w:pStyle w:val="2"/>
      </w:pPr>
    </w:p>
    <w:p w14:paraId="42A00A97">
      <w:pPr>
        <w:pStyle w:val="2"/>
      </w:pPr>
      <w:r>
        <w:drawing>
          <wp:inline distT="0" distB="0" distL="114300" distR="114300">
            <wp:extent cx="4940300" cy="2639695"/>
            <wp:effectExtent l="4445" t="4445" r="8255" b="22860"/>
            <wp:docPr id="233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B5258D">
      <w:pPr>
        <w:spacing w:line="580" w:lineRule="exact"/>
        <w:rPr>
          <w:rFonts w:ascii="仿宋_GB2312" w:eastAsia="仿宋_GB2312"/>
          <w:sz w:val="32"/>
          <w:szCs w:val="32"/>
        </w:rPr>
      </w:pPr>
      <w:bookmarkStart w:id="58" w:name="_Toc15377209"/>
      <w:bookmarkStart w:id="59" w:name="_Toc18756_WPSOffice_Level2"/>
      <w:bookmarkStart w:id="60" w:name="_Toc15396607"/>
    </w:p>
    <w:p w14:paraId="7FC9C76B">
      <w:pPr>
        <w:spacing w:line="580" w:lineRule="exact"/>
        <w:ind w:firstLine="640" w:firstLineChars="200"/>
        <w:rPr>
          <w:rFonts w:eastAsia="黑体"/>
          <w:sz w:val="32"/>
          <w:szCs w:val="32"/>
        </w:rPr>
      </w:pPr>
      <w:r>
        <w:rPr>
          <w:rFonts w:eastAsia="黑体"/>
          <w:sz w:val="32"/>
          <w:szCs w:val="32"/>
        </w:rPr>
        <w:t>五、一般公共预算财政拨款支出决算情况说明</w:t>
      </w:r>
      <w:bookmarkEnd w:id="58"/>
      <w:bookmarkEnd w:id="59"/>
      <w:bookmarkEnd w:id="60"/>
    </w:p>
    <w:p w14:paraId="133907C9">
      <w:pPr>
        <w:spacing w:line="580" w:lineRule="exact"/>
        <w:ind w:firstLine="640" w:firstLineChars="200"/>
        <w:rPr>
          <w:rFonts w:eastAsia="楷体_GB2312"/>
          <w:sz w:val="32"/>
          <w:szCs w:val="32"/>
        </w:rPr>
      </w:pPr>
      <w:bookmarkStart w:id="61" w:name="_Toc15377210"/>
      <w:r>
        <w:rPr>
          <w:rFonts w:eastAsia="楷体_GB2312"/>
          <w:sz w:val="32"/>
          <w:szCs w:val="32"/>
        </w:rPr>
        <w:t>（一）一般公共预算财政拨款支出决算总体情况</w:t>
      </w:r>
      <w:bookmarkEnd w:id="61"/>
      <w:r>
        <w:rPr>
          <w:rFonts w:eastAsia="楷体_GB2312"/>
          <w:sz w:val="32"/>
          <w:szCs w:val="32"/>
        </w:rPr>
        <w:t>。</w:t>
      </w:r>
    </w:p>
    <w:p w14:paraId="7553B6CB">
      <w:pPr>
        <w:spacing w:line="580" w:lineRule="exact"/>
        <w:ind w:firstLine="640" w:firstLineChars="200"/>
        <w:rPr>
          <w:rFonts w:eastAsia="仿宋_GB2312"/>
          <w:sz w:val="32"/>
          <w:szCs w:val="32"/>
        </w:rPr>
      </w:pPr>
      <w:r>
        <w:rPr>
          <w:rFonts w:eastAsia="仿宋_GB2312"/>
          <w:sz w:val="32"/>
          <w:szCs w:val="32"/>
        </w:rPr>
        <w:t>2021年一般公共预算财政拨款支出1995.66万元，占本年支出合计的</w:t>
      </w:r>
      <w:r>
        <w:rPr>
          <w:rFonts w:hint="eastAsia" w:eastAsia="仿宋_GB2312"/>
          <w:sz w:val="32"/>
          <w:szCs w:val="32"/>
        </w:rPr>
        <w:t>98.62</w:t>
      </w:r>
      <w:r>
        <w:rPr>
          <w:rFonts w:eastAsia="仿宋_GB2312"/>
          <w:sz w:val="32"/>
          <w:szCs w:val="32"/>
        </w:rPr>
        <w:t>%。与2020年相比，一般公共预算财政拨款支出增加611.63万元，增长44.19%。主要变动原因是招录新增人员，人员经费增加及办公楼维修改造等项目支出经费增加。</w:t>
      </w:r>
    </w:p>
    <w:p w14:paraId="5363DECB">
      <w:pPr>
        <w:spacing w:line="600" w:lineRule="exact"/>
        <w:rPr>
          <w:rFonts w:ascii="仿宋" w:hAnsi="仿宋" w:eastAsia="仿宋"/>
          <w:sz w:val="32"/>
          <w:szCs w:val="32"/>
        </w:rPr>
      </w:pPr>
    </w:p>
    <w:p w14:paraId="6F51580C">
      <w:pPr>
        <w:rPr>
          <w:rFonts w:ascii="仿宋" w:hAnsi="仿宋" w:eastAsia="仿宋"/>
          <w:sz w:val="32"/>
          <w:szCs w:val="32"/>
        </w:rPr>
      </w:pPr>
    </w:p>
    <w:p w14:paraId="69D6A780">
      <w:pPr>
        <w:pStyle w:val="2"/>
      </w:pPr>
      <w:r>
        <w:drawing>
          <wp:inline distT="0" distB="0" distL="114300" distR="114300">
            <wp:extent cx="5271135" cy="2699385"/>
            <wp:effectExtent l="19050" t="0" r="24765" b="5715"/>
            <wp:docPr id="23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3EFF8F">
      <w:pPr>
        <w:spacing w:line="560" w:lineRule="exact"/>
        <w:ind w:firstLine="640" w:firstLineChars="200"/>
        <w:rPr>
          <w:rFonts w:eastAsia="楷体_GB2312"/>
          <w:sz w:val="32"/>
          <w:szCs w:val="32"/>
        </w:rPr>
      </w:pPr>
      <w:bookmarkStart w:id="62" w:name="_Toc15377211"/>
      <w:r>
        <w:rPr>
          <w:rFonts w:eastAsia="楷体_GB2312"/>
          <w:sz w:val="32"/>
          <w:szCs w:val="32"/>
        </w:rPr>
        <w:t>（二）一般公共预算财政拨款支出决算结构情况</w:t>
      </w:r>
      <w:bookmarkEnd w:id="62"/>
      <w:r>
        <w:rPr>
          <w:rFonts w:eastAsia="楷体_GB2312"/>
          <w:sz w:val="32"/>
          <w:szCs w:val="32"/>
        </w:rPr>
        <w:t>。</w:t>
      </w:r>
    </w:p>
    <w:p w14:paraId="047417BF">
      <w:pPr>
        <w:spacing w:line="560" w:lineRule="exact"/>
        <w:ind w:firstLine="640" w:firstLineChars="200"/>
        <w:rPr>
          <w:rFonts w:eastAsia="仿宋_GB2312"/>
          <w:sz w:val="32"/>
          <w:szCs w:val="32"/>
        </w:rPr>
      </w:pPr>
      <w:r>
        <w:rPr>
          <w:rFonts w:eastAsia="仿宋_GB2312"/>
          <w:sz w:val="32"/>
          <w:szCs w:val="32"/>
        </w:rPr>
        <w:t>2021年一般公共预算财政拨款支出1995.66万元，主要用于以下方面:一般公共服务（类）支出1662.42万元，占83.31%；社会保障和就业（类）支出139.06万元，占6.97%；卫生健康支出（类）63.56万元，占3.18%；农林水支出（类）支出2.00万元，占0.10%；住房保障支出（类）92.8万元，占4.65%；其他支出（类）35.81万元，占1.79%。</w:t>
      </w:r>
    </w:p>
    <w:p w14:paraId="35F2ADE4">
      <w:pPr>
        <w:pStyle w:val="2"/>
        <w:rPr>
          <w:rFonts w:ascii="仿宋" w:hAnsi="仿宋" w:eastAsia="仿宋"/>
          <w:sz w:val="32"/>
          <w:szCs w:val="32"/>
        </w:rPr>
      </w:pPr>
      <w:r>
        <w:drawing>
          <wp:inline distT="0" distB="0" distL="114300" distR="114300">
            <wp:extent cx="5268595" cy="3237865"/>
            <wp:effectExtent l="4445" t="4445" r="22860" b="15240"/>
            <wp:docPr id="23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D11591">
      <w:pPr>
        <w:pStyle w:val="2"/>
      </w:pPr>
    </w:p>
    <w:p w14:paraId="20CE237E">
      <w:pPr>
        <w:spacing w:line="560" w:lineRule="exact"/>
        <w:ind w:firstLine="640" w:firstLineChars="200"/>
        <w:rPr>
          <w:rFonts w:eastAsia="楷体_GB2312"/>
          <w:sz w:val="32"/>
          <w:szCs w:val="32"/>
        </w:rPr>
      </w:pPr>
      <w:bookmarkStart w:id="63" w:name="_Toc15377212"/>
      <w:r>
        <w:rPr>
          <w:rFonts w:eastAsia="楷体_GB2312"/>
          <w:sz w:val="32"/>
          <w:szCs w:val="32"/>
        </w:rPr>
        <w:t>（三）一般公共预算财政拨款支出决算具体情况</w:t>
      </w:r>
      <w:bookmarkEnd w:id="63"/>
      <w:r>
        <w:rPr>
          <w:rFonts w:eastAsia="楷体_GB2312"/>
          <w:sz w:val="32"/>
          <w:szCs w:val="32"/>
        </w:rPr>
        <w:t>。</w:t>
      </w:r>
    </w:p>
    <w:p w14:paraId="02028760">
      <w:pPr>
        <w:spacing w:line="560" w:lineRule="exact"/>
        <w:ind w:firstLine="640" w:firstLineChars="200"/>
        <w:rPr>
          <w:rFonts w:eastAsia="仿宋_GB2312"/>
          <w:sz w:val="32"/>
          <w:szCs w:val="32"/>
        </w:rPr>
      </w:pPr>
      <w:bookmarkStart w:id="64" w:name="_Toc15377213"/>
      <w:bookmarkStart w:id="65" w:name="_Toc15378460"/>
      <w:bookmarkStart w:id="66" w:name="_Toc15377444"/>
      <w:r>
        <w:rPr>
          <w:rFonts w:eastAsia="仿宋_GB2312"/>
          <w:sz w:val="32"/>
          <w:szCs w:val="32"/>
        </w:rPr>
        <w:t>2021年一般公共预算支出决算数为1995.66万元，完成预算100%。其中：</w:t>
      </w:r>
      <w:bookmarkEnd w:id="64"/>
      <w:bookmarkEnd w:id="65"/>
      <w:bookmarkEnd w:id="66"/>
    </w:p>
    <w:p w14:paraId="17F18DAB">
      <w:pPr>
        <w:spacing w:line="560" w:lineRule="exact"/>
        <w:ind w:firstLine="643" w:firstLineChars="200"/>
        <w:rPr>
          <w:rFonts w:eastAsia="仿宋_GB2312"/>
          <w:b/>
          <w:sz w:val="32"/>
          <w:szCs w:val="32"/>
        </w:rPr>
      </w:pPr>
      <w:r>
        <w:rPr>
          <w:rFonts w:eastAsia="仿宋_GB2312"/>
          <w:b/>
          <w:sz w:val="32"/>
          <w:szCs w:val="32"/>
        </w:rPr>
        <w:t>1.一般公共服务（类）财政事务支出（款）</w:t>
      </w:r>
    </w:p>
    <w:p w14:paraId="49FEA37D">
      <w:pPr>
        <w:spacing w:line="560" w:lineRule="exact"/>
        <w:ind w:firstLine="643" w:firstLineChars="200"/>
        <w:rPr>
          <w:rFonts w:eastAsia="仿宋_GB2312"/>
          <w:sz w:val="32"/>
          <w:szCs w:val="32"/>
        </w:rPr>
      </w:pPr>
      <w:r>
        <w:rPr>
          <w:rFonts w:eastAsia="仿宋_GB2312"/>
          <w:b/>
          <w:sz w:val="32"/>
          <w:szCs w:val="32"/>
        </w:rPr>
        <w:t>①行政运行:</w:t>
      </w:r>
      <w:r>
        <w:rPr>
          <w:rFonts w:eastAsia="仿宋_GB2312"/>
          <w:sz w:val="32"/>
          <w:szCs w:val="32"/>
        </w:rPr>
        <w:t>支出决算为524.59万元，完成预算100%，决算数等于预算数。</w:t>
      </w:r>
    </w:p>
    <w:p w14:paraId="1599B0AB">
      <w:pPr>
        <w:spacing w:line="560" w:lineRule="exact"/>
        <w:ind w:firstLine="643" w:firstLineChars="200"/>
        <w:rPr>
          <w:rFonts w:eastAsia="仿宋_GB2312"/>
          <w:sz w:val="32"/>
          <w:szCs w:val="32"/>
        </w:rPr>
      </w:pPr>
      <w:r>
        <w:rPr>
          <w:rFonts w:eastAsia="仿宋_GB2312"/>
          <w:b/>
          <w:sz w:val="32"/>
          <w:szCs w:val="32"/>
        </w:rPr>
        <w:t>②事业运行：</w:t>
      </w:r>
      <w:r>
        <w:rPr>
          <w:rFonts w:eastAsia="仿宋_GB2312"/>
          <w:sz w:val="32"/>
          <w:szCs w:val="32"/>
        </w:rPr>
        <w:t>支出决算为280.28万元，完成预算100%，决算数等于预算数。</w:t>
      </w:r>
    </w:p>
    <w:p w14:paraId="64B0A80B">
      <w:pPr>
        <w:spacing w:line="560" w:lineRule="exact"/>
        <w:ind w:firstLine="643" w:firstLineChars="200"/>
        <w:rPr>
          <w:rFonts w:eastAsia="仿宋_GB2312"/>
          <w:sz w:val="32"/>
          <w:szCs w:val="32"/>
        </w:rPr>
      </w:pPr>
      <w:r>
        <w:rPr>
          <w:rFonts w:eastAsia="仿宋_GB2312"/>
          <w:b/>
          <w:sz w:val="32"/>
          <w:szCs w:val="32"/>
        </w:rPr>
        <w:t>③一般行政管理事务：</w:t>
      </w:r>
      <w:r>
        <w:rPr>
          <w:rFonts w:eastAsia="仿宋_GB2312"/>
          <w:sz w:val="32"/>
          <w:szCs w:val="32"/>
        </w:rPr>
        <w:t>支出决算为127.49万元，完成预算100%，决算数等于预算数。</w:t>
      </w:r>
    </w:p>
    <w:p w14:paraId="52F8269F">
      <w:pPr>
        <w:spacing w:line="560" w:lineRule="exact"/>
        <w:ind w:firstLine="643" w:firstLineChars="200"/>
        <w:rPr>
          <w:rFonts w:eastAsia="仿宋_GB2312"/>
          <w:sz w:val="32"/>
          <w:szCs w:val="32"/>
        </w:rPr>
      </w:pPr>
      <w:r>
        <w:rPr>
          <w:rFonts w:eastAsia="仿宋_GB2312"/>
          <w:b/>
          <w:sz w:val="32"/>
          <w:szCs w:val="32"/>
        </w:rPr>
        <w:t>④信息化建设：</w:t>
      </w:r>
      <w:r>
        <w:rPr>
          <w:rFonts w:eastAsia="仿宋_GB2312"/>
          <w:sz w:val="32"/>
          <w:szCs w:val="32"/>
        </w:rPr>
        <w:t>支出决算为311.48万元，完成预算100%，决算数等于预算数。</w:t>
      </w:r>
    </w:p>
    <w:p w14:paraId="74E89AB1">
      <w:pPr>
        <w:spacing w:line="560" w:lineRule="exact"/>
        <w:ind w:firstLine="643" w:firstLineChars="200"/>
        <w:rPr>
          <w:rFonts w:eastAsia="仿宋_GB2312"/>
          <w:sz w:val="32"/>
          <w:szCs w:val="32"/>
        </w:rPr>
      </w:pPr>
      <w:r>
        <w:rPr>
          <w:rFonts w:eastAsia="仿宋_GB2312"/>
          <w:b/>
          <w:sz w:val="32"/>
          <w:szCs w:val="32"/>
        </w:rPr>
        <w:t>⑤财政委托业务支出：</w:t>
      </w:r>
      <w:r>
        <w:rPr>
          <w:rFonts w:eastAsia="仿宋_GB2312"/>
          <w:sz w:val="32"/>
          <w:szCs w:val="32"/>
        </w:rPr>
        <w:t>支出决算为396.36万元，完成预算100%，决算数等于预算数。</w:t>
      </w:r>
    </w:p>
    <w:p w14:paraId="256649D0">
      <w:pPr>
        <w:spacing w:line="560" w:lineRule="exact"/>
        <w:ind w:firstLine="643" w:firstLineChars="200"/>
        <w:rPr>
          <w:rFonts w:eastAsia="仿宋_GB2312"/>
          <w:sz w:val="32"/>
          <w:szCs w:val="32"/>
        </w:rPr>
      </w:pPr>
      <w:r>
        <w:rPr>
          <w:rFonts w:eastAsia="仿宋_GB2312"/>
          <w:b/>
          <w:sz w:val="32"/>
          <w:szCs w:val="32"/>
        </w:rPr>
        <w:t>⑥其他财政事务支出：</w:t>
      </w:r>
      <w:r>
        <w:rPr>
          <w:rFonts w:eastAsia="仿宋_GB2312"/>
          <w:sz w:val="32"/>
          <w:szCs w:val="32"/>
        </w:rPr>
        <w:t>支出决算为20.23万元，完成预算100%，决算数等于预算数。</w:t>
      </w:r>
    </w:p>
    <w:p w14:paraId="5BA565AF">
      <w:pPr>
        <w:spacing w:line="560" w:lineRule="exact"/>
        <w:ind w:firstLine="643" w:firstLineChars="200"/>
        <w:rPr>
          <w:rFonts w:eastAsia="仿宋_GB2312"/>
          <w:sz w:val="32"/>
          <w:szCs w:val="32"/>
        </w:rPr>
      </w:pPr>
      <w:r>
        <w:rPr>
          <w:rFonts w:eastAsia="仿宋_GB2312"/>
          <w:b/>
          <w:sz w:val="32"/>
          <w:szCs w:val="32"/>
        </w:rPr>
        <w:t>2.一般公共服务（类）统计信息事务支出（款）专项统计业务（项）：</w:t>
      </w:r>
      <w:r>
        <w:rPr>
          <w:rFonts w:eastAsia="仿宋_GB2312"/>
          <w:sz w:val="32"/>
          <w:szCs w:val="32"/>
        </w:rPr>
        <w:t>支出决算为2万元，完成预算100%，决算数等于预算数。</w:t>
      </w:r>
    </w:p>
    <w:p w14:paraId="5A0D5873">
      <w:pPr>
        <w:spacing w:line="560" w:lineRule="exact"/>
        <w:ind w:firstLine="643" w:firstLineChars="200"/>
        <w:rPr>
          <w:rFonts w:eastAsia="仿宋_GB2312"/>
          <w:b/>
          <w:sz w:val="32"/>
          <w:szCs w:val="32"/>
        </w:rPr>
      </w:pPr>
      <w:r>
        <w:rPr>
          <w:rFonts w:eastAsia="仿宋_GB2312"/>
          <w:b/>
          <w:sz w:val="32"/>
          <w:szCs w:val="32"/>
        </w:rPr>
        <w:t xml:space="preserve">3.社会保障和就业（类）行政事业单位养老支出（款）  </w:t>
      </w:r>
    </w:p>
    <w:p w14:paraId="0EEE3CDB">
      <w:pPr>
        <w:spacing w:line="560" w:lineRule="exact"/>
        <w:ind w:firstLine="643" w:firstLineChars="200"/>
        <w:rPr>
          <w:rFonts w:eastAsia="仿宋_GB2312"/>
          <w:sz w:val="32"/>
          <w:szCs w:val="32"/>
        </w:rPr>
      </w:pPr>
      <w:r>
        <w:rPr>
          <w:rFonts w:eastAsia="仿宋_GB2312"/>
          <w:b/>
          <w:sz w:val="32"/>
          <w:szCs w:val="32"/>
        </w:rPr>
        <w:t>①行政单位离退休:</w:t>
      </w:r>
      <w:r>
        <w:rPr>
          <w:rFonts w:eastAsia="仿宋_GB2312"/>
          <w:sz w:val="32"/>
          <w:szCs w:val="32"/>
        </w:rPr>
        <w:t>支出决算为58.97万元，完成预算100%，决算数等于预算数。</w:t>
      </w:r>
    </w:p>
    <w:p w14:paraId="1476BB76">
      <w:pPr>
        <w:spacing w:line="560" w:lineRule="exact"/>
        <w:ind w:firstLine="643" w:firstLineChars="200"/>
        <w:rPr>
          <w:rFonts w:eastAsia="仿宋_GB2312"/>
          <w:sz w:val="32"/>
          <w:szCs w:val="32"/>
        </w:rPr>
      </w:pPr>
      <w:r>
        <w:rPr>
          <w:rFonts w:eastAsia="仿宋_GB2312"/>
          <w:b/>
          <w:sz w:val="32"/>
          <w:szCs w:val="32"/>
        </w:rPr>
        <w:t>②机关事业单位基本养老保险缴费支出：</w:t>
      </w:r>
      <w:r>
        <w:rPr>
          <w:rFonts w:eastAsia="仿宋_GB2312"/>
          <w:sz w:val="32"/>
          <w:szCs w:val="32"/>
        </w:rPr>
        <w:t>支出决算为76.67万元，完成预算100%，决算数等于预算数。</w:t>
      </w:r>
    </w:p>
    <w:p w14:paraId="23521A54">
      <w:pPr>
        <w:spacing w:line="560" w:lineRule="exact"/>
        <w:ind w:firstLine="643" w:firstLineChars="200"/>
        <w:rPr>
          <w:rFonts w:eastAsia="仿宋_GB2312"/>
          <w:sz w:val="32"/>
          <w:szCs w:val="32"/>
        </w:rPr>
      </w:pPr>
      <w:r>
        <w:rPr>
          <w:rFonts w:eastAsia="仿宋_GB2312"/>
          <w:b/>
          <w:sz w:val="32"/>
          <w:szCs w:val="32"/>
        </w:rPr>
        <w:t>4.社会保障和就业（类）抚恤（款）伤残抚恤（项）：</w:t>
      </w:r>
      <w:r>
        <w:rPr>
          <w:rFonts w:eastAsia="仿宋_GB2312"/>
          <w:sz w:val="32"/>
          <w:szCs w:val="32"/>
        </w:rPr>
        <w:t>支出决算为3.42万元，完成预算100%，决算数等于预算数。</w:t>
      </w:r>
    </w:p>
    <w:p w14:paraId="49291924">
      <w:pPr>
        <w:spacing w:line="560" w:lineRule="exact"/>
        <w:ind w:firstLine="643" w:firstLineChars="200"/>
        <w:rPr>
          <w:rFonts w:eastAsia="仿宋_GB2312"/>
          <w:sz w:val="32"/>
          <w:szCs w:val="32"/>
        </w:rPr>
      </w:pPr>
      <w:r>
        <w:rPr>
          <w:rFonts w:eastAsia="仿宋_GB2312"/>
          <w:b/>
          <w:sz w:val="32"/>
          <w:szCs w:val="32"/>
        </w:rPr>
        <w:t>5.住房保障支出（类）住房改革支出（款）住房公积金（项）：</w:t>
      </w:r>
      <w:r>
        <w:rPr>
          <w:rFonts w:eastAsia="仿宋_GB2312"/>
          <w:sz w:val="32"/>
          <w:szCs w:val="32"/>
        </w:rPr>
        <w:t>支出决算为92.8万元，完成预算100%，决算数等于预算数。</w:t>
      </w:r>
    </w:p>
    <w:p w14:paraId="7A72EB91">
      <w:pPr>
        <w:spacing w:line="560" w:lineRule="exact"/>
        <w:ind w:firstLine="643" w:firstLineChars="200"/>
        <w:rPr>
          <w:rFonts w:eastAsia="仿宋_GB2312"/>
          <w:sz w:val="32"/>
          <w:szCs w:val="32"/>
        </w:rPr>
      </w:pPr>
      <w:r>
        <w:rPr>
          <w:rFonts w:eastAsia="仿宋_GB2312"/>
          <w:b/>
          <w:sz w:val="32"/>
          <w:szCs w:val="32"/>
        </w:rPr>
        <w:t>6.农林水支出（类）扶贫（款）其他扶贫支出（项）：</w:t>
      </w:r>
      <w:r>
        <w:rPr>
          <w:rFonts w:eastAsia="仿宋_GB2312"/>
          <w:sz w:val="32"/>
          <w:szCs w:val="32"/>
        </w:rPr>
        <w:t>支出决算为2万元，完成预算100%，决算数等于预算数。</w:t>
      </w:r>
    </w:p>
    <w:p w14:paraId="199BD5EF">
      <w:pPr>
        <w:spacing w:line="560" w:lineRule="exact"/>
        <w:ind w:firstLine="643" w:firstLineChars="200"/>
        <w:rPr>
          <w:rFonts w:eastAsia="仿宋_GB2312"/>
          <w:b/>
          <w:sz w:val="32"/>
          <w:szCs w:val="32"/>
        </w:rPr>
      </w:pPr>
      <w:r>
        <w:rPr>
          <w:rFonts w:eastAsia="仿宋_GB2312"/>
          <w:b/>
          <w:sz w:val="32"/>
          <w:szCs w:val="32"/>
        </w:rPr>
        <w:t>7.卫生健康支出（类）行政事业单位医疗（款）：</w:t>
      </w:r>
    </w:p>
    <w:p w14:paraId="205D0501">
      <w:pPr>
        <w:spacing w:line="560" w:lineRule="exact"/>
        <w:ind w:firstLine="643" w:firstLineChars="200"/>
        <w:rPr>
          <w:rFonts w:eastAsia="仿宋_GB2312"/>
          <w:sz w:val="32"/>
          <w:szCs w:val="32"/>
        </w:rPr>
      </w:pPr>
      <w:r>
        <w:rPr>
          <w:rFonts w:eastAsia="仿宋_GB2312"/>
          <w:b/>
          <w:sz w:val="32"/>
          <w:szCs w:val="32"/>
        </w:rPr>
        <w:sym w:font="Wingdings" w:char="F081"/>
      </w:r>
      <w:r>
        <w:rPr>
          <w:rFonts w:eastAsia="仿宋_GB2312"/>
          <w:b/>
          <w:sz w:val="32"/>
          <w:szCs w:val="32"/>
        </w:rPr>
        <w:t>行政单位医疗：</w:t>
      </w:r>
      <w:r>
        <w:rPr>
          <w:rFonts w:eastAsia="仿宋_GB2312"/>
          <w:sz w:val="32"/>
          <w:szCs w:val="32"/>
        </w:rPr>
        <w:t>支出决算为41.95万元，完成预算100%，决算数等于预算数。</w:t>
      </w:r>
    </w:p>
    <w:p w14:paraId="37A5E504">
      <w:pPr>
        <w:spacing w:line="560" w:lineRule="exact"/>
        <w:ind w:firstLine="643" w:firstLineChars="200"/>
        <w:rPr>
          <w:rFonts w:eastAsia="仿宋_GB2312"/>
          <w:sz w:val="32"/>
          <w:szCs w:val="32"/>
        </w:rPr>
      </w:pPr>
      <w:r>
        <w:rPr>
          <w:rFonts w:eastAsia="仿宋_GB2312"/>
          <w:b/>
          <w:sz w:val="32"/>
          <w:szCs w:val="32"/>
        </w:rPr>
        <w:sym w:font="Wingdings" w:char="F082"/>
      </w:r>
      <w:r>
        <w:rPr>
          <w:rFonts w:eastAsia="仿宋_GB2312"/>
          <w:b/>
          <w:sz w:val="32"/>
          <w:szCs w:val="32"/>
        </w:rPr>
        <w:t>事业单位医疗：</w:t>
      </w:r>
      <w:r>
        <w:rPr>
          <w:rFonts w:eastAsia="仿宋_GB2312"/>
          <w:sz w:val="32"/>
          <w:szCs w:val="32"/>
        </w:rPr>
        <w:t>支出决算为15.37万元，完成预算100%，决算数等于预算数。</w:t>
      </w:r>
    </w:p>
    <w:p w14:paraId="2BEFFA3C">
      <w:pPr>
        <w:spacing w:line="560" w:lineRule="exact"/>
        <w:ind w:firstLine="643" w:firstLineChars="200"/>
        <w:rPr>
          <w:rFonts w:eastAsia="仿宋_GB2312"/>
          <w:sz w:val="32"/>
          <w:szCs w:val="32"/>
        </w:rPr>
      </w:pPr>
      <w:r>
        <w:rPr>
          <w:rFonts w:eastAsia="仿宋_GB2312"/>
          <w:b/>
          <w:sz w:val="32"/>
          <w:szCs w:val="32"/>
        </w:rPr>
        <w:sym w:font="Wingdings" w:char="F083"/>
      </w:r>
      <w:r>
        <w:rPr>
          <w:rFonts w:eastAsia="仿宋_GB2312"/>
          <w:b/>
          <w:sz w:val="32"/>
          <w:szCs w:val="32"/>
        </w:rPr>
        <w:t>公务员医疗补助：</w:t>
      </w:r>
      <w:r>
        <w:rPr>
          <w:rFonts w:eastAsia="仿宋_GB2312"/>
          <w:sz w:val="32"/>
          <w:szCs w:val="32"/>
        </w:rPr>
        <w:t>支出决算为5.76万元，完成预算100%，决算数等于预算数。</w:t>
      </w:r>
    </w:p>
    <w:p w14:paraId="31A244CA">
      <w:pPr>
        <w:spacing w:line="560" w:lineRule="exact"/>
        <w:ind w:firstLine="643" w:firstLineChars="200"/>
        <w:rPr>
          <w:rFonts w:eastAsia="仿宋_GB2312"/>
          <w:sz w:val="32"/>
          <w:szCs w:val="32"/>
        </w:rPr>
      </w:pPr>
      <w:r>
        <w:rPr>
          <w:rFonts w:eastAsia="仿宋_GB2312"/>
          <w:b/>
          <w:sz w:val="32"/>
          <w:szCs w:val="32"/>
        </w:rPr>
        <w:t>④其他行政事业单位医疗支出：</w:t>
      </w:r>
      <w:r>
        <w:rPr>
          <w:rFonts w:eastAsia="仿宋_GB2312"/>
          <w:sz w:val="32"/>
          <w:szCs w:val="32"/>
        </w:rPr>
        <w:t>支出决算为</w:t>
      </w:r>
      <w:r>
        <w:rPr>
          <w:rFonts w:hint="eastAsia" w:eastAsia="仿宋_GB2312"/>
          <w:sz w:val="32"/>
          <w:szCs w:val="32"/>
        </w:rPr>
        <w:t>0.48</w:t>
      </w:r>
      <w:r>
        <w:rPr>
          <w:rFonts w:eastAsia="仿宋_GB2312"/>
          <w:sz w:val="32"/>
          <w:szCs w:val="32"/>
        </w:rPr>
        <w:t>万元，完成预算100%，决算数等于预算数。</w:t>
      </w:r>
    </w:p>
    <w:p w14:paraId="1C9B396D">
      <w:pPr>
        <w:spacing w:line="560" w:lineRule="exact"/>
        <w:ind w:firstLine="643" w:firstLineChars="200"/>
        <w:rPr>
          <w:rFonts w:eastAsia="仿宋_GB2312"/>
          <w:sz w:val="32"/>
          <w:szCs w:val="32"/>
        </w:rPr>
      </w:pPr>
      <w:r>
        <w:rPr>
          <w:rFonts w:eastAsia="仿宋_GB2312"/>
          <w:b/>
          <w:sz w:val="32"/>
          <w:szCs w:val="32"/>
        </w:rPr>
        <w:t>8.其他支出（类）其他支出（款）其他支出（项）：</w:t>
      </w:r>
      <w:r>
        <w:rPr>
          <w:rFonts w:eastAsia="仿宋_GB2312"/>
          <w:sz w:val="32"/>
          <w:szCs w:val="32"/>
        </w:rPr>
        <w:t>支出决算为35.81万元，完成预算100%，决算数等于预算数。</w:t>
      </w:r>
    </w:p>
    <w:p w14:paraId="69DAEAF4">
      <w:pPr>
        <w:spacing w:line="560" w:lineRule="exact"/>
        <w:ind w:firstLine="640" w:firstLineChars="200"/>
        <w:rPr>
          <w:rFonts w:eastAsia="黑体"/>
          <w:sz w:val="32"/>
          <w:szCs w:val="32"/>
        </w:rPr>
      </w:pPr>
      <w:bookmarkStart w:id="67" w:name="_Toc15377214"/>
      <w:bookmarkStart w:id="68" w:name="_Toc15396608"/>
      <w:bookmarkStart w:id="69" w:name="_Toc7490_WPSOffice_Level2"/>
      <w:r>
        <w:rPr>
          <w:rFonts w:eastAsia="黑体"/>
          <w:sz w:val="32"/>
          <w:szCs w:val="32"/>
        </w:rPr>
        <w:t>六、一般公共预算财政拨款基本支出决算情况说明</w:t>
      </w:r>
      <w:bookmarkEnd w:id="67"/>
      <w:bookmarkEnd w:id="68"/>
      <w:bookmarkEnd w:id="69"/>
      <w:r>
        <w:rPr>
          <w:rFonts w:eastAsia="黑体"/>
          <w:sz w:val="32"/>
          <w:szCs w:val="32"/>
        </w:rPr>
        <w:tab/>
      </w:r>
    </w:p>
    <w:p w14:paraId="7D64D4DD">
      <w:pPr>
        <w:spacing w:line="560" w:lineRule="exact"/>
        <w:ind w:firstLine="640" w:firstLineChars="200"/>
        <w:rPr>
          <w:rFonts w:eastAsia="仿宋_GB2312"/>
          <w:sz w:val="32"/>
          <w:szCs w:val="32"/>
        </w:rPr>
      </w:pPr>
      <w:r>
        <w:rPr>
          <w:rFonts w:eastAsia="仿宋_GB2312"/>
          <w:sz w:val="32"/>
          <w:szCs w:val="32"/>
        </w:rPr>
        <w:t>2021年一般公共预算财政拨款基本支出</w:t>
      </w:r>
      <w:r>
        <w:rPr>
          <w:rFonts w:hint="eastAsia" w:eastAsia="仿宋_GB2312"/>
          <w:sz w:val="32"/>
          <w:szCs w:val="32"/>
        </w:rPr>
        <w:t>1100.29</w:t>
      </w:r>
      <w:r>
        <w:rPr>
          <w:rFonts w:eastAsia="仿宋_GB2312"/>
          <w:sz w:val="32"/>
          <w:szCs w:val="32"/>
        </w:rPr>
        <w:t>万元，其中：</w:t>
      </w:r>
    </w:p>
    <w:p w14:paraId="578190DD">
      <w:pPr>
        <w:spacing w:line="560" w:lineRule="exact"/>
        <w:ind w:firstLine="640" w:firstLineChars="200"/>
        <w:rPr>
          <w:rFonts w:eastAsia="仿宋_GB2312"/>
          <w:sz w:val="32"/>
          <w:szCs w:val="32"/>
        </w:rPr>
      </w:pPr>
      <w:r>
        <w:rPr>
          <w:rFonts w:eastAsia="仿宋_GB2312"/>
          <w:sz w:val="32"/>
          <w:szCs w:val="32"/>
        </w:rPr>
        <w:t>人员经费1022.89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sz w:val="32"/>
          <w:szCs w:val="32"/>
        </w:rPr>
        <w:br w:type="textWrapping"/>
      </w:r>
      <w:r>
        <w:rPr>
          <w:rFonts w:eastAsia="仿宋_GB2312"/>
          <w:sz w:val="32"/>
          <w:szCs w:val="32"/>
        </w:rPr>
        <w:t>　　公用经费77.40万元，主要包括：办公费、印刷费、水费、电费、邮电费、差旅费、维修（护）费、租赁费、会议费、培训费、公务接待费、劳务费、工会经费、福利费、公务用车运行维护费、其他交通费、其他商品和服务支出、办公设备购置、专用设备购置。</w:t>
      </w:r>
    </w:p>
    <w:p w14:paraId="665C4E91">
      <w:pPr>
        <w:spacing w:line="560" w:lineRule="exact"/>
        <w:ind w:firstLine="640" w:firstLineChars="200"/>
        <w:rPr>
          <w:rFonts w:eastAsia="黑体"/>
          <w:sz w:val="32"/>
          <w:szCs w:val="32"/>
        </w:rPr>
      </w:pPr>
      <w:bookmarkStart w:id="70" w:name="_Toc15396609"/>
      <w:bookmarkStart w:id="71" w:name="_Toc15377215"/>
      <w:bookmarkStart w:id="72" w:name="_Toc7705_WPSOffice_Level2"/>
      <w:r>
        <w:rPr>
          <w:rFonts w:eastAsia="黑体"/>
          <w:sz w:val="32"/>
          <w:szCs w:val="32"/>
        </w:rPr>
        <w:t>七、“三公”经费财政拨款支出决算情况说明</w:t>
      </w:r>
      <w:bookmarkEnd w:id="70"/>
      <w:bookmarkEnd w:id="71"/>
      <w:bookmarkEnd w:id="72"/>
    </w:p>
    <w:p w14:paraId="7F57DEA4">
      <w:pPr>
        <w:spacing w:line="560" w:lineRule="exact"/>
        <w:ind w:firstLine="640" w:firstLineChars="200"/>
        <w:rPr>
          <w:rFonts w:eastAsia="楷体_GB2312"/>
          <w:sz w:val="32"/>
          <w:szCs w:val="32"/>
        </w:rPr>
      </w:pPr>
      <w:bookmarkStart w:id="73" w:name="_Toc15377216"/>
      <w:r>
        <w:rPr>
          <w:rFonts w:eastAsia="楷体_GB2312"/>
          <w:sz w:val="32"/>
          <w:szCs w:val="32"/>
        </w:rPr>
        <w:t>（一）“三公”经费财政拨款支出决算总体情况说明</w:t>
      </w:r>
      <w:bookmarkEnd w:id="73"/>
      <w:r>
        <w:rPr>
          <w:rFonts w:eastAsia="楷体_GB2312"/>
          <w:sz w:val="32"/>
          <w:szCs w:val="32"/>
        </w:rPr>
        <w:t>。</w:t>
      </w:r>
    </w:p>
    <w:p w14:paraId="7D7C2F73">
      <w:pPr>
        <w:spacing w:line="560" w:lineRule="exact"/>
        <w:ind w:firstLine="640" w:firstLineChars="200"/>
        <w:rPr>
          <w:rFonts w:eastAsia="仿宋_GB2312"/>
          <w:sz w:val="32"/>
          <w:szCs w:val="32"/>
        </w:rPr>
      </w:pPr>
      <w:r>
        <w:rPr>
          <w:rFonts w:eastAsia="仿宋_GB2312"/>
          <w:sz w:val="32"/>
          <w:szCs w:val="32"/>
        </w:rPr>
        <w:t>2021年“三公”经费财政拨款支出决算为18万元，完成预算100%，决算数与预算数持平。</w:t>
      </w:r>
    </w:p>
    <w:p w14:paraId="1EA1A7B1">
      <w:pPr>
        <w:spacing w:line="560" w:lineRule="exact"/>
        <w:ind w:firstLine="640" w:firstLineChars="200"/>
        <w:rPr>
          <w:rFonts w:eastAsia="楷体_GB2312"/>
          <w:sz w:val="32"/>
          <w:szCs w:val="32"/>
        </w:rPr>
      </w:pPr>
      <w:bookmarkStart w:id="74" w:name="_Toc15377217"/>
      <w:r>
        <w:rPr>
          <w:rFonts w:eastAsia="楷体_GB2312"/>
          <w:sz w:val="32"/>
          <w:szCs w:val="32"/>
        </w:rPr>
        <w:t>（二）“三公”经费财政拨款支出决算具体情况说明</w:t>
      </w:r>
      <w:bookmarkEnd w:id="74"/>
      <w:r>
        <w:rPr>
          <w:rFonts w:eastAsia="楷体_GB2312"/>
          <w:sz w:val="32"/>
          <w:szCs w:val="32"/>
        </w:rPr>
        <w:t>。</w:t>
      </w:r>
    </w:p>
    <w:p w14:paraId="6BA231F5">
      <w:pPr>
        <w:spacing w:line="560" w:lineRule="exact"/>
        <w:ind w:firstLine="640" w:firstLineChars="200"/>
        <w:rPr>
          <w:rFonts w:eastAsia="仿宋_GB2312"/>
          <w:sz w:val="32"/>
          <w:szCs w:val="32"/>
        </w:rPr>
      </w:pPr>
      <w:r>
        <w:rPr>
          <w:rFonts w:eastAsia="仿宋_GB2312"/>
          <w:sz w:val="32"/>
          <w:szCs w:val="32"/>
        </w:rPr>
        <w:t>2021年“三公”经费财政拨款支出决算中，因公出国（境）费支出决算0万元，占0%；公务用车购置及运行维护费支出决算18万元，占100%；公务接待费支出决算0万元，占0%。具体情况如下：</w:t>
      </w:r>
    </w:p>
    <w:p w14:paraId="5D81E36F">
      <w:pPr>
        <w:pStyle w:val="2"/>
      </w:pPr>
      <w:r>
        <w:drawing>
          <wp:inline distT="0" distB="0" distL="114300" distR="114300">
            <wp:extent cx="5268595" cy="2740660"/>
            <wp:effectExtent l="4445" t="4445" r="22860" b="17145"/>
            <wp:docPr id="233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14F3B3">
      <w:pPr>
        <w:spacing w:line="560" w:lineRule="exact"/>
        <w:ind w:firstLine="643" w:firstLineChars="200"/>
        <w:rPr>
          <w:rFonts w:ascii="仿宋_GB2312" w:eastAsia="仿宋_GB2312"/>
          <w:b/>
          <w:sz w:val="32"/>
          <w:szCs w:val="32"/>
        </w:rPr>
      </w:pPr>
    </w:p>
    <w:p w14:paraId="3955D62E">
      <w:pPr>
        <w:spacing w:line="560" w:lineRule="exact"/>
        <w:ind w:firstLine="640" w:firstLineChars="200"/>
        <w:rPr>
          <w:rFonts w:eastAsia="仿宋_GB2312"/>
          <w:sz w:val="32"/>
          <w:szCs w:val="32"/>
        </w:rPr>
      </w:pPr>
      <w:r>
        <w:rPr>
          <w:rFonts w:eastAsia="仿宋_GB2312"/>
          <w:sz w:val="32"/>
          <w:szCs w:val="32"/>
        </w:rPr>
        <w:t>1.因公出国（境）经费支出0万元，完成预算0%。全年安排因公出国（境）团组0次，出国（境）0人。因公出国（境）支出决算比2020年无增减变动。主要原因是我单位2021年无因公出国（境）支出。</w:t>
      </w:r>
    </w:p>
    <w:p w14:paraId="0E0AB741">
      <w:pPr>
        <w:spacing w:line="560" w:lineRule="exact"/>
        <w:ind w:firstLine="640" w:firstLineChars="200"/>
        <w:rPr>
          <w:rFonts w:eastAsia="仿宋_GB2312"/>
          <w:sz w:val="32"/>
          <w:szCs w:val="32"/>
        </w:rPr>
      </w:pPr>
      <w:r>
        <w:rPr>
          <w:rFonts w:eastAsia="仿宋_GB2312"/>
          <w:sz w:val="32"/>
          <w:szCs w:val="32"/>
        </w:rPr>
        <w:t>开支内容包括：（团组名称、出访地点、取得成效）等。</w:t>
      </w:r>
    </w:p>
    <w:p w14:paraId="6DC7A60A">
      <w:pPr>
        <w:spacing w:line="560" w:lineRule="exact"/>
        <w:ind w:firstLine="640" w:firstLineChars="200"/>
        <w:rPr>
          <w:rFonts w:eastAsia="仿宋_GB2312"/>
          <w:sz w:val="32"/>
          <w:szCs w:val="32"/>
        </w:rPr>
      </w:pPr>
      <w:r>
        <w:rPr>
          <w:rFonts w:eastAsia="仿宋_GB2312"/>
          <w:sz w:val="32"/>
          <w:szCs w:val="32"/>
        </w:rPr>
        <w:t>2.公务用车购置及运行维护费支出18万元,完成预算100%。公务用车购置及运行维护费支出决算比2020年增加14.84万元，增长比例4.69。主要原因是乡镇财政事务中心新购置公务用车。</w:t>
      </w:r>
    </w:p>
    <w:p w14:paraId="67871F08">
      <w:pPr>
        <w:spacing w:line="560" w:lineRule="exact"/>
        <w:ind w:firstLine="640" w:firstLineChars="200"/>
        <w:rPr>
          <w:rFonts w:eastAsia="仿宋_GB2312"/>
          <w:sz w:val="32"/>
          <w:szCs w:val="32"/>
        </w:rPr>
      </w:pPr>
      <w:r>
        <w:rPr>
          <w:rFonts w:eastAsia="仿宋_GB2312"/>
          <w:sz w:val="32"/>
          <w:szCs w:val="32"/>
        </w:rPr>
        <w:t>其中：公务用车购置支出7.98万元。全年按规定更新购置公务用车1辆，其中：轿车0辆、金额0万元，越野车1辆、金额35.98万元，载客汽车0辆、金额0万元，主要用于乡镇财政事务中心下乡检查乡镇财政所工作所需。截至2021年12月底，单位共有公务用车1辆，其中：轿车0辆、越野车1辆、载客汽车0辆。</w:t>
      </w:r>
    </w:p>
    <w:p w14:paraId="27F7BBD8">
      <w:pPr>
        <w:spacing w:line="560" w:lineRule="exact"/>
        <w:ind w:firstLine="640" w:firstLineChars="200"/>
        <w:rPr>
          <w:rFonts w:eastAsia="仿宋_GB2312"/>
          <w:sz w:val="32"/>
          <w:szCs w:val="32"/>
        </w:rPr>
      </w:pPr>
      <w:r>
        <w:rPr>
          <w:rFonts w:eastAsia="仿宋_GB2312"/>
          <w:sz w:val="32"/>
          <w:szCs w:val="32"/>
        </w:rPr>
        <w:t>公务用车运行维护费支出10.02万元。主要用于推进对乡镇财务的抽查巡查工作等所需的公务用车燃料费、维修费、过路过桥费、保险费等支出。</w:t>
      </w:r>
    </w:p>
    <w:p w14:paraId="3B7B1EF4">
      <w:pPr>
        <w:spacing w:line="560" w:lineRule="exact"/>
        <w:ind w:firstLine="640" w:firstLineChars="200"/>
        <w:rPr>
          <w:rFonts w:eastAsia="仿宋_GB2312"/>
          <w:sz w:val="32"/>
          <w:szCs w:val="32"/>
        </w:rPr>
      </w:pPr>
      <w:bookmarkStart w:id="75" w:name="_Toc15396610"/>
      <w:bookmarkStart w:id="76" w:name="_Toc15377218"/>
      <w:r>
        <w:rPr>
          <w:rFonts w:eastAsia="仿宋_GB2312"/>
          <w:sz w:val="32"/>
          <w:szCs w:val="32"/>
        </w:rPr>
        <w:t>3.公务接待费支出0万元。公务接待费支出决算比2020年减少0.17万元，下降100%。主要原因是单位无接待支出。</w:t>
      </w:r>
    </w:p>
    <w:p w14:paraId="241BAC96">
      <w:pPr>
        <w:spacing w:line="560" w:lineRule="exact"/>
        <w:ind w:firstLine="640" w:firstLineChars="200"/>
        <w:rPr>
          <w:rFonts w:eastAsia="仿宋_GB2312"/>
          <w:sz w:val="32"/>
          <w:szCs w:val="32"/>
        </w:rPr>
      </w:pPr>
      <w:r>
        <w:rPr>
          <w:rFonts w:eastAsia="仿宋_GB2312"/>
          <w:sz w:val="32"/>
          <w:szCs w:val="32"/>
        </w:rPr>
        <w:t>国内公务接待支出0万元，主要用于执行公务、开展业务活动开支的交通费、住宿费、用餐费等。国内公务接待0批次，0人次（不包括陪同人员），共计支出0万元，主要用于（具体项目）。</w:t>
      </w:r>
    </w:p>
    <w:p w14:paraId="3C97B58B">
      <w:pPr>
        <w:spacing w:line="560" w:lineRule="exact"/>
        <w:ind w:firstLine="640" w:firstLineChars="200"/>
        <w:rPr>
          <w:rFonts w:eastAsia="仿宋_GB2312"/>
          <w:sz w:val="32"/>
          <w:szCs w:val="32"/>
        </w:rPr>
      </w:pPr>
      <w:r>
        <w:rPr>
          <w:rFonts w:eastAsia="仿宋_GB2312"/>
          <w:sz w:val="32"/>
          <w:szCs w:val="32"/>
        </w:rPr>
        <w:t>外事接待支出0万元，外事接待0批次，0人，共计支出0万元，主要用于（具体项目）。</w:t>
      </w:r>
    </w:p>
    <w:p w14:paraId="757E77DA">
      <w:pPr>
        <w:spacing w:line="560" w:lineRule="exact"/>
        <w:ind w:firstLine="640" w:firstLineChars="200"/>
        <w:rPr>
          <w:rFonts w:eastAsia="黑体"/>
          <w:sz w:val="32"/>
          <w:szCs w:val="32"/>
        </w:rPr>
      </w:pPr>
      <w:bookmarkStart w:id="77" w:name="_Toc1868_WPSOffice_Level2"/>
      <w:r>
        <w:rPr>
          <w:rFonts w:eastAsia="黑体"/>
          <w:sz w:val="32"/>
          <w:szCs w:val="32"/>
        </w:rPr>
        <w:t>八、政府性基金预算支出决算情况说明</w:t>
      </w:r>
      <w:bookmarkEnd w:id="75"/>
      <w:bookmarkEnd w:id="76"/>
      <w:bookmarkEnd w:id="77"/>
    </w:p>
    <w:p w14:paraId="3B5F373F">
      <w:pPr>
        <w:spacing w:line="560" w:lineRule="exact"/>
        <w:ind w:firstLine="640" w:firstLineChars="200"/>
        <w:rPr>
          <w:rFonts w:eastAsia="仿宋_GB2312"/>
          <w:sz w:val="32"/>
          <w:szCs w:val="32"/>
        </w:rPr>
      </w:pPr>
      <w:r>
        <w:rPr>
          <w:rFonts w:eastAsia="仿宋_GB2312"/>
          <w:sz w:val="32"/>
          <w:szCs w:val="32"/>
        </w:rPr>
        <w:t>2021年政府性基金预算财政拨款支出0万元。</w:t>
      </w:r>
    </w:p>
    <w:p w14:paraId="141F6E3C">
      <w:pPr>
        <w:spacing w:line="560" w:lineRule="exact"/>
        <w:ind w:firstLine="640" w:firstLineChars="200"/>
        <w:rPr>
          <w:rFonts w:eastAsia="黑体"/>
          <w:sz w:val="32"/>
          <w:szCs w:val="32"/>
        </w:rPr>
      </w:pPr>
      <w:bookmarkStart w:id="78" w:name="_Toc15396611"/>
      <w:bookmarkStart w:id="79" w:name="_Toc8701_WPSOffice_Level2"/>
      <w:bookmarkStart w:id="80" w:name="_Toc15377219"/>
      <w:r>
        <w:rPr>
          <w:rFonts w:eastAsia="黑体"/>
          <w:sz w:val="32"/>
          <w:szCs w:val="32"/>
        </w:rPr>
        <w:t>九、国有资本经营预算支出决算情况说明</w:t>
      </w:r>
      <w:bookmarkEnd w:id="78"/>
      <w:bookmarkEnd w:id="79"/>
      <w:bookmarkEnd w:id="80"/>
    </w:p>
    <w:p w14:paraId="4C09AF7A">
      <w:pPr>
        <w:spacing w:line="560" w:lineRule="exact"/>
        <w:ind w:firstLine="640" w:firstLineChars="200"/>
        <w:rPr>
          <w:rFonts w:eastAsia="仿宋_GB2312"/>
          <w:sz w:val="32"/>
          <w:szCs w:val="32"/>
        </w:rPr>
      </w:pPr>
      <w:r>
        <w:rPr>
          <w:rFonts w:eastAsia="仿宋_GB2312"/>
          <w:sz w:val="32"/>
          <w:szCs w:val="32"/>
        </w:rPr>
        <w:t>2021年国有资本经营预算财政拨款支出0万元。</w:t>
      </w:r>
    </w:p>
    <w:p w14:paraId="7E4627F0">
      <w:pPr>
        <w:spacing w:line="560" w:lineRule="exact"/>
        <w:ind w:firstLine="640" w:firstLineChars="200"/>
        <w:rPr>
          <w:rFonts w:eastAsia="黑体"/>
          <w:sz w:val="32"/>
          <w:szCs w:val="32"/>
        </w:rPr>
      </w:pPr>
      <w:bookmarkStart w:id="81" w:name="_Toc17087_WPSOffice_Level2"/>
      <w:bookmarkStart w:id="82" w:name="_Toc15377221"/>
      <w:bookmarkStart w:id="83" w:name="_Toc15396612"/>
      <w:r>
        <w:rPr>
          <w:rFonts w:eastAsia="黑体"/>
          <w:sz w:val="32"/>
          <w:szCs w:val="32"/>
        </w:rPr>
        <w:t>十、其他重要事项的情况说明</w:t>
      </w:r>
      <w:bookmarkEnd w:id="81"/>
      <w:bookmarkEnd w:id="82"/>
      <w:bookmarkEnd w:id="83"/>
    </w:p>
    <w:p w14:paraId="7BDB73EB">
      <w:pPr>
        <w:spacing w:line="560" w:lineRule="exact"/>
        <w:ind w:firstLine="640" w:firstLineChars="200"/>
        <w:rPr>
          <w:rFonts w:eastAsia="楷体_GB2312"/>
          <w:sz w:val="32"/>
          <w:szCs w:val="32"/>
        </w:rPr>
      </w:pPr>
      <w:bookmarkStart w:id="84" w:name="_Toc15377222"/>
      <w:r>
        <w:rPr>
          <w:rFonts w:eastAsia="楷体_GB2312"/>
          <w:sz w:val="32"/>
          <w:szCs w:val="32"/>
        </w:rPr>
        <w:t>（一）机关运行经费支出情况</w:t>
      </w:r>
      <w:bookmarkEnd w:id="84"/>
      <w:r>
        <w:rPr>
          <w:rFonts w:eastAsia="楷体_GB2312"/>
          <w:sz w:val="32"/>
          <w:szCs w:val="32"/>
        </w:rPr>
        <w:t>。</w:t>
      </w:r>
    </w:p>
    <w:p w14:paraId="2149A089">
      <w:pPr>
        <w:spacing w:line="560" w:lineRule="exact"/>
        <w:ind w:firstLine="640" w:firstLineChars="200"/>
        <w:rPr>
          <w:rFonts w:eastAsia="仿宋_GB2312"/>
          <w:sz w:val="32"/>
          <w:szCs w:val="32"/>
        </w:rPr>
      </w:pPr>
      <w:bookmarkStart w:id="85" w:name="_Toc15377223"/>
      <w:r>
        <w:rPr>
          <w:rFonts w:eastAsia="仿宋_GB2312"/>
          <w:sz w:val="32"/>
          <w:szCs w:val="32"/>
        </w:rPr>
        <w:t>2021年，盐边县财政局机关运行经费支出72.18万元，比2020年增加5.58万元，增长8.38%。主要原因是办公设备购置增加经费支出。</w:t>
      </w:r>
    </w:p>
    <w:p w14:paraId="1E4DC3ED">
      <w:pPr>
        <w:spacing w:line="560" w:lineRule="exact"/>
        <w:ind w:firstLine="640" w:firstLineChars="200"/>
        <w:rPr>
          <w:rFonts w:eastAsia="楷体_GB2312"/>
          <w:sz w:val="32"/>
          <w:szCs w:val="32"/>
        </w:rPr>
      </w:pPr>
      <w:r>
        <w:rPr>
          <w:rFonts w:eastAsia="楷体_GB2312"/>
          <w:sz w:val="32"/>
          <w:szCs w:val="32"/>
        </w:rPr>
        <w:t>（二）政府采购支出情况</w:t>
      </w:r>
      <w:bookmarkEnd w:id="85"/>
      <w:r>
        <w:rPr>
          <w:rFonts w:eastAsia="楷体_GB2312"/>
          <w:sz w:val="32"/>
          <w:szCs w:val="32"/>
        </w:rPr>
        <w:t>。</w:t>
      </w:r>
    </w:p>
    <w:p w14:paraId="28478570">
      <w:pPr>
        <w:spacing w:line="560" w:lineRule="exact"/>
        <w:ind w:firstLine="640" w:firstLineChars="200"/>
        <w:rPr>
          <w:rFonts w:eastAsia="仿宋_GB2312"/>
          <w:sz w:val="32"/>
          <w:szCs w:val="32"/>
        </w:rPr>
      </w:pPr>
      <w:r>
        <w:rPr>
          <w:rFonts w:eastAsia="仿宋_GB2312"/>
          <w:sz w:val="32"/>
          <w:szCs w:val="32"/>
        </w:rPr>
        <w:t>2021年，盐边县财政局政府采购支出总额215.02万元，其中：政府采购货物支出47.40万元、政府采购工程支出94.72万元、政府采购服务支出72.90万元。主要用于办公电脑、打印机等设备购置及项目评审委托业务费用支出。授予中小企业合同金额186.12万元，占政府采购支出总额的86.56%，其中：授予小微企业合同金额150.14万元，占政府采购支出总额的69.77%。</w:t>
      </w:r>
    </w:p>
    <w:p w14:paraId="32B2C794">
      <w:pPr>
        <w:spacing w:line="560" w:lineRule="exact"/>
        <w:ind w:firstLine="640" w:firstLineChars="200"/>
        <w:rPr>
          <w:rFonts w:eastAsia="楷体_GB2312"/>
          <w:sz w:val="32"/>
          <w:szCs w:val="32"/>
        </w:rPr>
      </w:pPr>
      <w:bookmarkStart w:id="86" w:name="_Toc15377224"/>
      <w:r>
        <w:rPr>
          <w:rFonts w:eastAsia="楷体_GB2312"/>
          <w:sz w:val="32"/>
          <w:szCs w:val="32"/>
        </w:rPr>
        <w:t>（三）国有资产占有使用情况</w:t>
      </w:r>
      <w:bookmarkEnd w:id="86"/>
      <w:r>
        <w:rPr>
          <w:rFonts w:eastAsia="楷体_GB2312"/>
          <w:sz w:val="32"/>
          <w:szCs w:val="32"/>
        </w:rPr>
        <w:t>。</w:t>
      </w:r>
    </w:p>
    <w:p w14:paraId="0AF66FCF">
      <w:pPr>
        <w:spacing w:line="560" w:lineRule="exact"/>
        <w:ind w:firstLine="640" w:firstLineChars="200"/>
        <w:rPr>
          <w:rFonts w:eastAsia="仿宋_GB2312"/>
          <w:sz w:val="32"/>
          <w:szCs w:val="32"/>
        </w:rPr>
      </w:pPr>
      <w:r>
        <w:rPr>
          <w:rFonts w:eastAsia="仿宋_GB2312"/>
          <w:sz w:val="32"/>
          <w:szCs w:val="32"/>
        </w:rPr>
        <w:t>截至2021年12月31日，盐边县财政局共有车辆0辆，其中：部级领导干部用车0辆、一般公务用车0辆、一般执法执勤用车0辆、特种专业技术用车0辆、其他用车1辆，单价50万元以上通用设备0台（套），单价100万元以上专用设备1台（套）。</w:t>
      </w:r>
    </w:p>
    <w:p w14:paraId="56315295">
      <w:pPr>
        <w:spacing w:line="560" w:lineRule="exact"/>
        <w:ind w:firstLine="640" w:firstLineChars="200"/>
        <w:rPr>
          <w:rFonts w:eastAsia="楷体_GB2312"/>
          <w:sz w:val="32"/>
          <w:szCs w:val="32"/>
        </w:rPr>
      </w:pPr>
      <w:r>
        <w:rPr>
          <w:rFonts w:eastAsia="楷体_GB2312"/>
          <w:sz w:val="32"/>
          <w:szCs w:val="32"/>
        </w:rPr>
        <w:t>（四）预算绩效管理情况。</w:t>
      </w:r>
    </w:p>
    <w:p w14:paraId="3C4D6215">
      <w:pPr>
        <w:spacing w:line="560" w:lineRule="exact"/>
        <w:ind w:firstLine="640" w:firstLineChars="200"/>
        <w:rPr>
          <w:rFonts w:eastAsia="仿宋_GB2312"/>
          <w:sz w:val="32"/>
          <w:szCs w:val="32"/>
        </w:rPr>
      </w:pPr>
      <w:r>
        <w:rPr>
          <w:rFonts w:eastAsia="仿宋_GB2312"/>
          <w:sz w:val="32"/>
          <w:szCs w:val="32"/>
        </w:rPr>
        <w:t>根据预算绩效管理要求，本部门在2021年度预算编制阶段，组织对“财政局网络及全县金财网维护”、“财政投资评审中心经费”、“乡镇财政事务中心运行费用”等3个项目开展了预算事前绩效评估，对3个项目编制了绩效目标，预算执行过程中，选取3个项目开展绩效监控，年终执行完毕后，对3个项目开展了绩效自评。同时，本部门对2021年部门整体开展绩效自评，《2021年盐边县财政局部门整体绩效评价报告》见附件（第四部分）。</w:t>
      </w:r>
    </w:p>
    <w:p w14:paraId="27291BFB">
      <w:pPr>
        <w:widowControl/>
        <w:jc w:val="left"/>
        <w:rPr>
          <w:rFonts w:ascii="仿宋_GB2312" w:eastAsia="仿宋_GB2312"/>
          <w:b/>
          <w:sz w:val="32"/>
          <w:szCs w:val="32"/>
        </w:rPr>
      </w:pPr>
      <w:r>
        <w:rPr>
          <w:rFonts w:ascii="仿宋_GB2312" w:eastAsia="仿宋_GB2312"/>
          <w:b/>
          <w:sz w:val="32"/>
          <w:szCs w:val="32"/>
        </w:rPr>
        <w:br w:type="page"/>
      </w:r>
    </w:p>
    <w:p w14:paraId="57174332">
      <w:pPr>
        <w:jc w:val="center"/>
        <w:rPr>
          <w:rFonts w:eastAsia="黑体"/>
          <w:sz w:val="44"/>
          <w:szCs w:val="44"/>
        </w:rPr>
      </w:pPr>
      <w:bookmarkStart w:id="87" w:name="_Toc1969_WPSOffice_Level1"/>
      <w:bookmarkStart w:id="88" w:name="_Toc31561_WPSOffice_Level1"/>
      <w:bookmarkStart w:id="89" w:name="_Toc15377226"/>
      <w:r>
        <w:rPr>
          <w:rFonts w:eastAsia="黑体"/>
          <w:sz w:val="44"/>
          <w:szCs w:val="44"/>
        </w:rPr>
        <w:t>第三部分 名词解释</w:t>
      </w:r>
      <w:bookmarkEnd w:id="87"/>
      <w:bookmarkEnd w:id="88"/>
    </w:p>
    <w:p w14:paraId="26D68557">
      <w:pPr>
        <w:pStyle w:val="2"/>
      </w:pPr>
    </w:p>
    <w:p w14:paraId="7459D07E">
      <w:pPr>
        <w:spacing w:line="560" w:lineRule="exact"/>
        <w:ind w:firstLine="643" w:firstLineChars="200"/>
        <w:rPr>
          <w:rFonts w:eastAsia="仿宋_GB2312"/>
          <w:sz w:val="32"/>
          <w:szCs w:val="32"/>
        </w:rPr>
      </w:pPr>
      <w:r>
        <w:rPr>
          <w:rFonts w:eastAsia="仿宋_GB2312"/>
          <w:b/>
          <w:sz w:val="32"/>
          <w:szCs w:val="32"/>
        </w:rPr>
        <w:t>1.财政拨款收入：</w:t>
      </w:r>
      <w:r>
        <w:rPr>
          <w:rFonts w:eastAsia="仿宋_GB2312"/>
          <w:sz w:val="32"/>
          <w:szCs w:val="32"/>
        </w:rPr>
        <w:t>指单位从同级财政部门取得的财政预算资金。</w:t>
      </w:r>
    </w:p>
    <w:p w14:paraId="4C03BA85">
      <w:pPr>
        <w:spacing w:line="560" w:lineRule="exact"/>
        <w:ind w:firstLine="643" w:firstLineChars="200"/>
        <w:rPr>
          <w:rFonts w:eastAsia="仿宋_GB2312"/>
          <w:sz w:val="32"/>
          <w:szCs w:val="32"/>
        </w:rPr>
      </w:pPr>
      <w:r>
        <w:rPr>
          <w:rFonts w:eastAsia="仿宋_GB2312"/>
          <w:b/>
          <w:sz w:val="32"/>
          <w:szCs w:val="32"/>
        </w:rPr>
        <w:t>2.事业收入：</w:t>
      </w:r>
      <w:r>
        <w:rPr>
          <w:rFonts w:eastAsia="仿宋_GB2312"/>
          <w:sz w:val="32"/>
          <w:szCs w:val="32"/>
        </w:rPr>
        <w:t>指事业单位开展专业业务活动及辅助活动取得的收入。如（二级预算单位事业收入情况）等。</w:t>
      </w:r>
    </w:p>
    <w:p w14:paraId="77CD9A7B">
      <w:pPr>
        <w:spacing w:line="560" w:lineRule="exact"/>
        <w:ind w:firstLine="643" w:firstLineChars="200"/>
        <w:rPr>
          <w:rFonts w:eastAsia="仿宋_GB2312"/>
          <w:sz w:val="32"/>
          <w:szCs w:val="32"/>
        </w:rPr>
      </w:pPr>
      <w:r>
        <w:rPr>
          <w:rFonts w:eastAsia="仿宋_GB2312"/>
          <w:b/>
          <w:sz w:val="32"/>
          <w:szCs w:val="32"/>
        </w:rPr>
        <w:t>3.经营收入：</w:t>
      </w:r>
      <w:r>
        <w:rPr>
          <w:rFonts w:eastAsia="仿宋_GB2312"/>
          <w:sz w:val="32"/>
          <w:szCs w:val="32"/>
        </w:rPr>
        <w:t>指事业单位在专业业务活动及其辅助活动之外开展非独立核算经营活动取得的收入。如（二级预算单位经营收入情况）等。</w:t>
      </w:r>
    </w:p>
    <w:p w14:paraId="32F1ACAC">
      <w:pPr>
        <w:spacing w:line="560" w:lineRule="exact"/>
        <w:ind w:firstLine="643" w:firstLineChars="200"/>
        <w:rPr>
          <w:rFonts w:eastAsia="仿宋_GB2312"/>
          <w:sz w:val="32"/>
          <w:szCs w:val="32"/>
        </w:rPr>
      </w:pPr>
      <w:r>
        <w:rPr>
          <w:rFonts w:eastAsia="仿宋_GB2312"/>
          <w:b/>
          <w:sz w:val="32"/>
          <w:szCs w:val="32"/>
        </w:rPr>
        <w:t>4.其他收入：</w:t>
      </w:r>
      <w:r>
        <w:rPr>
          <w:rFonts w:eastAsia="仿宋_GB2312"/>
          <w:sz w:val="32"/>
          <w:szCs w:val="32"/>
        </w:rPr>
        <w:t xml:space="preserve">指单位取得的除上述收入以外的各项收入。 </w:t>
      </w:r>
    </w:p>
    <w:p w14:paraId="037F2399">
      <w:pPr>
        <w:spacing w:line="560" w:lineRule="exact"/>
        <w:ind w:firstLine="643" w:firstLineChars="200"/>
        <w:rPr>
          <w:rFonts w:eastAsia="仿宋_GB2312"/>
          <w:sz w:val="32"/>
          <w:szCs w:val="32"/>
        </w:rPr>
      </w:pPr>
      <w:r>
        <w:rPr>
          <w:rFonts w:eastAsia="仿宋_GB2312"/>
          <w:b/>
          <w:sz w:val="32"/>
          <w:szCs w:val="32"/>
        </w:rPr>
        <w:t>5.用事业基金弥补收支差额：</w:t>
      </w:r>
      <w:r>
        <w:rPr>
          <w:rFonts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DD3ACAF">
      <w:pPr>
        <w:spacing w:line="560" w:lineRule="exact"/>
        <w:ind w:firstLine="643" w:firstLineChars="200"/>
        <w:rPr>
          <w:rFonts w:eastAsia="仿宋_GB2312"/>
          <w:sz w:val="32"/>
          <w:szCs w:val="32"/>
        </w:rPr>
      </w:pPr>
      <w:r>
        <w:rPr>
          <w:rFonts w:eastAsia="仿宋_GB2312"/>
          <w:b/>
          <w:sz w:val="32"/>
          <w:szCs w:val="32"/>
        </w:rPr>
        <w:t>6.年初结转和结余：</w:t>
      </w:r>
      <w:r>
        <w:rPr>
          <w:rFonts w:eastAsia="仿宋_GB2312"/>
          <w:sz w:val="32"/>
          <w:szCs w:val="32"/>
        </w:rPr>
        <w:t xml:space="preserve">指以前年度尚未完成、结转到本年按有关规定继续使用的资金。 </w:t>
      </w:r>
    </w:p>
    <w:p w14:paraId="11C2F973">
      <w:pPr>
        <w:spacing w:line="560" w:lineRule="exact"/>
        <w:ind w:firstLine="643" w:firstLineChars="200"/>
        <w:rPr>
          <w:rFonts w:eastAsia="仿宋_GB2312"/>
          <w:sz w:val="32"/>
          <w:szCs w:val="32"/>
        </w:rPr>
      </w:pPr>
      <w:r>
        <w:rPr>
          <w:rFonts w:eastAsia="仿宋_GB2312"/>
          <w:b/>
          <w:sz w:val="32"/>
          <w:szCs w:val="32"/>
        </w:rPr>
        <w:t>7.结余分配：</w:t>
      </w:r>
      <w:r>
        <w:rPr>
          <w:rFonts w:eastAsia="仿宋_GB2312"/>
          <w:sz w:val="32"/>
          <w:szCs w:val="32"/>
        </w:rPr>
        <w:t>指事业单位按照事业单位会计制度的规定从非财政补助结余中分配的事业基金和职工福利基金等。</w:t>
      </w:r>
    </w:p>
    <w:p w14:paraId="16075487">
      <w:pPr>
        <w:spacing w:line="560" w:lineRule="exact"/>
        <w:ind w:firstLine="643" w:firstLineChars="200"/>
        <w:rPr>
          <w:rFonts w:eastAsia="仿宋_GB2312"/>
          <w:sz w:val="32"/>
          <w:szCs w:val="32"/>
        </w:rPr>
      </w:pPr>
      <w:r>
        <w:rPr>
          <w:rFonts w:eastAsia="仿宋_GB2312"/>
          <w:b/>
          <w:sz w:val="32"/>
          <w:szCs w:val="32"/>
        </w:rPr>
        <w:t>8.年末结转和结余：</w:t>
      </w:r>
      <w:r>
        <w:rPr>
          <w:rFonts w:eastAsia="仿宋_GB2312"/>
          <w:sz w:val="32"/>
          <w:szCs w:val="32"/>
        </w:rPr>
        <w:t>指单位按有关规定结转到下年或以后年度继续使用的资金。</w:t>
      </w:r>
    </w:p>
    <w:p w14:paraId="06DD6F6D">
      <w:pPr>
        <w:spacing w:line="560" w:lineRule="exact"/>
        <w:ind w:firstLine="643" w:firstLineChars="200"/>
        <w:rPr>
          <w:rFonts w:eastAsia="仿宋_GB2312"/>
          <w:b/>
          <w:sz w:val="32"/>
          <w:szCs w:val="32"/>
        </w:rPr>
      </w:pPr>
      <w:r>
        <w:rPr>
          <w:rFonts w:eastAsia="仿宋_GB2312"/>
          <w:b/>
          <w:sz w:val="32"/>
          <w:szCs w:val="32"/>
        </w:rPr>
        <w:t>9.一般公共服务（类）财政事务支出（款）</w:t>
      </w:r>
    </w:p>
    <w:p w14:paraId="6DCA663C">
      <w:pPr>
        <w:spacing w:line="560" w:lineRule="exact"/>
        <w:ind w:firstLine="643" w:firstLineChars="200"/>
        <w:rPr>
          <w:rFonts w:eastAsia="仿宋_GB2312"/>
          <w:sz w:val="32"/>
          <w:szCs w:val="32"/>
        </w:rPr>
      </w:pPr>
      <w:r>
        <w:rPr>
          <w:rFonts w:eastAsia="仿宋_GB2312"/>
          <w:b/>
          <w:sz w:val="32"/>
          <w:szCs w:val="32"/>
        </w:rPr>
        <w:t>①行政运行:</w:t>
      </w:r>
      <w:r>
        <w:rPr>
          <w:rFonts w:eastAsia="仿宋_GB2312"/>
          <w:sz w:val="32"/>
          <w:szCs w:val="32"/>
        </w:rPr>
        <w:t xml:space="preserve"> 指行政单位（包括实行公务员管理的事业单位）的基本支出。</w:t>
      </w:r>
    </w:p>
    <w:p w14:paraId="66AD28F2">
      <w:pPr>
        <w:spacing w:line="560" w:lineRule="exact"/>
        <w:ind w:firstLine="643" w:firstLineChars="200"/>
        <w:rPr>
          <w:rFonts w:eastAsia="仿宋_GB2312"/>
          <w:sz w:val="32"/>
          <w:szCs w:val="32"/>
        </w:rPr>
      </w:pPr>
      <w:r>
        <w:rPr>
          <w:rFonts w:eastAsia="仿宋_GB2312"/>
          <w:b/>
          <w:sz w:val="32"/>
          <w:szCs w:val="32"/>
        </w:rPr>
        <w:t>②事业运行：</w:t>
      </w:r>
      <w:r>
        <w:rPr>
          <w:rFonts w:eastAsia="仿宋_GB2312"/>
          <w:sz w:val="32"/>
          <w:szCs w:val="32"/>
        </w:rPr>
        <w:t>指事业单位的基本支出。不包括行政单位（包括实行公务员管理的事业单位）后勤服务中心、医务室等附属事业单位。</w:t>
      </w:r>
    </w:p>
    <w:p w14:paraId="38B1E53C">
      <w:pPr>
        <w:spacing w:line="560" w:lineRule="exact"/>
        <w:ind w:firstLine="643" w:firstLineChars="200"/>
        <w:rPr>
          <w:rFonts w:eastAsia="仿宋_GB2312"/>
          <w:sz w:val="32"/>
          <w:szCs w:val="32"/>
        </w:rPr>
      </w:pPr>
      <w:r>
        <w:rPr>
          <w:rFonts w:eastAsia="仿宋_GB2312"/>
          <w:b/>
          <w:sz w:val="32"/>
          <w:szCs w:val="32"/>
        </w:rPr>
        <w:t>③一般行政管理事务：</w:t>
      </w:r>
      <w:r>
        <w:rPr>
          <w:rFonts w:eastAsia="仿宋_GB2312"/>
          <w:sz w:val="32"/>
          <w:szCs w:val="32"/>
        </w:rPr>
        <w:t>指行政单位（包括实行公务员管理的事业单位）未单独设置项级科目的其他项目支出。</w:t>
      </w:r>
    </w:p>
    <w:p w14:paraId="52E16E23">
      <w:pPr>
        <w:spacing w:line="560" w:lineRule="exact"/>
        <w:ind w:firstLine="643" w:firstLineChars="200"/>
        <w:rPr>
          <w:rFonts w:eastAsia="仿宋_GB2312"/>
          <w:sz w:val="32"/>
          <w:szCs w:val="32"/>
        </w:rPr>
      </w:pPr>
      <w:r>
        <w:rPr>
          <w:rFonts w:eastAsia="仿宋_GB2312"/>
          <w:b/>
          <w:sz w:val="32"/>
          <w:szCs w:val="32"/>
        </w:rPr>
        <w:t>④信息化建设：</w:t>
      </w:r>
      <w:r>
        <w:rPr>
          <w:rFonts w:eastAsia="仿宋_GB2312"/>
          <w:sz w:val="32"/>
          <w:szCs w:val="32"/>
        </w:rPr>
        <w:t>指财政部门用于信息化建设方面的支出。</w:t>
      </w:r>
    </w:p>
    <w:p w14:paraId="159A29DE">
      <w:pPr>
        <w:spacing w:line="560" w:lineRule="exact"/>
        <w:ind w:firstLine="643" w:firstLineChars="200"/>
        <w:rPr>
          <w:rFonts w:eastAsia="仿宋_GB2312"/>
          <w:sz w:val="32"/>
          <w:szCs w:val="32"/>
        </w:rPr>
      </w:pPr>
      <w:r>
        <w:rPr>
          <w:rFonts w:eastAsia="仿宋_GB2312"/>
          <w:b/>
          <w:sz w:val="32"/>
          <w:szCs w:val="32"/>
        </w:rPr>
        <w:t>⑤财政委托业务支出：</w:t>
      </w:r>
      <w:r>
        <w:rPr>
          <w:rFonts w:eastAsia="仿宋_GB2312"/>
          <w:sz w:val="32"/>
          <w:szCs w:val="32"/>
        </w:rPr>
        <w:t>指财政委托评审机构进行财政投资评审和委托建设银行等机构代理业务发生的支出。</w:t>
      </w:r>
    </w:p>
    <w:p w14:paraId="072A6FF9">
      <w:pPr>
        <w:spacing w:line="560" w:lineRule="exact"/>
        <w:ind w:firstLine="643" w:firstLineChars="200"/>
        <w:rPr>
          <w:rFonts w:eastAsia="仿宋_GB2312"/>
          <w:sz w:val="32"/>
          <w:szCs w:val="32"/>
        </w:rPr>
      </w:pPr>
      <w:r>
        <w:rPr>
          <w:rFonts w:eastAsia="仿宋_GB2312"/>
          <w:b/>
          <w:sz w:val="32"/>
          <w:szCs w:val="32"/>
        </w:rPr>
        <w:t>⑥其他财政事务支出：</w:t>
      </w:r>
      <w:r>
        <w:rPr>
          <w:rFonts w:eastAsia="仿宋_GB2312"/>
          <w:sz w:val="32"/>
          <w:szCs w:val="32"/>
        </w:rPr>
        <w:t>指除上述项目以外其他财政事务方面的支出。</w:t>
      </w:r>
    </w:p>
    <w:p w14:paraId="620B8C51">
      <w:pPr>
        <w:spacing w:line="560" w:lineRule="exact"/>
        <w:ind w:firstLine="643" w:firstLineChars="200"/>
        <w:rPr>
          <w:rFonts w:eastAsia="仿宋_GB2312"/>
          <w:b/>
          <w:sz w:val="32"/>
          <w:szCs w:val="32"/>
        </w:rPr>
      </w:pPr>
      <w:r>
        <w:rPr>
          <w:rFonts w:eastAsia="仿宋_GB2312"/>
          <w:b/>
          <w:sz w:val="32"/>
          <w:szCs w:val="32"/>
        </w:rPr>
        <w:t xml:space="preserve">10.社会保障和就业（类）行政事业单位养老支出（款）  </w:t>
      </w:r>
    </w:p>
    <w:p w14:paraId="0693DA09">
      <w:pPr>
        <w:spacing w:line="560" w:lineRule="exact"/>
        <w:ind w:firstLine="643" w:firstLineChars="200"/>
        <w:rPr>
          <w:rFonts w:eastAsia="仿宋_GB2312"/>
          <w:sz w:val="32"/>
          <w:szCs w:val="32"/>
        </w:rPr>
      </w:pPr>
      <w:r>
        <w:rPr>
          <w:rFonts w:eastAsia="仿宋_GB2312"/>
          <w:b/>
          <w:sz w:val="32"/>
          <w:szCs w:val="32"/>
        </w:rPr>
        <w:t>①行政单位离退休:</w:t>
      </w:r>
      <w:r>
        <w:rPr>
          <w:rFonts w:eastAsia="仿宋_GB2312"/>
          <w:sz w:val="32"/>
          <w:szCs w:val="32"/>
        </w:rPr>
        <w:t xml:space="preserve"> 指行政单位（包括实行公务员管理的事业单位）开支的离退休支出。</w:t>
      </w:r>
    </w:p>
    <w:p w14:paraId="17DC70EE">
      <w:pPr>
        <w:spacing w:line="560" w:lineRule="exact"/>
        <w:ind w:firstLine="643" w:firstLineChars="200"/>
        <w:rPr>
          <w:rFonts w:eastAsia="仿宋_GB2312"/>
          <w:sz w:val="32"/>
          <w:szCs w:val="32"/>
        </w:rPr>
      </w:pPr>
      <w:r>
        <w:rPr>
          <w:rFonts w:eastAsia="仿宋_GB2312"/>
          <w:b/>
          <w:sz w:val="32"/>
          <w:szCs w:val="32"/>
        </w:rPr>
        <w:t>②机关事业单位基本养老保险缴费支出：</w:t>
      </w:r>
      <w:r>
        <w:rPr>
          <w:rFonts w:eastAsia="仿宋_GB2312"/>
          <w:sz w:val="32"/>
          <w:szCs w:val="32"/>
        </w:rPr>
        <w:t>指机关事业单位实施养老保险制度有单位缴纳的基本养老保险费支出。</w:t>
      </w:r>
    </w:p>
    <w:p w14:paraId="497BAD12">
      <w:pPr>
        <w:spacing w:line="560" w:lineRule="exact"/>
        <w:ind w:firstLine="643" w:firstLineChars="200"/>
        <w:rPr>
          <w:rFonts w:eastAsia="仿宋_GB2312"/>
          <w:sz w:val="32"/>
          <w:szCs w:val="32"/>
        </w:rPr>
      </w:pPr>
      <w:r>
        <w:rPr>
          <w:rFonts w:eastAsia="仿宋_GB2312"/>
          <w:b/>
          <w:sz w:val="32"/>
          <w:szCs w:val="32"/>
        </w:rPr>
        <w:t>11.社会保障和就业（类）抚恤（款）伤残抚恤（项）：</w:t>
      </w:r>
      <w:r>
        <w:rPr>
          <w:rFonts w:eastAsia="仿宋_GB2312"/>
          <w:sz w:val="32"/>
          <w:szCs w:val="32"/>
        </w:rPr>
        <w:t>指反映按规定用于伤残人员的抚恤金和按规定开支的各种伤残补助费。</w:t>
      </w:r>
    </w:p>
    <w:p w14:paraId="6537087B">
      <w:pPr>
        <w:spacing w:line="560" w:lineRule="exact"/>
        <w:ind w:firstLine="643" w:firstLineChars="200"/>
        <w:rPr>
          <w:rFonts w:eastAsia="仿宋_GB2312"/>
          <w:sz w:val="32"/>
          <w:szCs w:val="32"/>
        </w:rPr>
      </w:pPr>
      <w:r>
        <w:rPr>
          <w:rFonts w:eastAsia="仿宋_GB2312"/>
          <w:b/>
          <w:sz w:val="32"/>
          <w:szCs w:val="32"/>
        </w:rPr>
        <w:t>12.住房保障支出（类）住房改革支出（款）住房公积金（项）：</w:t>
      </w:r>
      <w:r>
        <w:rPr>
          <w:rFonts w:eastAsia="仿宋_GB2312"/>
          <w:sz w:val="32"/>
          <w:szCs w:val="32"/>
        </w:rPr>
        <w:t>指行政事业单位按人力资源和社会保障部、财政部规定的基本工资和津贴补贴以及规定比例为职工缴纳的住房公积金。</w:t>
      </w:r>
    </w:p>
    <w:p w14:paraId="6C12E2C8">
      <w:pPr>
        <w:spacing w:line="560" w:lineRule="exact"/>
        <w:ind w:firstLine="643" w:firstLineChars="200"/>
        <w:rPr>
          <w:rFonts w:eastAsia="仿宋_GB2312"/>
          <w:sz w:val="32"/>
          <w:szCs w:val="32"/>
        </w:rPr>
      </w:pPr>
      <w:r>
        <w:rPr>
          <w:rFonts w:eastAsia="仿宋_GB2312"/>
          <w:b/>
          <w:sz w:val="32"/>
          <w:szCs w:val="32"/>
        </w:rPr>
        <w:t>13.农林水支出（类）农业农村（款）其他农业支出（项）:</w:t>
      </w:r>
      <w:r>
        <w:rPr>
          <w:rFonts w:eastAsia="仿宋_GB2312"/>
          <w:sz w:val="32"/>
          <w:szCs w:val="32"/>
        </w:rPr>
        <w:t>指其他项目以外用于农业方面的支出。</w:t>
      </w:r>
    </w:p>
    <w:p w14:paraId="75D4361B">
      <w:pPr>
        <w:spacing w:line="560" w:lineRule="exact"/>
        <w:ind w:firstLine="643" w:firstLineChars="200"/>
        <w:rPr>
          <w:rFonts w:eastAsia="仿宋_GB2312"/>
          <w:b/>
          <w:sz w:val="32"/>
          <w:szCs w:val="32"/>
        </w:rPr>
      </w:pPr>
      <w:r>
        <w:rPr>
          <w:rFonts w:eastAsia="仿宋_GB2312"/>
          <w:b/>
          <w:sz w:val="32"/>
          <w:szCs w:val="32"/>
        </w:rPr>
        <w:t>14.卫生健康支出（类）行政事业单位医疗（款）</w:t>
      </w:r>
    </w:p>
    <w:p w14:paraId="76EE6BA4">
      <w:pPr>
        <w:spacing w:line="560" w:lineRule="exact"/>
        <w:ind w:firstLine="643" w:firstLineChars="200"/>
        <w:rPr>
          <w:rFonts w:eastAsia="仿宋_GB2312"/>
          <w:sz w:val="32"/>
          <w:szCs w:val="32"/>
        </w:rPr>
      </w:pPr>
      <w:r>
        <w:rPr>
          <w:rFonts w:eastAsia="仿宋_GB2312"/>
          <w:b/>
          <w:sz w:val="32"/>
          <w:szCs w:val="32"/>
        </w:rPr>
        <w:sym w:font="Wingdings" w:char="F081"/>
      </w:r>
      <w:r>
        <w:rPr>
          <w:rFonts w:eastAsia="仿宋_GB2312"/>
          <w:b/>
          <w:sz w:val="32"/>
          <w:szCs w:val="32"/>
        </w:rPr>
        <w:t>行政单位医疗：</w:t>
      </w:r>
      <w:r>
        <w:rPr>
          <w:rFonts w:eastAsia="仿宋_GB2312"/>
          <w:sz w:val="32"/>
          <w:szCs w:val="32"/>
        </w:rPr>
        <w:t>指财政部门安排的行政单位（包括实行公务员管理的事业单位，下同）基本医疗保险缴费经费，未参加医疗保险的行政单位的公费医疗经费，按国家规定享受离休人员、红军老战士待遇人员的医疗经费。</w:t>
      </w:r>
    </w:p>
    <w:p w14:paraId="70DD982E">
      <w:pPr>
        <w:spacing w:line="560" w:lineRule="exact"/>
        <w:ind w:firstLine="643" w:firstLineChars="200"/>
        <w:rPr>
          <w:rFonts w:eastAsia="仿宋_GB2312"/>
          <w:sz w:val="32"/>
          <w:szCs w:val="32"/>
        </w:rPr>
      </w:pPr>
      <w:r>
        <w:rPr>
          <w:rFonts w:eastAsia="仿宋_GB2312"/>
          <w:b/>
          <w:sz w:val="32"/>
          <w:szCs w:val="32"/>
        </w:rPr>
        <w:sym w:font="Wingdings" w:char="F082"/>
      </w:r>
      <w:r>
        <w:rPr>
          <w:rFonts w:eastAsia="仿宋_GB2312"/>
          <w:b/>
          <w:sz w:val="32"/>
          <w:szCs w:val="32"/>
        </w:rPr>
        <w:t>事业单位医疗：</w:t>
      </w:r>
      <w:r>
        <w:rPr>
          <w:rFonts w:eastAsia="仿宋_GB2312"/>
          <w:sz w:val="32"/>
          <w:szCs w:val="32"/>
        </w:rPr>
        <w:t>指财政部门安排的事业单位基本医疗保险缴费经费，未参加医疗保险的事业单位的公费医疗经费，按国家规定享受离休人员医疗经费。</w:t>
      </w:r>
    </w:p>
    <w:p w14:paraId="167B8F06">
      <w:pPr>
        <w:spacing w:line="560" w:lineRule="exact"/>
        <w:ind w:firstLine="643" w:firstLineChars="200"/>
        <w:rPr>
          <w:rFonts w:eastAsia="仿宋_GB2312"/>
          <w:sz w:val="32"/>
          <w:szCs w:val="32"/>
        </w:rPr>
      </w:pPr>
      <w:r>
        <w:rPr>
          <w:rFonts w:eastAsia="仿宋_GB2312"/>
          <w:b/>
          <w:sz w:val="32"/>
          <w:szCs w:val="32"/>
        </w:rPr>
        <w:sym w:font="Wingdings" w:char="F083"/>
      </w:r>
      <w:r>
        <w:rPr>
          <w:rFonts w:eastAsia="仿宋_GB2312"/>
          <w:b/>
          <w:sz w:val="32"/>
          <w:szCs w:val="32"/>
        </w:rPr>
        <w:t>公务员医疗补助：</w:t>
      </w:r>
      <w:r>
        <w:rPr>
          <w:rFonts w:eastAsia="仿宋_GB2312"/>
          <w:sz w:val="32"/>
          <w:szCs w:val="32"/>
        </w:rPr>
        <w:t>指财政部门安排的公务员医疗补助经费。</w:t>
      </w:r>
    </w:p>
    <w:p w14:paraId="40A31BCF">
      <w:pPr>
        <w:spacing w:line="560" w:lineRule="exact"/>
        <w:ind w:firstLine="643" w:firstLineChars="200"/>
        <w:rPr>
          <w:rFonts w:eastAsia="仿宋_GB2312"/>
          <w:sz w:val="32"/>
          <w:szCs w:val="32"/>
        </w:rPr>
      </w:pPr>
      <w:r>
        <w:rPr>
          <w:rFonts w:eastAsia="仿宋_GB2312"/>
          <w:b/>
          <w:sz w:val="32"/>
          <w:szCs w:val="32"/>
        </w:rPr>
        <w:sym w:font="Wingdings" w:char="0084"/>
      </w:r>
      <w:r>
        <w:rPr>
          <w:rFonts w:eastAsia="仿宋_GB2312"/>
          <w:b/>
          <w:sz w:val="32"/>
          <w:szCs w:val="32"/>
        </w:rPr>
        <w:t>其他行政事业单位医疗支出：</w:t>
      </w:r>
      <w:r>
        <w:rPr>
          <w:rFonts w:eastAsia="仿宋_GB2312"/>
          <w:sz w:val="32"/>
          <w:szCs w:val="32"/>
        </w:rPr>
        <w:t>指除上述项目以外的其他用于行政事业单位医疗方面的支出。</w:t>
      </w:r>
    </w:p>
    <w:p w14:paraId="6CCBCCF3">
      <w:pPr>
        <w:spacing w:line="560" w:lineRule="exact"/>
        <w:ind w:firstLine="643" w:firstLineChars="200"/>
        <w:rPr>
          <w:rFonts w:eastAsia="仿宋_GB2312"/>
          <w:sz w:val="32"/>
          <w:szCs w:val="32"/>
        </w:rPr>
      </w:pPr>
      <w:r>
        <w:rPr>
          <w:rFonts w:eastAsia="仿宋_GB2312"/>
          <w:b/>
          <w:sz w:val="32"/>
          <w:szCs w:val="32"/>
        </w:rPr>
        <w:t>15.一般公共服务（类）统计信息事务支出（款）专项统计业务（项）：</w:t>
      </w:r>
      <w:r>
        <w:rPr>
          <w:rFonts w:eastAsia="仿宋_GB2312"/>
          <w:sz w:val="32"/>
          <w:szCs w:val="32"/>
        </w:rPr>
        <w:t>指各级统计机光在日常业务之外开展专项统计工作的支出。</w:t>
      </w:r>
    </w:p>
    <w:p w14:paraId="1B95585F">
      <w:pPr>
        <w:spacing w:line="560" w:lineRule="exact"/>
        <w:ind w:firstLine="643" w:firstLineChars="200"/>
        <w:rPr>
          <w:rFonts w:eastAsia="仿宋_GB2312"/>
          <w:sz w:val="32"/>
          <w:szCs w:val="32"/>
        </w:rPr>
      </w:pPr>
      <w:r>
        <w:rPr>
          <w:rFonts w:eastAsia="仿宋_GB2312"/>
          <w:b/>
          <w:sz w:val="32"/>
          <w:szCs w:val="32"/>
        </w:rPr>
        <w:t>16.其他支出（类）其他支出（款）其他支出（项）：</w:t>
      </w:r>
      <w:r>
        <w:rPr>
          <w:rFonts w:eastAsia="仿宋_GB2312"/>
          <w:sz w:val="32"/>
          <w:szCs w:val="32"/>
        </w:rPr>
        <w:t>指除上述项目以外其他不能划分到具体功能科目中的支出项目。</w:t>
      </w:r>
    </w:p>
    <w:p w14:paraId="33255FD7">
      <w:pPr>
        <w:spacing w:line="560" w:lineRule="exact"/>
        <w:ind w:firstLine="643" w:firstLineChars="200"/>
        <w:rPr>
          <w:rFonts w:eastAsia="仿宋_GB2312"/>
          <w:sz w:val="32"/>
          <w:szCs w:val="32"/>
        </w:rPr>
      </w:pPr>
      <w:r>
        <w:rPr>
          <w:rFonts w:eastAsia="仿宋_GB2312"/>
          <w:b/>
          <w:sz w:val="32"/>
          <w:szCs w:val="32"/>
        </w:rPr>
        <w:t>17.基本支出：</w:t>
      </w:r>
      <w:r>
        <w:rPr>
          <w:rFonts w:eastAsia="仿宋_GB2312"/>
          <w:sz w:val="32"/>
          <w:szCs w:val="32"/>
        </w:rPr>
        <w:t>指为保障机构正常运转、完成日常工作任务而发生的人员支出和公用支出。</w:t>
      </w:r>
    </w:p>
    <w:p w14:paraId="02323D67">
      <w:pPr>
        <w:spacing w:line="560" w:lineRule="exact"/>
        <w:ind w:firstLine="643" w:firstLineChars="200"/>
        <w:rPr>
          <w:rFonts w:eastAsia="仿宋_GB2312"/>
          <w:sz w:val="32"/>
          <w:szCs w:val="32"/>
        </w:rPr>
      </w:pPr>
      <w:r>
        <w:rPr>
          <w:rFonts w:eastAsia="仿宋_GB2312"/>
          <w:b/>
          <w:sz w:val="32"/>
          <w:szCs w:val="32"/>
        </w:rPr>
        <w:t>18.项目支出：</w:t>
      </w:r>
      <w:r>
        <w:rPr>
          <w:rFonts w:eastAsia="仿宋_GB2312"/>
          <w:sz w:val="32"/>
          <w:szCs w:val="32"/>
        </w:rPr>
        <w:t xml:space="preserve">指在基本支出之外为完成特定行政任务和事业发展目标所发生的支出。 </w:t>
      </w:r>
    </w:p>
    <w:p w14:paraId="690ACF20">
      <w:pPr>
        <w:spacing w:line="560" w:lineRule="exact"/>
        <w:ind w:firstLine="643" w:firstLineChars="200"/>
        <w:rPr>
          <w:rFonts w:eastAsia="仿宋_GB2312"/>
          <w:sz w:val="32"/>
          <w:szCs w:val="32"/>
        </w:rPr>
      </w:pPr>
      <w:r>
        <w:rPr>
          <w:rFonts w:eastAsia="仿宋_GB2312"/>
          <w:b/>
          <w:sz w:val="32"/>
          <w:szCs w:val="32"/>
        </w:rPr>
        <w:t>19.经营支出：</w:t>
      </w:r>
      <w:r>
        <w:rPr>
          <w:rFonts w:eastAsia="仿宋_GB2312"/>
          <w:sz w:val="32"/>
          <w:szCs w:val="32"/>
        </w:rPr>
        <w:t>指事业单位在专业业务活动及其辅助活动之外开展非独立核算经营活动发生的支出。</w:t>
      </w:r>
    </w:p>
    <w:p w14:paraId="7FD887E1">
      <w:pPr>
        <w:spacing w:line="560" w:lineRule="exact"/>
        <w:ind w:firstLine="643" w:firstLineChars="200"/>
        <w:rPr>
          <w:rFonts w:eastAsia="仿宋_GB2312"/>
          <w:sz w:val="32"/>
          <w:szCs w:val="32"/>
        </w:rPr>
      </w:pPr>
      <w:r>
        <w:rPr>
          <w:rFonts w:eastAsia="仿宋_GB2312"/>
          <w:b/>
          <w:sz w:val="32"/>
          <w:szCs w:val="32"/>
        </w:rPr>
        <w:t>20.“三公”经费：</w:t>
      </w:r>
      <w:r>
        <w:rPr>
          <w:rFonts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E46FDF">
      <w:pPr>
        <w:spacing w:line="560" w:lineRule="exact"/>
        <w:ind w:firstLine="643" w:firstLineChars="200"/>
        <w:rPr>
          <w:rFonts w:eastAsia="仿宋_GB2312"/>
          <w:sz w:val="32"/>
          <w:szCs w:val="32"/>
        </w:rPr>
      </w:pPr>
      <w:r>
        <w:rPr>
          <w:rFonts w:eastAsia="仿宋_GB2312"/>
          <w:b/>
          <w:sz w:val="32"/>
          <w:szCs w:val="32"/>
        </w:rPr>
        <w:t>21.机关运行经费：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8588B6">
      <w:pPr>
        <w:jc w:val="center"/>
        <w:rPr>
          <w:rFonts w:eastAsia="黑体"/>
          <w:sz w:val="44"/>
          <w:szCs w:val="44"/>
        </w:rPr>
      </w:pPr>
      <w:r>
        <w:rPr>
          <w:rFonts w:ascii="宋体"/>
          <w:b/>
        </w:rPr>
        <w:br w:type="page"/>
      </w:r>
      <w:bookmarkStart w:id="90" w:name="_Toc15396614"/>
      <w:bookmarkStart w:id="91" w:name="_Toc3235_WPSOffice_Level1"/>
      <w:r>
        <w:rPr>
          <w:rFonts w:eastAsia="黑体"/>
          <w:sz w:val="44"/>
          <w:szCs w:val="44"/>
        </w:rPr>
        <w:t>第四部分 附件</w:t>
      </w:r>
      <w:bookmarkEnd w:id="90"/>
      <w:bookmarkEnd w:id="91"/>
    </w:p>
    <w:p w14:paraId="49C3E898">
      <w:pPr>
        <w:spacing w:line="572" w:lineRule="exact"/>
        <w:jc w:val="left"/>
        <w:outlineLvl w:val="0"/>
        <w:rPr>
          <w:rFonts w:eastAsia="方正小标宋简体"/>
          <w:sz w:val="44"/>
          <w:szCs w:val="44"/>
        </w:rPr>
      </w:pPr>
      <w:r>
        <w:rPr>
          <w:rFonts w:hAnsi="黑体" w:eastAsia="黑体"/>
          <w:sz w:val="32"/>
          <w:szCs w:val="32"/>
        </w:rPr>
        <w:t>附件</w:t>
      </w:r>
    </w:p>
    <w:p w14:paraId="4733688D">
      <w:pPr>
        <w:spacing w:line="600" w:lineRule="exact"/>
        <w:jc w:val="center"/>
        <w:rPr>
          <w:rFonts w:eastAsia="方正小标宋_GBK"/>
          <w:b/>
          <w:kern w:val="0"/>
          <w:sz w:val="36"/>
          <w:szCs w:val="36"/>
          <w:lang w:val="zh-CN"/>
        </w:rPr>
      </w:pPr>
      <w:bookmarkStart w:id="92" w:name="_Toc29419_WPSOffice_Level2"/>
      <w:r>
        <w:rPr>
          <w:rFonts w:eastAsia="方正小标宋_GBK"/>
          <w:b/>
          <w:kern w:val="0"/>
          <w:sz w:val="36"/>
          <w:szCs w:val="36"/>
        </w:rPr>
        <w:t>2021年盐边县财政</w:t>
      </w:r>
      <w:r>
        <w:rPr>
          <w:rFonts w:hint="eastAsia" w:eastAsia="方正小标宋_GBK"/>
          <w:b/>
          <w:kern w:val="0"/>
          <w:sz w:val="36"/>
          <w:szCs w:val="36"/>
          <w:lang w:eastAsia="zh-CN"/>
        </w:rPr>
        <w:t>局</w:t>
      </w:r>
      <w:r>
        <w:rPr>
          <w:rFonts w:eastAsia="方正小标宋_GBK"/>
          <w:b/>
          <w:kern w:val="0"/>
          <w:sz w:val="36"/>
          <w:szCs w:val="36"/>
        </w:rPr>
        <w:t>部门整体绩效评价报告</w:t>
      </w:r>
      <w:bookmarkEnd w:id="92"/>
    </w:p>
    <w:p w14:paraId="39161F04">
      <w:pPr>
        <w:widowControl/>
        <w:spacing w:line="600" w:lineRule="exact"/>
        <w:ind w:firstLine="643" w:firstLineChars="200"/>
        <w:contextualSpacing/>
        <w:jc w:val="center"/>
        <w:rPr>
          <w:rFonts w:eastAsia="楷体_GB2312"/>
          <w:b/>
          <w:sz w:val="32"/>
          <w:szCs w:val="32"/>
          <w:shd w:val="clear" w:color="auto" w:fill="FFFFFF"/>
        </w:rPr>
      </w:pPr>
      <w:bookmarkStart w:id="93" w:name="_Toc15422_WPSOffice_Level2"/>
      <w:r>
        <w:rPr>
          <w:rFonts w:eastAsia="楷体_GB2312"/>
          <w:b/>
          <w:sz w:val="32"/>
          <w:szCs w:val="32"/>
          <w:shd w:val="clear" w:color="auto" w:fill="FFFFFF"/>
        </w:rPr>
        <w:t>（报告范围包括机关和下属单位）</w:t>
      </w:r>
      <w:bookmarkEnd w:id="93"/>
    </w:p>
    <w:p w14:paraId="2A4A9E84">
      <w:pPr>
        <w:spacing w:line="560" w:lineRule="exact"/>
        <w:ind w:firstLine="640" w:firstLineChars="200"/>
        <w:rPr>
          <w:rFonts w:eastAsia="黑体"/>
          <w:sz w:val="32"/>
          <w:szCs w:val="32"/>
        </w:rPr>
      </w:pPr>
      <w:bookmarkStart w:id="94" w:name="_Toc24365_WPSOffice_Level2"/>
      <w:r>
        <w:rPr>
          <w:rFonts w:eastAsia="黑体"/>
          <w:sz w:val="32"/>
          <w:szCs w:val="32"/>
        </w:rPr>
        <w:t>一、部门概况</w:t>
      </w:r>
      <w:bookmarkEnd w:id="94"/>
    </w:p>
    <w:p w14:paraId="7D199AE4">
      <w:pPr>
        <w:spacing w:line="560" w:lineRule="exact"/>
        <w:ind w:firstLine="640" w:firstLineChars="200"/>
        <w:rPr>
          <w:rFonts w:eastAsia="楷体_GB2312"/>
          <w:sz w:val="32"/>
          <w:szCs w:val="32"/>
        </w:rPr>
      </w:pPr>
      <w:r>
        <w:rPr>
          <w:rFonts w:eastAsia="楷体_GB2312"/>
          <w:sz w:val="32"/>
          <w:szCs w:val="32"/>
        </w:rPr>
        <w:t>（一）机构组成。</w:t>
      </w:r>
    </w:p>
    <w:p w14:paraId="79311FC6">
      <w:pPr>
        <w:spacing w:line="560" w:lineRule="exact"/>
        <w:ind w:firstLine="640" w:firstLineChars="200"/>
        <w:rPr>
          <w:rFonts w:eastAsia="仿宋_GB2312"/>
          <w:sz w:val="32"/>
          <w:szCs w:val="32"/>
        </w:rPr>
      </w:pPr>
      <w:r>
        <w:rPr>
          <w:rFonts w:eastAsia="仿宋_GB2312"/>
          <w:sz w:val="32"/>
          <w:szCs w:val="32"/>
        </w:rPr>
        <w:t>盐边县财政局下属非独立核算单位4个、独立核算单位2个，其中：参照公务员法管理事业单位1个、其他事业单位5个。主要包括：盐边县财政国库支付中心、盐边县乡镇财政事务中心、盐边县国有资产投资服务中心、盐边县财政收费票据中心、盐边县财政投资评审中心，盐边县政府外债项目服务中心。</w:t>
      </w:r>
    </w:p>
    <w:p w14:paraId="6D27226F">
      <w:pPr>
        <w:spacing w:line="560" w:lineRule="exact"/>
        <w:ind w:firstLine="640" w:firstLineChars="200"/>
        <w:rPr>
          <w:rFonts w:eastAsia="楷体_GB2312"/>
          <w:sz w:val="32"/>
          <w:szCs w:val="32"/>
        </w:rPr>
      </w:pPr>
      <w:r>
        <w:rPr>
          <w:rFonts w:eastAsia="楷体_GB2312"/>
          <w:sz w:val="32"/>
          <w:szCs w:val="32"/>
        </w:rPr>
        <w:t>（二）机构职能。</w:t>
      </w:r>
    </w:p>
    <w:p w14:paraId="4D5AAA83">
      <w:pPr>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与乡（镇）政府、政府与企业的分配政策，完善鼓励公益事业发展的财税政策。</w:t>
      </w:r>
    </w:p>
    <w:p w14:paraId="6A87CE30">
      <w:pPr>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14:paraId="5CA357C1">
      <w:pPr>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14:paraId="7E337159">
      <w:pPr>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14:paraId="6118FCFD">
      <w:pPr>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14:paraId="4A2D06AC">
      <w:pPr>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14:paraId="392C01B7">
      <w:pPr>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14:paraId="6120E6DA">
      <w:pPr>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14:paraId="70C50BE0">
      <w:pPr>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14:paraId="3FB02DB8">
      <w:pPr>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14:paraId="41AAB48D">
      <w:pPr>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14:paraId="37E0ED55">
      <w:pPr>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14:paraId="0BDA0734">
      <w:pPr>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14:paraId="4E63FD3F">
      <w:pPr>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14:paraId="75A21146">
      <w:pPr>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14:paraId="116BE9C8">
      <w:pPr>
        <w:spacing w:line="560" w:lineRule="exact"/>
        <w:ind w:firstLine="640" w:firstLineChars="200"/>
        <w:rPr>
          <w:rFonts w:eastAsia="仿宋_GB2312"/>
          <w:sz w:val="32"/>
          <w:szCs w:val="32"/>
        </w:rPr>
      </w:pPr>
      <w:r>
        <w:rPr>
          <w:rFonts w:eastAsia="仿宋_GB2312"/>
          <w:sz w:val="32"/>
          <w:szCs w:val="32"/>
        </w:rPr>
        <w:t>16.完成县委、县政府交办的其他任务。</w:t>
      </w:r>
    </w:p>
    <w:p w14:paraId="7BDBC012">
      <w:pPr>
        <w:spacing w:line="560" w:lineRule="exact"/>
        <w:ind w:firstLine="640" w:firstLineChars="200"/>
        <w:rPr>
          <w:rFonts w:eastAsia="仿宋_GB2312"/>
          <w:sz w:val="32"/>
          <w:szCs w:val="32"/>
        </w:rPr>
      </w:pPr>
      <w:r>
        <w:rPr>
          <w:rFonts w:eastAsia="仿宋_GB2312"/>
          <w:sz w:val="32"/>
          <w:szCs w:val="32"/>
        </w:rPr>
        <w:t>17.职能转变。</w:t>
      </w:r>
    </w:p>
    <w:p w14:paraId="3C183D49">
      <w:pPr>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14:paraId="540898FB">
      <w:pPr>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14:paraId="795074B3">
      <w:pPr>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14:paraId="11763618">
      <w:pPr>
        <w:spacing w:line="560" w:lineRule="exact"/>
        <w:ind w:firstLine="640" w:firstLineChars="200"/>
        <w:rPr>
          <w:rFonts w:eastAsia="仿宋_GB2312"/>
          <w:sz w:val="32"/>
          <w:szCs w:val="32"/>
        </w:rPr>
      </w:pPr>
      <w:r>
        <w:rPr>
          <w:rFonts w:eastAsia="仿宋_GB2312"/>
          <w:sz w:val="32"/>
          <w:szCs w:val="32"/>
        </w:rPr>
        <w:t>18.有关职责分工。</w:t>
      </w:r>
    </w:p>
    <w:p w14:paraId="2DA1B034">
      <w:pPr>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14:paraId="26322F78">
      <w:pPr>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14:paraId="79CF0219">
      <w:pPr>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14:paraId="1D7A4BD2">
      <w:pPr>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w:t>
      </w:r>
    </w:p>
    <w:p w14:paraId="531152BC">
      <w:pPr>
        <w:spacing w:line="560" w:lineRule="exact"/>
        <w:ind w:firstLine="640" w:firstLineChars="200"/>
        <w:rPr>
          <w:rFonts w:eastAsia="楷体_GB2312"/>
          <w:sz w:val="32"/>
          <w:szCs w:val="32"/>
        </w:rPr>
      </w:pPr>
      <w:r>
        <w:rPr>
          <w:rFonts w:eastAsia="楷体_GB2312"/>
          <w:sz w:val="32"/>
          <w:szCs w:val="32"/>
        </w:rPr>
        <w:t>（三）人员概况。</w:t>
      </w:r>
    </w:p>
    <w:p w14:paraId="444188ED">
      <w:pPr>
        <w:spacing w:line="560" w:lineRule="exact"/>
        <w:ind w:firstLine="640" w:firstLineChars="200"/>
        <w:rPr>
          <w:rFonts w:eastAsia="仿宋_GB2312"/>
          <w:sz w:val="32"/>
          <w:szCs w:val="32"/>
        </w:rPr>
      </w:pPr>
      <w:r>
        <w:rPr>
          <w:rFonts w:eastAsia="仿宋_GB2312"/>
          <w:sz w:val="32"/>
          <w:szCs w:val="32"/>
        </w:rPr>
        <w:t xml:space="preserve">2021年末在职人员63人，其中行政在编人员20人，行政工勤人员3人，参照公务员法管理人员15人，事业在编人员25人，退休人员26人。 </w:t>
      </w:r>
    </w:p>
    <w:p w14:paraId="577250B6">
      <w:pPr>
        <w:spacing w:line="560" w:lineRule="exact"/>
        <w:ind w:firstLine="640" w:firstLineChars="200"/>
        <w:rPr>
          <w:rFonts w:eastAsia="黑体"/>
          <w:sz w:val="32"/>
          <w:szCs w:val="32"/>
        </w:rPr>
      </w:pPr>
      <w:bookmarkStart w:id="95" w:name="_Toc5213_WPSOffice_Level2"/>
      <w:r>
        <w:rPr>
          <w:rFonts w:eastAsia="黑体"/>
          <w:sz w:val="32"/>
          <w:szCs w:val="32"/>
        </w:rPr>
        <w:t>二、部门财政资金基本情况</w:t>
      </w:r>
      <w:bookmarkEnd w:id="95"/>
    </w:p>
    <w:p w14:paraId="2122321B">
      <w:pPr>
        <w:spacing w:line="560" w:lineRule="exact"/>
        <w:ind w:firstLine="640" w:firstLineChars="200"/>
        <w:rPr>
          <w:rFonts w:eastAsia="楷体_GB2312"/>
          <w:sz w:val="32"/>
          <w:szCs w:val="32"/>
        </w:rPr>
      </w:pPr>
      <w:r>
        <w:rPr>
          <w:rFonts w:eastAsia="楷体_GB2312"/>
          <w:sz w:val="32"/>
          <w:szCs w:val="32"/>
        </w:rPr>
        <w:t>（一）部门财政资金收入情况。</w:t>
      </w:r>
    </w:p>
    <w:p w14:paraId="2AF16FE9">
      <w:pPr>
        <w:spacing w:line="560" w:lineRule="exact"/>
        <w:ind w:firstLine="640" w:firstLineChars="200"/>
        <w:rPr>
          <w:rFonts w:eastAsia="仿宋_GB2312"/>
          <w:sz w:val="32"/>
          <w:szCs w:val="32"/>
        </w:rPr>
      </w:pPr>
      <w:r>
        <w:rPr>
          <w:rFonts w:eastAsia="仿宋_GB2312"/>
          <w:sz w:val="32"/>
          <w:szCs w:val="32"/>
        </w:rPr>
        <w:t>2021年本年收入合计1543.21万元，其中：一般公共预算财政拨款收入1515.21万元，占98.19%；政府性基金预算财政拨款收入0万元，占0%；国有资本经营预算财政拨款收入0万元，占0%；上级补助收入0万元，占0%；事业收入0万元，占0%；经营收入0万元，占0%；附属单位上缴收入0万元，占0%；其他收入28.00万元，占1.81%。</w:t>
      </w:r>
    </w:p>
    <w:p w14:paraId="744AD2F0">
      <w:pPr>
        <w:spacing w:line="560" w:lineRule="exact"/>
        <w:ind w:firstLine="640" w:firstLineChars="200"/>
        <w:rPr>
          <w:rFonts w:eastAsia="楷体_GB2312"/>
          <w:sz w:val="32"/>
          <w:szCs w:val="32"/>
        </w:rPr>
      </w:pPr>
      <w:r>
        <w:rPr>
          <w:rFonts w:eastAsia="楷体_GB2312"/>
          <w:sz w:val="32"/>
          <w:szCs w:val="32"/>
        </w:rPr>
        <w:t>（二）部门财政资金支出情况。</w:t>
      </w:r>
    </w:p>
    <w:p w14:paraId="2FC6758F">
      <w:pPr>
        <w:spacing w:line="560" w:lineRule="exact"/>
        <w:ind w:firstLine="643" w:firstLineChars="200"/>
        <w:rPr>
          <w:rFonts w:eastAsia="仿宋_GB2312"/>
          <w:b/>
          <w:sz w:val="32"/>
          <w:szCs w:val="32"/>
        </w:rPr>
      </w:pPr>
      <w:r>
        <w:rPr>
          <w:rFonts w:eastAsia="仿宋_GB2312"/>
          <w:b/>
          <w:sz w:val="32"/>
          <w:szCs w:val="32"/>
        </w:rPr>
        <w:t>1.部门财政拨款基本支出情况</w:t>
      </w:r>
    </w:p>
    <w:p w14:paraId="727BDFC3">
      <w:pPr>
        <w:spacing w:line="560" w:lineRule="exact"/>
        <w:ind w:firstLine="640" w:firstLineChars="200"/>
        <w:rPr>
          <w:rFonts w:eastAsia="仿宋_GB2312"/>
          <w:sz w:val="32"/>
          <w:szCs w:val="32"/>
        </w:rPr>
      </w:pPr>
      <w:r>
        <w:rPr>
          <w:rFonts w:eastAsia="仿宋_GB2312"/>
          <w:sz w:val="32"/>
          <w:szCs w:val="32"/>
        </w:rPr>
        <w:t>2021年一般公共预算财政拨款基本支出895.37万元，其中：人员经费1022.89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sz w:val="32"/>
          <w:szCs w:val="32"/>
        </w:rPr>
        <w:br w:type="textWrapping"/>
      </w:r>
      <w:r>
        <w:rPr>
          <w:rFonts w:eastAsia="仿宋_GB2312"/>
          <w:sz w:val="32"/>
          <w:szCs w:val="32"/>
        </w:rPr>
        <w:t>　　公用经费77.40万元，主要包括：办公费、印刷费、水费、电费、邮电费、差旅费、维修（护）费、租赁费、会议费、培训费、公务接待费、劳务费、工会经费、福利费、公务用车运行维护费、其他交通费、其他商品和服务支出、办公设备购置、专用设备购置。</w:t>
      </w:r>
    </w:p>
    <w:p w14:paraId="5F02F646">
      <w:pPr>
        <w:spacing w:line="560" w:lineRule="exact"/>
        <w:ind w:firstLine="643" w:firstLineChars="200"/>
        <w:rPr>
          <w:rFonts w:eastAsia="仿宋_GB2312"/>
          <w:b/>
          <w:sz w:val="32"/>
          <w:szCs w:val="32"/>
        </w:rPr>
      </w:pPr>
      <w:r>
        <w:rPr>
          <w:rFonts w:eastAsia="仿宋_GB2312"/>
          <w:b/>
          <w:sz w:val="32"/>
          <w:szCs w:val="32"/>
        </w:rPr>
        <w:t>2.部门财政拨款项目支出情况</w:t>
      </w:r>
    </w:p>
    <w:p w14:paraId="6C1675CE">
      <w:pPr>
        <w:spacing w:line="560" w:lineRule="exact"/>
        <w:ind w:firstLine="640" w:firstLineChars="200"/>
        <w:rPr>
          <w:rFonts w:eastAsia="仿宋_GB2312"/>
          <w:sz w:val="32"/>
          <w:szCs w:val="32"/>
        </w:rPr>
      </w:pPr>
      <w:r>
        <w:rPr>
          <w:rFonts w:eastAsia="仿宋_GB2312"/>
          <w:sz w:val="32"/>
          <w:szCs w:val="32"/>
        </w:rPr>
        <w:t>2021年年初部门预算安排项目支出为895.37万元；项目支出主要用于开展所需业务的劳务、差旅费等方面支出；保证全县金财网正常运行的网络维护等方面支出。</w:t>
      </w:r>
    </w:p>
    <w:p w14:paraId="3F4CD630">
      <w:pPr>
        <w:spacing w:line="560" w:lineRule="exact"/>
        <w:ind w:firstLine="640" w:firstLineChars="200"/>
        <w:rPr>
          <w:rFonts w:eastAsia="楷体_GB2312"/>
          <w:sz w:val="32"/>
          <w:szCs w:val="32"/>
        </w:rPr>
      </w:pPr>
      <w:r>
        <w:rPr>
          <w:rFonts w:eastAsia="楷体_GB2312"/>
          <w:sz w:val="32"/>
          <w:szCs w:val="32"/>
        </w:rPr>
        <w:t>（三）结转结余情况。</w:t>
      </w:r>
    </w:p>
    <w:p w14:paraId="70EEA142">
      <w:pPr>
        <w:spacing w:line="560" w:lineRule="exact"/>
        <w:ind w:firstLine="640" w:firstLineChars="200"/>
        <w:rPr>
          <w:rFonts w:eastAsia="仿宋_GB2312"/>
          <w:sz w:val="32"/>
          <w:szCs w:val="32"/>
        </w:rPr>
      </w:pPr>
      <w:r>
        <w:rPr>
          <w:rFonts w:eastAsia="仿宋_GB2312"/>
          <w:sz w:val="32"/>
          <w:szCs w:val="32"/>
        </w:rPr>
        <w:t>无结转结余。</w:t>
      </w:r>
    </w:p>
    <w:p w14:paraId="4AC8FA76">
      <w:pPr>
        <w:spacing w:line="560" w:lineRule="exact"/>
        <w:ind w:firstLine="640" w:firstLineChars="200"/>
        <w:rPr>
          <w:rFonts w:eastAsia="黑体"/>
          <w:sz w:val="32"/>
          <w:szCs w:val="32"/>
        </w:rPr>
      </w:pPr>
      <w:bookmarkStart w:id="96" w:name="_Toc2763_WPSOffice_Level2"/>
      <w:r>
        <w:rPr>
          <w:rFonts w:eastAsia="黑体"/>
          <w:sz w:val="32"/>
          <w:szCs w:val="32"/>
        </w:rPr>
        <w:t>三、部门预算绩效管理情况</w:t>
      </w:r>
      <w:bookmarkEnd w:id="96"/>
    </w:p>
    <w:p w14:paraId="25EEA15B">
      <w:pPr>
        <w:spacing w:line="560" w:lineRule="exact"/>
        <w:ind w:firstLine="640" w:firstLineChars="200"/>
        <w:rPr>
          <w:rFonts w:eastAsia="楷体_GB2312"/>
          <w:sz w:val="32"/>
          <w:szCs w:val="32"/>
        </w:rPr>
      </w:pPr>
      <w:r>
        <w:rPr>
          <w:rFonts w:eastAsia="楷体_GB2312"/>
          <w:sz w:val="32"/>
          <w:szCs w:val="32"/>
        </w:rPr>
        <w:t>（一）部门预算绩效管理。</w:t>
      </w:r>
    </w:p>
    <w:p w14:paraId="22FF5230">
      <w:pPr>
        <w:spacing w:line="560" w:lineRule="exact"/>
        <w:ind w:firstLine="643" w:firstLineChars="200"/>
        <w:rPr>
          <w:rFonts w:eastAsia="仿宋_GB2312"/>
          <w:b/>
          <w:sz w:val="32"/>
          <w:szCs w:val="32"/>
        </w:rPr>
      </w:pPr>
      <w:r>
        <w:rPr>
          <w:rFonts w:eastAsia="仿宋_GB2312"/>
          <w:b/>
          <w:sz w:val="32"/>
          <w:szCs w:val="32"/>
        </w:rPr>
        <w:t>1.绩效目标制定</w:t>
      </w:r>
    </w:p>
    <w:p w14:paraId="00CB1905">
      <w:pPr>
        <w:spacing w:line="560" w:lineRule="exact"/>
        <w:ind w:firstLine="640" w:firstLineChars="200"/>
        <w:rPr>
          <w:rFonts w:eastAsia="仿宋_GB2312"/>
          <w:sz w:val="32"/>
          <w:szCs w:val="32"/>
        </w:rPr>
      </w:pPr>
      <w:r>
        <w:rPr>
          <w:rFonts w:eastAsia="仿宋_GB2312"/>
          <w:sz w:val="32"/>
          <w:szCs w:val="32"/>
        </w:rPr>
        <w:t>2021年是中国共产党成立100周年，也是“十四五”开局之年，在县委、县政府的坚强领导下，在县人大和县政协的监督支持下，县财政局坚持以习近平新时代中国特色社会主义思想为指导，弘扬伟大建党精神，坚决贯彻中央、省、市、县委县政府重大决策部署，坚决落实省委“三保一优一防”重要要求，扎实做好“六稳”工作、全面落实“六保”任务，为巩固拓展疫情防控和经济社会发展成果提供有力支撑。</w:t>
      </w:r>
    </w:p>
    <w:p w14:paraId="3280696A">
      <w:pPr>
        <w:spacing w:line="560" w:lineRule="exact"/>
        <w:ind w:firstLine="643" w:firstLineChars="200"/>
        <w:rPr>
          <w:rFonts w:eastAsia="仿宋_GB2312"/>
          <w:b/>
          <w:sz w:val="32"/>
          <w:szCs w:val="32"/>
        </w:rPr>
      </w:pPr>
      <w:r>
        <w:rPr>
          <w:rFonts w:eastAsia="仿宋_GB2312"/>
          <w:b/>
          <w:sz w:val="32"/>
          <w:szCs w:val="32"/>
        </w:rPr>
        <w:t>2.绩效目标执行情况</w:t>
      </w:r>
    </w:p>
    <w:p w14:paraId="252EB43B">
      <w:pPr>
        <w:spacing w:line="560" w:lineRule="exact"/>
        <w:ind w:firstLine="640" w:firstLineChars="200"/>
        <w:rPr>
          <w:rFonts w:eastAsia="仿宋_GB2312"/>
          <w:sz w:val="32"/>
          <w:szCs w:val="32"/>
        </w:rPr>
      </w:pPr>
      <w:r>
        <w:rPr>
          <w:rFonts w:eastAsia="仿宋_GB2312"/>
          <w:sz w:val="32"/>
          <w:szCs w:val="32"/>
        </w:rPr>
        <w:t>盐边县财政局2021年度全年资金拨付和使用均按计划进度完成，在资金的使用上，严守法律底线、纪律底线，无违反财务管理、财经纪律情况发生，会计核算真实完整，项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3CE31161">
      <w:pPr>
        <w:spacing w:line="560" w:lineRule="exact"/>
        <w:ind w:firstLine="643" w:firstLineChars="200"/>
        <w:rPr>
          <w:rFonts w:eastAsia="仿宋_GB2312"/>
          <w:b/>
          <w:sz w:val="32"/>
          <w:szCs w:val="32"/>
        </w:rPr>
      </w:pPr>
      <w:r>
        <w:rPr>
          <w:rFonts w:eastAsia="仿宋_GB2312"/>
          <w:b/>
          <w:sz w:val="32"/>
          <w:szCs w:val="32"/>
        </w:rPr>
        <w:t>（1）人员类</w:t>
      </w:r>
    </w:p>
    <w:p w14:paraId="3067F2BA">
      <w:pPr>
        <w:spacing w:line="560" w:lineRule="exact"/>
        <w:ind w:firstLine="640" w:firstLineChars="200"/>
        <w:rPr>
          <w:rFonts w:eastAsia="仿宋_GB2312"/>
          <w:sz w:val="32"/>
          <w:szCs w:val="32"/>
        </w:rPr>
      </w:pPr>
      <w:r>
        <w:rPr>
          <w:rFonts w:eastAsia="仿宋_GB2312"/>
          <w:sz w:val="32"/>
          <w:szCs w:val="32"/>
        </w:rPr>
        <w:t>2021年度人员经费支出1022.89万元，主要用于职工工资及福利待遇支出，未将人员工资福利支出等大平台指标挪作它用，基本支出保障有力，确保全年平稳保障职工工资支出，维持基本行政运转，预算执行率100%。</w:t>
      </w:r>
    </w:p>
    <w:p w14:paraId="700FDC16">
      <w:pPr>
        <w:spacing w:line="560" w:lineRule="exact"/>
        <w:ind w:firstLine="643" w:firstLineChars="200"/>
        <w:rPr>
          <w:rFonts w:eastAsia="仿宋_GB2312"/>
          <w:b/>
          <w:sz w:val="32"/>
          <w:szCs w:val="32"/>
        </w:rPr>
      </w:pPr>
      <w:r>
        <w:rPr>
          <w:rFonts w:eastAsia="仿宋_GB2312"/>
          <w:b/>
          <w:sz w:val="32"/>
          <w:szCs w:val="32"/>
        </w:rPr>
        <w:t>（2）运转类</w:t>
      </w:r>
    </w:p>
    <w:p w14:paraId="23AF2DBA">
      <w:pPr>
        <w:spacing w:line="560" w:lineRule="exact"/>
        <w:ind w:firstLine="640" w:firstLineChars="200"/>
        <w:rPr>
          <w:rFonts w:eastAsia="仿宋_GB2312"/>
          <w:sz w:val="32"/>
          <w:szCs w:val="32"/>
        </w:rPr>
      </w:pPr>
      <w:r>
        <w:rPr>
          <w:rFonts w:eastAsia="仿宋_GB2312"/>
          <w:sz w:val="32"/>
          <w:szCs w:val="32"/>
        </w:rPr>
        <w:t>2021年度公用经费支出77.40万元，主要用于办公费、印刷费、水电费、差旅费、维修（护）费等日常公用经费，严格按照资金用途申报、使用资金，均已足额按时支付，有力保障了各项工作的顺利开展。预算执行率100%。</w:t>
      </w:r>
    </w:p>
    <w:p w14:paraId="0512350F">
      <w:pPr>
        <w:spacing w:line="560" w:lineRule="exact"/>
        <w:ind w:firstLine="643" w:firstLineChars="200"/>
        <w:rPr>
          <w:rFonts w:eastAsia="仿宋_GB2312"/>
          <w:b/>
          <w:sz w:val="32"/>
          <w:szCs w:val="32"/>
        </w:rPr>
      </w:pPr>
      <w:r>
        <w:rPr>
          <w:rFonts w:eastAsia="仿宋_GB2312"/>
          <w:b/>
          <w:sz w:val="32"/>
          <w:szCs w:val="32"/>
        </w:rPr>
        <w:t>（3）特定目标类</w:t>
      </w:r>
    </w:p>
    <w:p w14:paraId="1113265D">
      <w:pPr>
        <w:spacing w:line="560" w:lineRule="exact"/>
        <w:ind w:firstLine="640" w:firstLineChars="200"/>
        <w:rPr>
          <w:rFonts w:eastAsia="仿宋_GB2312"/>
          <w:sz w:val="32"/>
          <w:szCs w:val="32"/>
        </w:rPr>
      </w:pPr>
      <w:r>
        <w:rPr>
          <w:rFonts w:eastAsia="仿宋_GB2312"/>
          <w:sz w:val="32"/>
          <w:szCs w:val="32"/>
        </w:rPr>
        <w:t>2021年项目支出923.37万元，分别是：城乡住户一体化农村调查户帮扶资金4.00万元；办公楼改造经费96.07万元；全县财政票据经费18.42万元；财政局工作经费13.00万元；财政局网络及金财网相关经费306.68万元；财政预算管理软件升级专项资金4.80万元；财政投资评审中心经费396.36万元；财政局外派实践锻炼干部补助3.23万元；向上争取资金奖励经费35.81万元；乡镇财政事务中心运行费用45.00万元。有效保障我局专项业务正常运行。预算执行率100%。</w:t>
      </w:r>
    </w:p>
    <w:p w14:paraId="383634BF">
      <w:pPr>
        <w:spacing w:line="560" w:lineRule="exact"/>
        <w:ind w:firstLine="643" w:firstLineChars="200"/>
        <w:rPr>
          <w:rFonts w:eastAsia="仿宋_GB2312"/>
          <w:b/>
          <w:sz w:val="32"/>
          <w:szCs w:val="32"/>
        </w:rPr>
      </w:pPr>
      <w:r>
        <w:rPr>
          <w:rFonts w:eastAsia="仿宋_GB2312"/>
          <w:b/>
          <w:sz w:val="32"/>
          <w:szCs w:val="32"/>
        </w:rPr>
        <w:t>3.绩效目标完成情况</w:t>
      </w:r>
    </w:p>
    <w:p w14:paraId="488820C0">
      <w:pPr>
        <w:spacing w:line="560" w:lineRule="exact"/>
        <w:ind w:firstLine="643" w:firstLineChars="200"/>
        <w:rPr>
          <w:rFonts w:eastAsia="仿宋_GB2312"/>
          <w:b/>
          <w:sz w:val="32"/>
          <w:szCs w:val="32"/>
        </w:rPr>
      </w:pPr>
      <w:r>
        <w:rPr>
          <w:rFonts w:eastAsia="仿宋_GB2312"/>
          <w:b/>
          <w:sz w:val="32"/>
          <w:szCs w:val="32"/>
        </w:rPr>
        <w:t>(1)财政管理</w:t>
      </w:r>
    </w:p>
    <w:p w14:paraId="375269DB">
      <w:pPr>
        <w:spacing w:line="560" w:lineRule="exact"/>
        <w:ind w:firstLine="643" w:firstLineChars="200"/>
        <w:rPr>
          <w:rFonts w:eastAsia="仿宋_GB2312"/>
          <w:sz w:val="32"/>
          <w:szCs w:val="32"/>
        </w:rPr>
      </w:pPr>
      <w:r>
        <w:rPr>
          <w:rFonts w:eastAsia="仿宋_GB2312"/>
          <w:b/>
          <w:sz w:val="32"/>
          <w:szCs w:val="32"/>
        </w:rPr>
        <w:t>[三抓一强]</w:t>
      </w:r>
      <w:r>
        <w:rPr>
          <w:rFonts w:eastAsia="仿宋_GB2312"/>
          <w:sz w:val="32"/>
          <w:szCs w:val="32"/>
        </w:rPr>
        <w:t>强化“三抓一强”基础工作，深入剖析解读政策，充分用活用好政策，积极与省财政对接，加大对均衡性转移支付、县级基本财力保障机制奖补资金、贫困地区转移支付、重点生态功能区转移支付、债券资金等争取力度。同时，通过安排项目包装经费、及时兑现对上争取激励等措施，充分调动各部门资金争取的积极性。2021年全县共争取上级各项资金180,513万元，比2020年的153,786万元增加了26,727万元，增长17.38 %。</w:t>
      </w:r>
    </w:p>
    <w:p w14:paraId="19BD2EEC">
      <w:pPr>
        <w:spacing w:line="560" w:lineRule="exact"/>
        <w:ind w:firstLine="643" w:firstLineChars="200"/>
        <w:rPr>
          <w:rFonts w:eastAsia="仿宋_GB2312"/>
          <w:sz w:val="32"/>
          <w:szCs w:val="32"/>
        </w:rPr>
      </w:pPr>
      <w:r>
        <w:rPr>
          <w:rFonts w:eastAsia="仿宋_GB2312"/>
          <w:b/>
          <w:sz w:val="32"/>
          <w:szCs w:val="32"/>
        </w:rPr>
        <w:t>[三大攻坚战]打好防范化解重大风险攻坚战。</w:t>
      </w:r>
      <w:r>
        <w:rPr>
          <w:rFonts w:eastAsia="仿宋_GB2312"/>
          <w:sz w:val="32"/>
          <w:szCs w:val="32"/>
        </w:rPr>
        <w:t xml:space="preserve">积极争取债券资金，全年争取新增债券资金41,000万元，再融资债券资金16,150万元，有力支持了我县重大项目建设。健全制度机制，积极消化债务存量，政府综合债务率约81%（初步测算数据，准确数据省财政厅暂未下发）、利息支出率2.458%。偿还存量政府债务和到期地方政府债券本金16,150万元、地方政府债券利息6,793万元，偿还隐性债务本金合计10,741万元，偿还或有债务本金3,900万元，化解县本级财政暂付款9,541万元，守住了不出现系统性风险的底线。  </w:t>
      </w:r>
    </w:p>
    <w:p w14:paraId="3401DB80">
      <w:pPr>
        <w:spacing w:line="560" w:lineRule="exact"/>
        <w:ind w:firstLine="643" w:firstLineChars="200"/>
        <w:rPr>
          <w:rFonts w:eastAsia="仿宋_GB2312"/>
          <w:sz w:val="32"/>
          <w:szCs w:val="32"/>
        </w:rPr>
      </w:pPr>
      <w:r>
        <w:rPr>
          <w:rFonts w:eastAsia="仿宋_GB2312"/>
          <w:b/>
          <w:sz w:val="32"/>
          <w:szCs w:val="32"/>
        </w:rPr>
        <w:t>做好巩固脱贫攻坚成果与乡村振兴有效衔接。</w:t>
      </w:r>
      <w:r>
        <w:rPr>
          <w:rFonts w:eastAsia="仿宋_GB2312"/>
          <w:sz w:val="32"/>
          <w:szCs w:val="32"/>
        </w:rPr>
        <w:t>严格落实“四不摘”要求，保持财政扶贫政策总体稳定。继续加大财政投入，2021年巩固脱贫攻坚成果与乡村振兴有效衔接共计投入超9,989万元（其中：县级财政专项资金投入996万元），为我县巩固脱贫攻坚成果与乡村振兴有效衔接项目实施提供了资金保障。</w:t>
      </w:r>
    </w:p>
    <w:p w14:paraId="7287A1C0">
      <w:pPr>
        <w:spacing w:line="560" w:lineRule="exact"/>
        <w:ind w:firstLine="643" w:firstLineChars="200"/>
        <w:rPr>
          <w:rFonts w:eastAsia="仿宋_GB2312"/>
          <w:sz w:val="32"/>
          <w:szCs w:val="32"/>
        </w:rPr>
      </w:pPr>
      <w:r>
        <w:rPr>
          <w:rFonts w:eastAsia="仿宋_GB2312"/>
          <w:b/>
          <w:sz w:val="32"/>
          <w:szCs w:val="32"/>
        </w:rPr>
        <w:t>打好污染防治攻坚战。</w:t>
      </w:r>
      <w:r>
        <w:rPr>
          <w:rFonts w:eastAsia="仿宋_GB2312"/>
          <w:sz w:val="32"/>
          <w:szCs w:val="32"/>
        </w:rPr>
        <w:t>加快“盐边县环境治理和城镇基础设施建设” PPP 项目建设进度，2021年已经完成投资34,025.39万元。城区生活垃圾转运站、县城污水处理厂扩能重建工程已经完工，县城老旧小区改造工程-月潭小区改造已经完成，其他项目在加紧施工中。</w:t>
      </w:r>
    </w:p>
    <w:p w14:paraId="4F529F0F">
      <w:pPr>
        <w:spacing w:line="560" w:lineRule="exact"/>
        <w:ind w:firstLine="643" w:firstLineChars="200"/>
        <w:rPr>
          <w:rFonts w:eastAsia="仿宋_GB2312"/>
          <w:sz w:val="32"/>
          <w:szCs w:val="32"/>
        </w:rPr>
      </w:pPr>
      <w:r>
        <w:rPr>
          <w:rFonts w:eastAsia="仿宋_GB2312"/>
          <w:b/>
          <w:sz w:val="32"/>
          <w:szCs w:val="32"/>
        </w:rPr>
        <w:t>[乡村振兴]</w:t>
      </w:r>
      <w:r>
        <w:rPr>
          <w:rFonts w:eastAsia="仿宋_GB2312"/>
          <w:sz w:val="32"/>
          <w:szCs w:val="32"/>
        </w:rPr>
        <w:t>构建财政投入保障机制，保障财政支农投入与乡村振兴目标任务相适应。全年财政投入乡村振兴资金58,797万元，主要用于水利工程建设、高标准农田建设、现代农业“7+3”产业体系建设等。加大向上资金争取力度，争取上级农业财政专项资金29,189.84万元，其中，农业资金8,552万元、水利资金6,648万元、巩固脱贫攻坚成果与乡村振兴有效衔接资金8,104.74万元、其他资金5,885.10万元。构建财政金融联动机制，通过设立乡村振兴农业产业发展贷款风险补偿金，由合作银行按照补偿金规模10倍给予信贷支持，累计撬动银行发放农业产业贷款11,756万元。</w:t>
      </w:r>
    </w:p>
    <w:p w14:paraId="473838A4">
      <w:pPr>
        <w:spacing w:line="560" w:lineRule="exact"/>
        <w:ind w:firstLine="643" w:firstLineChars="200"/>
        <w:rPr>
          <w:rFonts w:eastAsia="仿宋_GB2312"/>
          <w:sz w:val="32"/>
          <w:szCs w:val="32"/>
        </w:rPr>
      </w:pPr>
      <w:r>
        <w:rPr>
          <w:rFonts w:eastAsia="仿宋_GB2312"/>
          <w:b/>
          <w:sz w:val="32"/>
          <w:szCs w:val="32"/>
        </w:rPr>
        <w:t>[政府采购]</w:t>
      </w:r>
      <w:r>
        <w:rPr>
          <w:rFonts w:eastAsia="仿宋_GB2312"/>
          <w:sz w:val="32"/>
          <w:szCs w:val="32"/>
        </w:rPr>
        <w:t xml:space="preserve"> 2021年政府采购预算16,824万元，实际采购16,340万元，节约资金484万元，节约率2.88%。全年共组织采购165场次，成交158场次，其中：公开招标13场次，竞争性谈判11场次，询价采购15场次，竞争性磋商59场次，网上竞价67场次。</w:t>
      </w:r>
    </w:p>
    <w:p w14:paraId="194DB92A">
      <w:pPr>
        <w:spacing w:line="560" w:lineRule="exact"/>
        <w:ind w:firstLine="643" w:firstLineChars="200"/>
        <w:rPr>
          <w:rFonts w:eastAsia="仿宋_GB2312"/>
          <w:sz w:val="32"/>
          <w:szCs w:val="32"/>
        </w:rPr>
      </w:pPr>
      <w:r>
        <w:rPr>
          <w:rFonts w:eastAsia="仿宋_GB2312"/>
          <w:b/>
          <w:sz w:val="32"/>
          <w:szCs w:val="32"/>
        </w:rPr>
        <w:t>[投资评审]</w:t>
      </w:r>
      <w:r>
        <w:rPr>
          <w:rFonts w:eastAsia="仿宋_GB2312"/>
          <w:sz w:val="32"/>
          <w:szCs w:val="32"/>
        </w:rPr>
        <w:t>2021年共评审项目149个，总送审资金67,765万元，审减资金8,095万元，审定资金59,670万元，综合审减率为11.95%。</w:t>
      </w:r>
    </w:p>
    <w:p w14:paraId="77E5238B">
      <w:pPr>
        <w:spacing w:line="560" w:lineRule="exact"/>
        <w:ind w:firstLine="643" w:firstLineChars="200"/>
        <w:rPr>
          <w:rFonts w:eastAsia="仿宋_GB2312"/>
          <w:sz w:val="32"/>
          <w:szCs w:val="32"/>
        </w:rPr>
      </w:pPr>
      <w:r>
        <w:rPr>
          <w:rFonts w:eastAsia="仿宋_GB2312"/>
          <w:b/>
          <w:sz w:val="32"/>
          <w:szCs w:val="32"/>
        </w:rPr>
        <w:t>[财政监督]</w:t>
      </w:r>
      <w:r>
        <w:rPr>
          <w:rFonts w:eastAsia="仿宋_GB2312"/>
          <w:sz w:val="32"/>
          <w:szCs w:val="32"/>
        </w:rPr>
        <w:t>认真贯彻落实严肃财经纪律要求，2021年在全县先后开展了两次“排查清理两项工作”。经排查清理，全县各乡（镇）、各部门分两次共缴入财政18289.38万元（其中：上缴财政非税收入362.74万元，上缴财政代管质保金1218.07万元，上缴财政金库16708.57万元）。深入推进预决算公开工作，2021年重点对2018、2019、2020年3年共涉及438个单位预决算公开情况进行了专项检查，其中：决算公开2018年112 个、2019年110个，预算公开2019年112 个、2020年104 个。联合监督机制逐步形成，2021年向县委巡察工作小组派出10人次（第十一轮6人次、十二轮4人次）参与巡察工作，与纪委、审计局等单位联合开展严肃财经纪律专项检查参与人员21人次。四是发挥财会监督基础防线作用。配合纪检组完成2件信访调查工作，完成巡察组交办线索1件。</w:t>
      </w:r>
    </w:p>
    <w:p w14:paraId="1FED1816">
      <w:pPr>
        <w:spacing w:line="560" w:lineRule="exact"/>
        <w:ind w:firstLine="643" w:firstLineChars="200"/>
        <w:rPr>
          <w:rFonts w:eastAsia="仿宋_GB2312"/>
          <w:sz w:val="32"/>
          <w:szCs w:val="32"/>
        </w:rPr>
      </w:pPr>
      <w:r>
        <w:rPr>
          <w:rFonts w:eastAsia="仿宋_GB2312"/>
          <w:b/>
          <w:sz w:val="32"/>
          <w:szCs w:val="32"/>
        </w:rPr>
        <w:t>[财政改革]</w:t>
      </w:r>
      <w:r>
        <w:rPr>
          <w:rFonts w:eastAsia="仿宋_GB2312"/>
          <w:sz w:val="32"/>
          <w:szCs w:val="32"/>
        </w:rPr>
        <w:t>持续推动电子票据改革和非税收缴系统电子化改革，拓展新的非税征收点。稳步推进预算管理一体化系统建设工作，为财政政策提质增效提供了有效实现途径。</w:t>
      </w:r>
    </w:p>
    <w:p w14:paraId="3CA8CAE3">
      <w:pPr>
        <w:spacing w:line="560" w:lineRule="exact"/>
        <w:ind w:firstLine="643" w:firstLineChars="200"/>
        <w:rPr>
          <w:rFonts w:eastAsia="仿宋_GB2312"/>
          <w:sz w:val="32"/>
          <w:szCs w:val="32"/>
        </w:rPr>
      </w:pPr>
      <w:r>
        <w:rPr>
          <w:rFonts w:eastAsia="仿宋_GB2312"/>
          <w:b/>
          <w:sz w:val="32"/>
          <w:szCs w:val="32"/>
        </w:rPr>
        <w:t>[盘活用好镇村公有资产]</w:t>
      </w:r>
      <w:r>
        <w:rPr>
          <w:rFonts w:eastAsia="仿宋_GB2312"/>
          <w:sz w:val="32"/>
          <w:szCs w:val="32"/>
        </w:rPr>
        <w:t>结合我县实际，制定资产清查方案，开展了闲置资产清查工作，摸清闲置资产底数及状况，建立闲置资产明细台账。采取“一事一议、一案一策”的方式，研究制定盘活方案，逐一盘活资产。盘活涉改乡镇闲置资产76宗，盘活率达到100%。</w:t>
      </w:r>
    </w:p>
    <w:p w14:paraId="0E94E06D">
      <w:pPr>
        <w:spacing w:line="560" w:lineRule="exact"/>
        <w:ind w:firstLine="643" w:firstLineChars="200"/>
        <w:rPr>
          <w:rFonts w:eastAsia="仿宋_GB2312"/>
          <w:sz w:val="32"/>
          <w:szCs w:val="32"/>
        </w:rPr>
      </w:pPr>
      <w:r>
        <w:rPr>
          <w:rFonts w:eastAsia="仿宋_GB2312"/>
          <w:b/>
          <w:sz w:val="32"/>
          <w:szCs w:val="32"/>
        </w:rPr>
        <w:t>[国企改革三年行动]</w:t>
      </w:r>
      <w:r>
        <w:rPr>
          <w:rFonts w:eastAsia="仿宋_GB2312"/>
          <w:sz w:val="32"/>
          <w:szCs w:val="32"/>
        </w:rPr>
        <w:t>发挥统筹协调、指导推动作用，完成盐边县桐子林粮油食品站、盐边县自来水公司2户全民所有制企业公司制改革工作，稳慎推进攀枝花盐边国有林保护局改制工作。</w:t>
      </w:r>
    </w:p>
    <w:p w14:paraId="604E8BD9">
      <w:pPr>
        <w:spacing w:line="560" w:lineRule="exact"/>
        <w:ind w:firstLine="643" w:firstLineChars="200"/>
        <w:rPr>
          <w:rFonts w:eastAsia="仿宋_GB2312"/>
          <w:sz w:val="32"/>
          <w:szCs w:val="32"/>
        </w:rPr>
      </w:pPr>
      <w:r>
        <w:rPr>
          <w:rFonts w:eastAsia="仿宋_GB2312"/>
          <w:b/>
          <w:sz w:val="32"/>
          <w:szCs w:val="32"/>
        </w:rPr>
        <w:t>[财政预决算公开]</w:t>
      </w:r>
      <w:r>
        <w:rPr>
          <w:rFonts w:eastAsia="仿宋_GB2312"/>
          <w:sz w:val="32"/>
          <w:szCs w:val="32"/>
        </w:rPr>
        <w:t>全面完成2021年政府预算、部门预算及“三公”经费预算公开和2020年政府决算、部门决算、“三公”经费决算公开工作，公开率达100%，提高了预决算透明度，自觉接受公众监督。</w:t>
      </w:r>
    </w:p>
    <w:p w14:paraId="00E86C15">
      <w:pPr>
        <w:spacing w:line="560" w:lineRule="exact"/>
        <w:ind w:firstLine="643" w:firstLineChars="200"/>
        <w:rPr>
          <w:rFonts w:eastAsia="仿宋_GB2312"/>
          <w:sz w:val="32"/>
          <w:szCs w:val="32"/>
        </w:rPr>
      </w:pPr>
      <w:r>
        <w:rPr>
          <w:rFonts w:eastAsia="仿宋_GB2312"/>
          <w:b/>
          <w:sz w:val="32"/>
          <w:szCs w:val="32"/>
        </w:rPr>
        <w:t>[盘活存量资金]</w:t>
      </w:r>
      <w:r>
        <w:rPr>
          <w:rFonts w:eastAsia="仿宋_GB2312"/>
          <w:sz w:val="32"/>
          <w:szCs w:val="32"/>
        </w:rPr>
        <w:t>加大财政存量资金清理盘活力度，2021年，全县财政盘活存量资金42,303万元，除统筹用于保基本民生、保基层运转等重点领域投入外，用于消化以前年度“暂付款”5,483万元，全年累计消化“暂付款”9,541万元。</w:t>
      </w:r>
    </w:p>
    <w:p w14:paraId="1DD876EF">
      <w:pPr>
        <w:spacing w:line="560" w:lineRule="exact"/>
        <w:ind w:firstLine="643" w:firstLineChars="200"/>
        <w:rPr>
          <w:rFonts w:eastAsia="仿宋_GB2312"/>
          <w:sz w:val="32"/>
          <w:szCs w:val="32"/>
        </w:rPr>
      </w:pPr>
      <w:r>
        <w:rPr>
          <w:rFonts w:eastAsia="仿宋_GB2312"/>
          <w:b/>
          <w:sz w:val="32"/>
          <w:szCs w:val="32"/>
        </w:rPr>
        <w:t>[财政支出绩效考评]</w:t>
      </w:r>
      <w:r>
        <w:rPr>
          <w:rFonts w:eastAsia="仿宋_GB2312"/>
          <w:sz w:val="32"/>
          <w:szCs w:val="32"/>
        </w:rPr>
        <w:t>继续推进全面实施预算绩效管理，不断提升财政资金配置和使用效益。一是完善全面实施预算绩效管理工作制度。2021年印发了《盐边县委托第三方机构参与财政预算绩效管理工作暂行办法》、《关于建立预算绩效管理跟踪问效“两书一函”制度的通知》。二是加强预算绩效事中监控。监控资金额度227,329.92万元。三是组织开展部门整体支出绩效评价，全县部门整体支出自评金额260,229.9万元，其中：项目自评287个、涉及金额55,840.81万元。四是加大重点绩效评价力度，2021年对12个项目开展重点绩效评价，涉及项目资金1.42亿元，涵盖教育、卫生、民生、文化、水利等领域。</w:t>
      </w:r>
    </w:p>
    <w:p w14:paraId="3034C314">
      <w:pPr>
        <w:spacing w:line="560" w:lineRule="exact"/>
        <w:ind w:firstLine="643" w:firstLineChars="200"/>
        <w:rPr>
          <w:rFonts w:eastAsia="仿宋_GB2312"/>
          <w:b/>
          <w:sz w:val="32"/>
          <w:szCs w:val="32"/>
        </w:rPr>
      </w:pPr>
      <w:r>
        <w:rPr>
          <w:rFonts w:eastAsia="仿宋_GB2312"/>
          <w:b/>
          <w:sz w:val="32"/>
          <w:szCs w:val="32"/>
        </w:rPr>
        <w:t>（2）财政收支</w:t>
      </w:r>
    </w:p>
    <w:p w14:paraId="13897305">
      <w:pPr>
        <w:spacing w:line="560" w:lineRule="exact"/>
        <w:ind w:firstLine="643" w:firstLineChars="200"/>
        <w:rPr>
          <w:rFonts w:eastAsia="仿宋_GB2312"/>
          <w:sz w:val="32"/>
          <w:szCs w:val="32"/>
        </w:rPr>
      </w:pPr>
      <w:r>
        <w:rPr>
          <w:rFonts w:eastAsia="仿宋_GB2312"/>
          <w:b/>
          <w:sz w:val="32"/>
          <w:szCs w:val="32"/>
        </w:rPr>
        <w:t>[一般公共预算执行情况]</w:t>
      </w:r>
      <w:r>
        <w:rPr>
          <w:rFonts w:eastAsia="仿宋_GB2312"/>
          <w:sz w:val="32"/>
          <w:szCs w:val="32"/>
        </w:rPr>
        <w:t>2021年，一般公共预算收入完成95,294万元，为预算的100.31%，增长24.99%；一般公共预算支出完成204,873万元，为预算的99.94%，增长21.45%。</w:t>
      </w:r>
    </w:p>
    <w:p w14:paraId="3BC5EC62">
      <w:pPr>
        <w:spacing w:line="560" w:lineRule="exact"/>
        <w:ind w:firstLine="640" w:firstLineChars="200"/>
        <w:rPr>
          <w:rFonts w:eastAsia="仿宋_GB2312"/>
          <w:sz w:val="32"/>
          <w:szCs w:val="32"/>
        </w:rPr>
      </w:pPr>
      <w:r>
        <w:rPr>
          <w:rFonts w:eastAsia="仿宋_GB2312"/>
          <w:sz w:val="32"/>
          <w:szCs w:val="32"/>
        </w:rPr>
        <w:t>2021年一般公共预算收支平衡情况：当年收入95,294万元，上级财政返还性收入-679万元，一般性转移支付收入89,979万元，专项转移支付收入9,998万元，一般债券转贷收入25,350万元（其中：新增债券9,200万元，再融资债券16,150万元），上年结转2,135万元，动用预算稳定调节基金3,166万元，调入资金21,140万元（其中：政府性基金调入10,000万元、国有资本经营预算调入182万元、其他调入10,958万元），收入总计246,383万元。当年一般公共预算支出204,873万元（其中：县级支出182,275万元、乡镇支出22,598万元），上解上级支出10,311万元，债务还本支出16,150万元，补充预算稳定调节基4,000万元，结转下年支出11,049万元，支出总计246,383万元。实现一般公共预算收支滚动平衡。</w:t>
      </w:r>
    </w:p>
    <w:p w14:paraId="6DC9D1B2">
      <w:pPr>
        <w:spacing w:line="560" w:lineRule="exact"/>
        <w:ind w:firstLine="643" w:firstLineChars="200"/>
        <w:rPr>
          <w:rFonts w:eastAsia="仿宋_GB2312"/>
          <w:sz w:val="32"/>
          <w:szCs w:val="32"/>
        </w:rPr>
      </w:pPr>
      <w:r>
        <w:rPr>
          <w:rFonts w:eastAsia="仿宋_GB2312"/>
          <w:b/>
          <w:sz w:val="32"/>
          <w:szCs w:val="32"/>
        </w:rPr>
        <w:t>[政府性基金预算执行情况]</w:t>
      </w:r>
      <w:r>
        <w:rPr>
          <w:rFonts w:eastAsia="仿宋_GB2312"/>
          <w:sz w:val="32"/>
          <w:szCs w:val="32"/>
        </w:rPr>
        <w:t>2021年，政府性基金收入完成65,874万元，为预算的100％，增长71.73％。政府性基金支出完成71,447万元，为预算的100％，同比增长84.56％。</w:t>
      </w:r>
    </w:p>
    <w:p w14:paraId="30E40CD5">
      <w:pPr>
        <w:spacing w:line="560" w:lineRule="exact"/>
        <w:ind w:firstLine="640" w:firstLineChars="200"/>
        <w:rPr>
          <w:rFonts w:eastAsia="仿宋_GB2312"/>
          <w:sz w:val="32"/>
          <w:szCs w:val="32"/>
        </w:rPr>
      </w:pPr>
      <w:r>
        <w:rPr>
          <w:rFonts w:eastAsia="仿宋_GB2312"/>
          <w:sz w:val="32"/>
          <w:szCs w:val="32"/>
        </w:rPr>
        <w:t>2021年政府性基金收支平衡情况：当年收入65,874万元，上级补助收入5,798万元，专项债券收入31,800万元，加上年结余32万元，收入总计103,504万元。当年政府性基金支出71,447万元（其中：县级支出53,920万元、乡镇支出17,527万元），调出资金10,000万元，年终结余22,057万元，支出总计103,504万元。实现政府性基金预算收支滚动平衡。</w:t>
      </w:r>
    </w:p>
    <w:p w14:paraId="0D4AA43F">
      <w:pPr>
        <w:spacing w:line="560" w:lineRule="exact"/>
        <w:ind w:firstLine="643" w:firstLineChars="200"/>
        <w:rPr>
          <w:rFonts w:eastAsia="仿宋_GB2312"/>
          <w:sz w:val="32"/>
          <w:szCs w:val="32"/>
        </w:rPr>
      </w:pPr>
      <w:r>
        <w:rPr>
          <w:rFonts w:eastAsia="仿宋_GB2312"/>
          <w:b/>
          <w:sz w:val="32"/>
          <w:szCs w:val="32"/>
        </w:rPr>
        <w:t>[国有资本经营预算执行情况]</w:t>
      </w:r>
      <w:r>
        <w:rPr>
          <w:rFonts w:eastAsia="仿宋_GB2312"/>
          <w:sz w:val="32"/>
          <w:szCs w:val="32"/>
        </w:rPr>
        <w:t>2021年，国有资本经营预算收入完成182万元，为预算的100%，增长10%。</w:t>
      </w:r>
    </w:p>
    <w:p w14:paraId="22550ECA">
      <w:pPr>
        <w:spacing w:line="560" w:lineRule="exact"/>
        <w:ind w:firstLine="640" w:firstLineChars="200"/>
        <w:rPr>
          <w:rFonts w:eastAsia="仿宋_GB2312"/>
          <w:sz w:val="32"/>
          <w:szCs w:val="32"/>
        </w:rPr>
      </w:pPr>
      <w:r>
        <w:rPr>
          <w:rFonts w:eastAsia="仿宋_GB2312"/>
          <w:sz w:val="32"/>
          <w:szCs w:val="32"/>
        </w:rPr>
        <w:t>2021年国有资本经营预算收支平衡情况：当年收入总计182万元。当年支出总计182万元（其中：调出资金182万元），实现收支平衡。（备注：以上数据为财政收支快报数，尚未与省财政厅办理最终结算，数据以省财政厅结算批复为准。）</w:t>
      </w:r>
    </w:p>
    <w:p w14:paraId="59128EED">
      <w:pPr>
        <w:spacing w:line="560" w:lineRule="exact"/>
        <w:ind w:firstLine="643" w:firstLineChars="200"/>
        <w:rPr>
          <w:rFonts w:eastAsia="仿宋_GB2312"/>
          <w:sz w:val="32"/>
          <w:szCs w:val="32"/>
        </w:rPr>
      </w:pPr>
      <w:r>
        <w:rPr>
          <w:rFonts w:eastAsia="仿宋_GB2312"/>
          <w:b/>
          <w:sz w:val="32"/>
          <w:szCs w:val="32"/>
        </w:rPr>
        <w:t>[地方政府性债务情况]</w:t>
      </w:r>
      <w:r>
        <w:rPr>
          <w:rFonts w:eastAsia="仿宋_GB2312"/>
          <w:sz w:val="32"/>
          <w:szCs w:val="32"/>
        </w:rPr>
        <w:t xml:space="preserve">2021年盐边县地方政府债务限额为225,261万元，地方政府债务余额为219,378万元。 </w:t>
      </w:r>
    </w:p>
    <w:p w14:paraId="6BEF2109">
      <w:pPr>
        <w:spacing w:line="560" w:lineRule="exact"/>
        <w:ind w:firstLine="643" w:firstLineChars="200"/>
        <w:rPr>
          <w:rFonts w:eastAsia="仿宋_GB2312"/>
          <w:sz w:val="32"/>
          <w:szCs w:val="32"/>
        </w:rPr>
      </w:pPr>
      <w:r>
        <w:rPr>
          <w:rFonts w:eastAsia="仿宋_GB2312"/>
          <w:b/>
          <w:sz w:val="32"/>
          <w:szCs w:val="32"/>
        </w:rPr>
        <w:t>[重点支出]</w:t>
      </w:r>
      <w:r>
        <w:rPr>
          <w:rFonts w:eastAsia="仿宋_GB2312"/>
          <w:sz w:val="32"/>
          <w:szCs w:val="32"/>
        </w:rPr>
        <w:t>2021年，我县一般公共预算支出完成204,873万元，同口径增长21.45%，增支36185万元。当年民生支出达147,734万元,占一般公共预算支出比重达72.11%，提高1.23个百分点，民生保障更加有力。</w:t>
      </w:r>
    </w:p>
    <w:p w14:paraId="3683FDBC">
      <w:pPr>
        <w:spacing w:line="560" w:lineRule="exact"/>
        <w:ind w:firstLine="640" w:firstLineChars="200"/>
        <w:rPr>
          <w:rFonts w:eastAsia="仿宋_GB2312"/>
          <w:sz w:val="32"/>
          <w:szCs w:val="32"/>
        </w:rPr>
      </w:pPr>
      <w:r>
        <w:rPr>
          <w:rFonts w:eastAsia="仿宋_GB2312"/>
          <w:sz w:val="32"/>
          <w:szCs w:val="32"/>
        </w:rPr>
        <w:t>重点支出情况：一般公共服务支出22,433万元，占一般公共预算支出10.95%。公共安全支出12,271万元，占一般公共预算支出5.99%。文化旅游体育与传媒支出2,349万元，占一般公共预算支出1.15%。教育支出35,903万元,占一般公共预算支出17.52%。社会保障和就业支出24,655万元,占一般公共预算支出12.03%。卫生健康支出26,342万元, 占一般公共预算支出12.86%。节能环保支出1,440万元，占一般公共预算支出0.7%。城乡社区支出2,101万元，占一般公共预算支出1.03%。农林水支出48,578万元,占一般公共预算支出23.71%。交通运输支出8,919万元，占一般公共预算支出4.35%。住房保障支出8,677万元，占一般公共预算支出4.24%。</w:t>
      </w:r>
    </w:p>
    <w:p w14:paraId="6A802001">
      <w:pPr>
        <w:spacing w:line="560" w:lineRule="exact"/>
        <w:ind w:firstLine="640" w:firstLineChars="200"/>
        <w:rPr>
          <w:rFonts w:eastAsia="楷体_GB2312"/>
          <w:sz w:val="32"/>
          <w:szCs w:val="32"/>
        </w:rPr>
      </w:pPr>
      <w:r>
        <w:rPr>
          <w:rFonts w:eastAsia="楷体_GB2312"/>
          <w:sz w:val="32"/>
          <w:szCs w:val="32"/>
        </w:rPr>
        <w:t>（二）结果应用情况。</w:t>
      </w:r>
    </w:p>
    <w:p w14:paraId="2868F79E">
      <w:pPr>
        <w:spacing w:line="560" w:lineRule="exact"/>
        <w:ind w:firstLine="640" w:firstLineChars="200"/>
        <w:rPr>
          <w:rFonts w:eastAsia="仿宋_GB2312"/>
          <w:sz w:val="32"/>
          <w:szCs w:val="32"/>
        </w:rPr>
      </w:pPr>
      <w:r>
        <w:rPr>
          <w:rFonts w:eastAsia="仿宋_GB2312"/>
          <w:sz w:val="32"/>
          <w:szCs w:val="32"/>
        </w:rPr>
        <w:t>绩效自评对规范财政资金支出管理、强化绩效目标管理理念、加强资金使用效率起到了积极的促进作用。我局将此次绩效自评的结果运用到2022年工作统筹安排、项目资金合理分配使用上，进一步提高工作效率，保质保量完成县委、县政府以及上级业务主管部门交办的各项工作。</w:t>
      </w:r>
    </w:p>
    <w:p w14:paraId="3FC8A60B">
      <w:pPr>
        <w:spacing w:line="560" w:lineRule="exact"/>
        <w:ind w:firstLine="640" w:firstLineChars="200"/>
        <w:rPr>
          <w:rFonts w:eastAsia="仿宋_GB2312"/>
          <w:sz w:val="32"/>
          <w:szCs w:val="32"/>
        </w:rPr>
      </w:pPr>
      <w:r>
        <w:rPr>
          <w:rFonts w:eastAsia="仿宋_GB2312"/>
          <w:sz w:val="32"/>
          <w:szCs w:val="32"/>
        </w:rPr>
        <w:t>绩效自评工作完成后将结果在“盐边县公众信息网”财政信息版块下的“财政绩效评价信息专栏”进行公示。</w:t>
      </w:r>
    </w:p>
    <w:p w14:paraId="026510AC">
      <w:pPr>
        <w:spacing w:line="560" w:lineRule="exact"/>
        <w:ind w:firstLine="640" w:firstLineChars="200"/>
        <w:rPr>
          <w:rFonts w:eastAsia="黑体"/>
          <w:sz w:val="32"/>
          <w:szCs w:val="32"/>
        </w:rPr>
      </w:pPr>
      <w:bookmarkStart w:id="97" w:name="_Toc21941_WPSOffice_Level2"/>
      <w:r>
        <w:rPr>
          <w:rFonts w:eastAsia="黑体"/>
          <w:sz w:val="32"/>
          <w:szCs w:val="32"/>
        </w:rPr>
        <w:t>五、评价结论及建议</w:t>
      </w:r>
      <w:bookmarkEnd w:id="97"/>
    </w:p>
    <w:p w14:paraId="2CB21CBE">
      <w:pPr>
        <w:spacing w:line="560" w:lineRule="exact"/>
        <w:ind w:firstLine="640" w:firstLineChars="200"/>
        <w:rPr>
          <w:rFonts w:eastAsia="楷体_GB2312"/>
          <w:sz w:val="32"/>
          <w:szCs w:val="32"/>
        </w:rPr>
      </w:pPr>
      <w:r>
        <w:rPr>
          <w:rFonts w:eastAsia="楷体_GB2312"/>
          <w:sz w:val="32"/>
          <w:szCs w:val="32"/>
        </w:rPr>
        <w:t>（一）评价结论。</w:t>
      </w:r>
    </w:p>
    <w:p w14:paraId="62AC4867">
      <w:pPr>
        <w:spacing w:line="560" w:lineRule="exact"/>
        <w:ind w:firstLine="640" w:firstLineChars="200"/>
        <w:rPr>
          <w:rFonts w:eastAsia="仿宋_GB2312"/>
          <w:sz w:val="32"/>
          <w:szCs w:val="32"/>
        </w:rPr>
      </w:pPr>
      <w:r>
        <w:rPr>
          <w:rFonts w:eastAsia="仿宋_GB2312"/>
          <w:sz w:val="32"/>
          <w:szCs w:val="32"/>
        </w:rPr>
        <w:t>通过自评，2021年度县财政局各项经费达到对应的绩效目标，圆满完成了县委、县政府下达的各项财政相关工作任务。达到预期绩效目标，总体较满意。</w:t>
      </w:r>
    </w:p>
    <w:p w14:paraId="29E7AF9D">
      <w:pPr>
        <w:spacing w:line="560" w:lineRule="exact"/>
        <w:ind w:firstLine="640" w:firstLineChars="200"/>
        <w:rPr>
          <w:rFonts w:eastAsia="楷体_GB2312"/>
          <w:sz w:val="32"/>
          <w:szCs w:val="32"/>
        </w:rPr>
      </w:pPr>
      <w:r>
        <w:rPr>
          <w:rFonts w:eastAsia="楷体_GB2312"/>
          <w:sz w:val="32"/>
          <w:szCs w:val="32"/>
        </w:rPr>
        <w:t>（二）存在问题。</w:t>
      </w:r>
    </w:p>
    <w:p w14:paraId="60B802BE">
      <w:pPr>
        <w:spacing w:line="560" w:lineRule="exact"/>
        <w:ind w:firstLine="640" w:firstLineChars="200"/>
        <w:rPr>
          <w:rFonts w:eastAsia="仿宋_GB2312"/>
          <w:sz w:val="32"/>
          <w:szCs w:val="32"/>
        </w:rPr>
      </w:pPr>
      <w:r>
        <w:rPr>
          <w:rFonts w:eastAsia="仿宋_GB2312"/>
          <w:sz w:val="32"/>
          <w:szCs w:val="32"/>
        </w:rPr>
        <w:t>1.绩效目标设立不够明确、细化和量化。项目单位虽然设立了项目资金绩效目标，但目标不够明确、细化和量化。</w:t>
      </w:r>
    </w:p>
    <w:p w14:paraId="5AD1A136">
      <w:pPr>
        <w:spacing w:line="560" w:lineRule="exact"/>
        <w:ind w:firstLine="640" w:firstLineChars="200"/>
        <w:rPr>
          <w:rFonts w:eastAsia="仿宋_GB2312"/>
          <w:sz w:val="32"/>
          <w:szCs w:val="32"/>
        </w:rPr>
      </w:pPr>
      <w:r>
        <w:rPr>
          <w:rFonts w:eastAsia="仿宋_GB2312"/>
          <w:sz w:val="32"/>
          <w:szCs w:val="32"/>
        </w:rPr>
        <w:t>2.资金使用效益有待进一步提高。</w:t>
      </w:r>
    </w:p>
    <w:p w14:paraId="0043175C">
      <w:pPr>
        <w:spacing w:line="560" w:lineRule="exact"/>
        <w:ind w:firstLine="640" w:firstLineChars="200"/>
        <w:rPr>
          <w:rFonts w:eastAsia="楷体_GB2312"/>
          <w:sz w:val="32"/>
          <w:szCs w:val="32"/>
        </w:rPr>
      </w:pPr>
      <w:r>
        <w:rPr>
          <w:rFonts w:eastAsia="楷体_GB2312"/>
          <w:sz w:val="32"/>
          <w:szCs w:val="32"/>
        </w:rPr>
        <w:t>（三）改进建议。</w:t>
      </w:r>
    </w:p>
    <w:p w14:paraId="5A6F263C">
      <w:pPr>
        <w:spacing w:line="560" w:lineRule="exact"/>
        <w:ind w:firstLine="640" w:firstLineChars="200"/>
        <w:rPr>
          <w:rFonts w:eastAsia="仿宋_GB2312"/>
          <w:sz w:val="32"/>
          <w:szCs w:val="32"/>
        </w:rPr>
      </w:pPr>
      <w:r>
        <w:rPr>
          <w:rFonts w:eastAsia="仿宋_GB2312"/>
          <w:sz w:val="32"/>
          <w:szCs w:val="32"/>
        </w:rPr>
        <w:t>1.遵循预算管理办法，从严控制年中追加预算规模。对于年度无法预计的临时追加的相关工作所需经费，严格按照预算调整追加程序，逐级申报报批，有效降低预算控制率。</w:t>
      </w:r>
    </w:p>
    <w:p w14:paraId="28AD1EE9">
      <w:pPr>
        <w:spacing w:line="560" w:lineRule="exact"/>
        <w:ind w:firstLine="640" w:firstLineChars="200"/>
        <w:rPr>
          <w:rFonts w:eastAsia="仿宋_GB2312"/>
          <w:sz w:val="32"/>
          <w:szCs w:val="32"/>
        </w:rPr>
      </w:pPr>
      <w:r>
        <w:rPr>
          <w:rFonts w:eastAsia="仿宋_GB2312"/>
          <w:sz w:val="32"/>
          <w:szCs w:val="32"/>
        </w:rPr>
        <w:t>2.保障预算执行进度。加快推进项目实施进度，加强项目开展进度的跟踪，开展项目绩效的跟踪和评价，确保项目绩效的完成，发挥资金的使用效益，提高预算完成率。</w:t>
      </w:r>
    </w:p>
    <w:p w14:paraId="1CB3B169">
      <w:pPr>
        <w:spacing w:line="560" w:lineRule="exact"/>
        <w:ind w:firstLine="640" w:firstLineChars="200"/>
        <w:rPr>
          <w:rFonts w:ascii="仿宋_GB2312" w:eastAsia="仿宋_GB2312"/>
          <w:sz w:val="32"/>
          <w:szCs w:val="32"/>
        </w:rPr>
      </w:pPr>
    </w:p>
    <w:p w14:paraId="176D1814">
      <w:pPr>
        <w:spacing w:line="560" w:lineRule="exact"/>
        <w:ind w:firstLine="640" w:firstLineChars="200"/>
        <w:rPr>
          <w:rFonts w:ascii="仿宋_GB2312" w:eastAsia="仿宋_GB2312"/>
          <w:sz w:val="32"/>
          <w:szCs w:val="32"/>
        </w:rPr>
      </w:pPr>
    </w:p>
    <w:p w14:paraId="4D70C7C7">
      <w:pPr>
        <w:spacing w:line="560" w:lineRule="exact"/>
        <w:ind w:firstLine="640" w:firstLineChars="200"/>
        <w:rPr>
          <w:rFonts w:ascii="仿宋_GB2312" w:eastAsia="仿宋_GB2312"/>
          <w:sz w:val="32"/>
          <w:szCs w:val="32"/>
        </w:rPr>
      </w:pPr>
    </w:p>
    <w:p w14:paraId="33AFC455">
      <w:pPr>
        <w:spacing w:line="560" w:lineRule="exact"/>
        <w:ind w:firstLine="640" w:firstLineChars="200"/>
        <w:rPr>
          <w:rFonts w:ascii="仿宋_GB2312" w:eastAsia="仿宋_GB2312"/>
          <w:sz w:val="32"/>
          <w:szCs w:val="32"/>
        </w:rPr>
      </w:pPr>
    </w:p>
    <w:p w14:paraId="0E6DFB8B">
      <w:pPr>
        <w:spacing w:line="560" w:lineRule="exact"/>
        <w:ind w:firstLine="640" w:firstLineChars="200"/>
        <w:rPr>
          <w:rFonts w:ascii="仿宋_GB2312" w:eastAsia="仿宋_GB2312"/>
          <w:sz w:val="32"/>
          <w:szCs w:val="32"/>
        </w:rPr>
      </w:pPr>
    </w:p>
    <w:p w14:paraId="339F731B">
      <w:pPr>
        <w:spacing w:line="560" w:lineRule="exact"/>
        <w:ind w:firstLine="640" w:firstLineChars="200"/>
        <w:rPr>
          <w:rFonts w:ascii="仿宋_GB2312" w:eastAsia="仿宋_GB2312"/>
          <w:sz w:val="32"/>
          <w:szCs w:val="32"/>
        </w:rPr>
      </w:pPr>
    </w:p>
    <w:p w14:paraId="196DF250">
      <w:pPr>
        <w:spacing w:line="560" w:lineRule="exact"/>
        <w:ind w:firstLine="640" w:firstLineChars="200"/>
        <w:rPr>
          <w:rFonts w:ascii="仿宋_GB2312" w:eastAsia="仿宋_GB2312"/>
          <w:sz w:val="32"/>
          <w:szCs w:val="32"/>
        </w:rPr>
      </w:pPr>
    </w:p>
    <w:p w14:paraId="71D34139">
      <w:pPr>
        <w:spacing w:line="560" w:lineRule="exact"/>
        <w:ind w:firstLine="640" w:firstLineChars="200"/>
        <w:rPr>
          <w:rFonts w:ascii="仿宋_GB2312" w:eastAsia="仿宋_GB2312"/>
          <w:sz w:val="32"/>
          <w:szCs w:val="32"/>
        </w:rPr>
      </w:pPr>
    </w:p>
    <w:p w14:paraId="5815C5CF">
      <w:pPr>
        <w:spacing w:line="560" w:lineRule="exact"/>
        <w:ind w:firstLine="640" w:firstLineChars="200"/>
        <w:rPr>
          <w:rFonts w:ascii="仿宋_GB2312" w:eastAsia="仿宋_GB2312"/>
          <w:sz w:val="32"/>
          <w:szCs w:val="32"/>
        </w:rPr>
      </w:pPr>
    </w:p>
    <w:p w14:paraId="13622BDB">
      <w:pPr>
        <w:spacing w:line="560" w:lineRule="exact"/>
        <w:ind w:firstLine="640" w:firstLineChars="200"/>
        <w:rPr>
          <w:rFonts w:ascii="仿宋_GB2312" w:eastAsia="仿宋_GB2312"/>
          <w:sz w:val="32"/>
          <w:szCs w:val="32"/>
        </w:rPr>
      </w:pPr>
    </w:p>
    <w:p w14:paraId="06C8E13B">
      <w:pPr>
        <w:spacing w:line="560" w:lineRule="exact"/>
        <w:ind w:firstLine="640" w:firstLineChars="200"/>
        <w:rPr>
          <w:rFonts w:ascii="仿宋_GB2312" w:eastAsia="仿宋_GB2312"/>
          <w:sz w:val="32"/>
          <w:szCs w:val="32"/>
        </w:rPr>
      </w:pPr>
    </w:p>
    <w:p w14:paraId="288CC58F">
      <w:pPr>
        <w:spacing w:line="560" w:lineRule="exact"/>
        <w:ind w:firstLine="640" w:firstLineChars="200"/>
        <w:rPr>
          <w:rFonts w:ascii="仿宋_GB2312" w:eastAsia="仿宋_GB2312"/>
          <w:sz w:val="32"/>
          <w:szCs w:val="32"/>
        </w:rPr>
      </w:pPr>
    </w:p>
    <w:p w14:paraId="14AC40F1">
      <w:pPr>
        <w:spacing w:line="560" w:lineRule="exact"/>
        <w:ind w:firstLine="640" w:firstLineChars="200"/>
        <w:rPr>
          <w:rFonts w:ascii="仿宋_GB2312" w:eastAsia="仿宋_GB2312"/>
          <w:sz w:val="32"/>
          <w:szCs w:val="32"/>
        </w:rPr>
      </w:pPr>
    </w:p>
    <w:p w14:paraId="0CC53D4D">
      <w:pPr>
        <w:spacing w:line="560" w:lineRule="exact"/>
        <w:ind w:firstLine="640" w:firstLineChars="200"/>
        <w:rPr>
          <w:rFonts w:ascii="仿宋_GB2312" w:eastAsia="仿宋_GB2312"/>
          <w:sz w:val="32"/>
          <w:szCs w:val="32"/>
        </w:rPr>
      </w:pPr>
    </w:p>
    <w:p w14:paraId="2A14FA7A">
      <w:pPr>
        <w:spacing w:line="560" w:lineRule="exact"/>
        <w:ind w:firstLine="640" w:firstLineChars="200"/>
        <w:rPr>
          <w:rFonts w:ascii="仿宋_GB2312" w:eastAsia="仿宋_GB2312"/>
          <w:sz w:val="32"/>
          <w:szCs w:val="32"/>
        </w:rPr>
      </w:pPr>
    </w:p>
    <w:p w14:paraId="5F7EBA79">
      <w:pPr>
        <w:spacing w:line="560" w:lineRule="exact"/>
        <w:ind w:firstLine="640" w:firstLineChars="200"/>
        <w:rPr>
          <w:rFonts w:ascii="仿宋_GB2312" w:eastAsia="仿宋_GB2312"/>
          <w:sz w:val="32"/>
          <w:szCs w:val="32"/>
        </w:rPr>
      </w:pPr>
    </w:p>
    <w:p w14:paraId="6E08A30C">
      <w:pPr>
        <w:spacing w:line="560" w:lineRule="exact"/>
        <w:ind w:firstLine="640" w:firstLineChars="200"/>
        <w:rPr>
          <w:rFonts w:ascii="仿宋_GB2312" w:eastAsia="仿宋_GB2312"/>
          <w:sz w:val="32"/>
          <w:szCs w:val="32"/>
        </w:rPr>
      </w:pPr>
    </w:p>
    <w:p w14:paraId="427A2704">
      <w:pPr>
        <w:spacing w:line="560" w:lineRule="exact"/>
        <w:ind w:firstLine="640" w:firstLineChars="200"/>
        <w:rPr>
          <w:rFonts w:ascii="仿宋_GB2312" w:eastAsia="仿宋_GB2312"/>
          <w:sz w:val="32"/>
          <w:szCs w:val="32"/>
        </w:rPr>
      </w:pPr>
    </w:p>
    <w:p w14:paraId="0869E339">
      <w:pPr>
        <w:rPr>
          <w:rFonts w:eastAsia="黑体"/>
          <w:sz w:val="32"/>
          <w:szCs w:val="32"/>
        </w:rPr>
      </w:pPr>
      <w:r>
        <w:rPr>
          <w:rFonts w:eastAsia="黑体"/>
          <w:sz w:val="32"/>
          <w:szCs w:val="32"/>
        </w:rPr>
        <w:t>附件1</w:t>
      </w:r>
    </w:p>
    <w:p w14:paraId="0CE5C264">
      <w:pPr>
        <w:spacing w:line="640" w:lineRule="exact"/>
        <w:jc w:val="center"/>
        <w:rPr>
          <w:rFonts w:eastAsia="方正小标宋_GBK"/>
          <w:sz w:val="44"/>
          <w:szCs w:val="44"/>
        </w:rPr>
      </w:pPr>
      <w:bookmarkStart w:id="98" w:name="_Toc22984_WPSOffice_Level2"/>
    </w:p>
    <w:p w14:paraId="64CD1B2B">
      <w:pPr>
        <w:spacing w:line="640" w:lineRule="exact"/>
        <w:jc w:val="center"/>
        <w:rPr>
          <w:rFonts w:eastAsia="方正小标宋_GBK"/>
          <w:sz w:val="44"/>
          <w:szCs w:val="44"/>
        </w:rPr>
      </w:pPr>
      <w:r>
        <w:rPr>
          <w:rFonts w:eastAsia="方正小标宋_GBK"/>
          <w:sz w:val="44"/>
          <w:szCs w:val="44"/>
        </w:rPr>
        <w:t>盐边县财政局</w:t>
      </w:r>
      <w:bookmarkEnd w:id="98"/>
    </w:p>
    <w:p w14:paraId="7BF9C09C">
      <w:pPr>
        <w:spacing w:line="640" w:lineRule="exact"/>
        <w:jc w:val="center"/>
        <w:rPr>
          <w:rFonts w:eastAsia="方正小标宋_GBK"/>
          <w:sz w:val="44"/>
          <w:szCs w:val="44"/>
        </w:rPr>
      </w:pPr>
      <w:bookmarkStart w:id="99" w:name="_Toc4300_WPSOffice_Level2"/>
      <w:r>
        <w:rPr>
          <w:rFonts w:eastAsia="方正小标宋_GBK"/>
          <w:sz w:val="44"/>
          <w:szCs w:val="44"/>
        </w:rPr>
        <w:t>网络及金财网相关经费资金绩效自评报告</w:t>
      </w:r>
      <w:bookmarkEnd w:id="99"/>
    </w:p>
    <w:p w14:paraId="56B7AF73">
      <w:pPr>
        <w:spacing w:line="560" w:lineRule="exact"/>
        <w:ind w:firstLine="640" w:firstLineChars="200"/>
        <w:rPr>
          <w:rFonts w:eastAsia="仿宋_GB2312"/>
          <w:sz w:val="32"/>
          <w:szCs w:val="32"/>
        </w:rPr>
      </w:pPr>
    </w:p>
    <w:p w14:paraId="417E4709">
      <w:pPr>
        <w:spacing w:line="550" w:lineRule="exact"/>
        <w:ind w:firstLine="640" w:firstLineChars="200"/>
        <w:rPr>
          <w:rFonts w:eastAsia="黑体"/>
          <w:sz w:val="32"/>
          <w:szCs w:val="32"/>
        </w:rPr>
      </w:pPr>
      <w:bookmarkStart w:id="100" w:name="_Toc3318_WPSOffice_Level2"/>
      <w:r>
        <w:rPr>
          <w:rFonts w:eastAsia="黑体"/>
          <w:sz w:val="32"/>
          <w:szCs w:val="32"/>
        </w:rPr>
        <w:t>一、项目概况</w:t>
      </w:r>
      <w:bookmarkEnd w:id="100"/>
    </w:p>
    <w:p w14:paraId="604AA59D">
      <w:pPr>
        <w:spacing w:line="550" w:lineRule="exact"/>
        <w:ind w:firstLine="640" w:firstLineChars="200"/>
        <w:rPr>
          <w:rFonts w:eastAsia="楷体_GB2312"/>
          <w:sz w:val="32"/>
          <w:szCs w:val="32"/>
        </w:rPr>
      </w:pPr>
      <w:r>
        <w:rPr>
          <w:rFonts w:eastAsia="楷体_GB2312"/>
          <w:sz w:val="32"/>
          <w:szCs w:val="32"/>
        </w:rPr>
        <w:t>（一）项目基本情况。</w:t>
      </w:r>
    </w:p>
    <w:p w14:paraId="21EC051B">
      <w:pPr>
        <w:spacing w:line="550" w:lineRule="exact"/>
        <w:ind w:firstLine="640" w:firstLineChars="200"/>
        <w:rPr>
          <w:rFonts w:eastAsia="仿宋_GB2312"/>
          <w:sz w:val="32"/>
          <w:szCs w:val="32"/>
        </w:rPr>
      </w:pPr>
      <w:r>
        <w:rPr>
          <w:rFonts w:eastAsia="仿宋_GB2312"/>
          <w:sz w:val="32"/>
          <w:szCs w:val="32"/>
        </w:rPr>
        <w:t>金财网及各项应用系统（包括行政事业单位资产管理系统、预算指标管理系统、国库总预算软件、扶贫监控平台、债务管理平台等），供我县114个预算单位及财政局业务股室使用，满足全县114个预算单位预算编制、资金支付、资产管理、账务处理等财务工作，同时满足财政局各业务股室工作需要，保障各项财政业务正常开展。</w:t>
      </w:r>
    </w:p>
    <w:p w14:paraId="0C0A52C0">
      <w:pPr>
        <w:spacing w:line="550" w:lineRule="exact"/>
        <w:ind w:firstLine="640" w:firstLineChars="200"/>
        <w:rPr>
          <w:rFonts w:eastAsia="楷体_GB2312"/>
          <w:sz w:val="32"/>
          <w:szCs w:val="32"/>
        </w:rPr>
      </w:pPr>
      <w:r>
        <w:rPr>
          <w:rFonts w:eastAsia="楷体_GB2312"/>
          <w:sz w:val="32"/>
          <w:szCs w:val="32"/>
        </w:rPr>
        <w:t>（二）项目绩效目标。</w:t>
      </w:r>
    </w:p>
    <w:p w14:paraId="67497427">
      <w:pPr>
        <w:spacing w:line="550" w:lineRule="exact"/>
        <w:ind w:firstLine="640" w:firstLineChars="200"/>
        <w:rPr>
          <w:rFonts w:eastAsia="仿宋_GB2312"/>
          <w:sz w:val="32"/>
          <w:szCs w:val="32"/>
        </w:rPr>
      </w:pPr>
      <w:r>
        <w:rPr>
          <w:rFonts w:eastAsia="仿宋_GB2312"/>
          <w:sz w:val="32"/>
          <w:szCs w:val="32"/>
        </w:rPr>
        <w:t>保障财政局各网络线路畅通；保障财政局各业务系统运行正常；保障信息中心机房及各硬件设备运行正常；确保财政系统网络数据安全，保障各项财政业务正常开展，保障全县各单位资金使用。及时解决全县各单位在使用系统过程中遇到的问题。指导和培训全县各单位使用各项应用系统正常开展相应财务工作。</w:t>
      </w:r>
    </w:p>
    <w:p w14:paraId="404B9CEC">
      <w:pPr>
        <w:spacing w:line="550" w:lineRule="exact"/>
        <w:ind w:firstLine="640" w:firstLineChars="200"/>
        <w:rPr>
          <w:rFonts w:eastAsia="黑体"/>
          <w:sz w:val="32"/>
          <w:szCs w:val="32"/>
        </w:rPr>
      </w:pPr>
      <w:bookmarkStart w:id="101" w:name="_Toc13317_WPSOffice_Level2"/>
      <w:r>
        <w:rPr>
          <w:rFonts w:eastAsia="黑体"/>
          <w:sz w:val="32"/>
          <w:szCs w:val="32"/>
        </w:rPr>
        <w:t>二、项目资金申报及使用情况</w:t>
      </w:r>
      <w:bookmarkEnd w:id="101"/>
    </w:p>
    <w:p w14:paraId="18DEF6F1">
      <w:pPr>
        <w:spacing w:line="550" w:lineRule="exact"/>
        <w:ind w:firstLine="640" w:firstLineChars="200"/>
        <w:rPr>
          <w:rFonts w:eastAsia="楷体_GB2312"/>
          <w:sz w:val="32"/>
          <w:szCs w:val="32"/>
        </w:rPr>
      </w:pPr>
      <w:r>
        <w:rPr>
          <w:rFonts w:eastAsia="楷体_GB2312"/>
          <w:sz w:val="32"/>
          <w:szCs w:val="32"/>
        </w:rPr>
        <w:t>（一）项目资金申报及批复情况。</w:t>
      </w:r>
    </w:p>
    <w:p w14:paraId="35E1E87F">
      <w:pPr>
        <w:spacing w:line="550" w:lineRule="exact"/>
        <w:ind w:firstLine="640" w:firstLineChars="200"/>
        <w:rPr>
          <w:rFonts w:eastAsia="仿宋_GB2312"/>
          <w:sz w:val="32"/>
          <w:szCs w:val="32"/>
        </w:rPr>
      </w:pPr>
      <w:r>
        <w:rPr>
          <w:rFonts w:eastAsia="仿宋_GB2312"/>
          <w:sz w:val="32"/>
          <w:szCs w:val="32"/>
        </w:rPr>
        <w:t>根据盐边财政〔2021〕8号文件年初预算批复下达资金114万元。</w:t>
      </w:r>
    </w:p>
    <w:p w14:paraId="5B9C1892">
      <w:pPr>
        <w:spacing w:line="550" w:lineRule="exact"/>
        <w:ind w:firstLine="640" w:firstLineChars="200"/>
        <w:rPr>
          <w:rFonts w:eastAsia="楷体_GB2312"/>
          <w:sz w:val="32"/>
          <w:szCs w:val="32"/>
        </w:rPr>
      </w:pPr>
      <w:r>
        <w:rPr>
          <w:rFonts w:eastAsia="楷体_GB2312"/>
          <w:sz w:val="32"/>
          <w:szCs w:val="32"/>
        </w:rPr>
        <w:t>（二）资金计划、到位及使用情况（可用表格形式反映）。</w:t>
      </w:r>
    </w:p>
    <w:p w14:paraId="218595A8">
      <w:pPr>
        <w:spacing w:line="550" w:lineRule="exact"/>
        <w:ind w:firstLine="640" w:firstLineChars="200"/>
        <w:rPr>
          <w:rFonts w:eastAsia="仿宋_GB2312"/>
          <w:sz w:val="32"/>
          <w:szCs w:val="32"/>
        </w:rPr>
      </w:pPr>
      <w:r>
        <w:rPr>
          <w:rFonts w:eastAsia="仿宋_GB2312"/>
          <w:sz w:val="32"/>
          <w:szCs w:val="32"/>
        </w:rPr>
        <w:t>该项目计划资金114万元，到位资金114万元，全部是县级财政资金，到位率100%。项目支出主要包括金财网网络租赁费、行政事业单位资产信息维护费、政府财政指标管理系统维护费、债务金融3个服务平台维护费、国库股总会计软件及出纳软件维护费、非税收入收缴管理系统维护费及财政局办公设备运行维护费。</w:t>
      </w:r>
    </w:p>
    <w:p w14:paraId="2ED3B928">
      <w:pPr>
        <w:spacing w:line="550" w:lineRule="exact"/>
        <w:ind w:firstLine="640" w:firstLineChars="200"/>
        <w:rPr>
          <w:rFonts w:eastAsia="楷体_GB2312"/>
          <w:sz w:val="32"/>
          <w:szCs w:val="32"/>
        </w:rPr>
      </w:pPr>
      <w:r>
        <w:rPr>
          <w:rFonts w:eastAsia="楷体_GB2312"/>
          <w:sz w:val="32"/>
          <w:szCs w:val="32"/>
        </w:rPr>
        <w:t>（三）项目财务管理情况。</w:t>
      </w:r>
    </w:p>
    <w:p w14:paraId="68836B49">
      <w:pPr>
        <w:spacing w:line="550" w:lineRule="exact"/>
        <w:ind w:firstLine="640" w:firstLineChars="200"/>
        <w:rPr>
          <w:rFonts w:eastAsia="仿宋_GB2312"/>
          <w:sz w:val="32"/>
          <w:szCs w:val="32"/>
        </w:rPr>
      </w:pPr>
      <w:r>
        <w:rPr>
          <w:rFonts w:eastAsia="仿宋_GB2312"/>
          <w:sz w:val="32"/>
          <w:szCs w:val="32"/>
        </w:rPr>
        <w:t>一是建立健全了专项经费管理制度，严格按照专项资金管理使用的有关要求，紧密结合专项工作实际和现有的财经纪律及规章，进一步强化了内部控制制度，不断推动专项财务工作规范化、制度化，落实并明确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严格执行项目有关制度规定，做到专款专用，无挪用和截留现象。支出合理，没有列支与项目内容无关的费用。</w:t>
      </w:r>
    </w:p>
    <w:p w14:paraId="7A34497C">
      <w:pPr>
        <w:spacing w:line="550" w:lineRule="exact"/>
        <w:ind w:firstLine="640" w:firstLineChars="200"/>
        <w:rPr>
          <w:rFonts w:eastAsia="黑体"/>
          <w:sz w:val="32"/>
          <w:szCs w:val="32"/>
        </w:rPr>
      </w:pPr>
      <w:bookmarkStart w:id="102" w:name="_Toc11936_WPSOffice_Level2"/>
      <w:r>
        <w:rPr>
          <w:rFonts w:eastAsia="黑体"/>
          <w:sz w:val="32"/>
          <w:szCs w:val="32"/>
        </w:rPr>
        <w:t>三、项目实施及管理情况</w:t>
      </w:r>
      <w:bookmarkEnd w:id="102"/>
    </w:p>
    <w:p w14:paraId="58840DDB">
      <w:pPr>
        <w:spacing w:line="550" w:lineRule="exact"/>
        <w:ind w:firstLine="640" w:firstLineChars="200"/>
        <w:rPr>
          <w:rFonts w:eastAsia="仿宋_GB2312"/>
          <w:sz w:val="32"/>
          <w:szCs w:val="32"/>
        </w:rPr>
      </w:pPr>
      <w:r>
        <w:rPr>
          <w:rFonts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749BBFA5">
      <w:pPr>
        <w:spacing w:line="550" w:lineRule="exact"/>
        <w:ind w:firstLine="640" w:firstLineChars="200"/>
        <w:rPr>
          <w:rFonts w:eastAsia="黑体"/>
          <w:sz w:val="32"/>
          <w:szCs w:val="32"/>
        </w:rPr>
      </w:pPr>
      <w:bookmarkStart w:id="103" w:name="_Toc26668_WPSOffice_Level2"/>
      <w:r>
        <w:rPr>
          <w:rFonts w:eastAsia="黑体"/>
          <w:sz w:val="32"/>
          <w:szCs w:val="32"/>
        </w:rPr>
        <w:t>四、项目绩效情况</w:t>
      </w:r>
      <w:bookmarkEnd w:id="103"/>
    </w:p>
    <w:p w14:paraId="2E7C5AFC">
      <w:pPr>
        <w:spacing w:line="550" w:lineRule="exact"/>
        <w:ind w:firstLine="640" w:firstLineChars="200"/>
        <w:rPr>
          <w:rFonts w:eastAsia="楷体_GB2312"/>
          <w:sz w:val="32"/>
          <w:szCs w:val="32"/>
        </w:rPr>
      </w:pPr>
      <w:r>
        <w:rPr>
          <w:rFonts w:eastAsia="楷体_GB2312"/>
          <w:sz w:val="32"/>
          <w:szCs w:val="32"/>
        </w:rPr>
        <w:t>（一）项目完成情况。</w:t>
      </w:r>
    </w:p>
    <w:p w14:paraId="0301032D">
      <w:pPr>
        <w:spacing w:line="550" w:lineRule="exact"/>
        <w:ind w:firstLine="640" w:firstLineChars="200"/>
        <w:rPr>
          <w:rFonts w:eastAsia="仿宋_GB2312"/>
          <w:sz w:val="32"/>
          <w:szCs w:val="32"/>
        </w:rPr>
      </w:pPr>
      <w:r>
        <w:rPr>
          <w:rFonts w:eastAsia="仿宋_GB2312"/>
          <w:sz w:val="32"/>
          <w:szCs w:val="32"/>
        </w:rPr>
        <w:t>项目支出主要包括金财网网络租赁费、行政事业单位资产信息维护费、政府财政指标管理系统维护费、债务金融3个服务平台维护费、国库股总会计软件及出纳软件维护费、非税收入收缴管理系统维护费及财政局办公设备运行维护费。所有资金使用严格按照有关财务制度执行。完成整个项目支出114万元。</w:t>
      </w:r>
    </w:p>
    <w:p w14:paraId="53F16D16">
      <w:pPr>
        <w:spacing w:line="550" w:lineRule="exact"/>
        <w:ind w:firstLine="640" w:firstLineChars="200"/>
        <w:rPr>
          <w:rFonts w:eastAsia="楷体_GB2312"/>
          <w:sz w:val="32"/>
          <w:szCs w:val="32"/>
        </w:rPr>
      </w:pPr>
      <w:r>
        <w:rPr>
          <w:rFonts w:eastAsia="楷体_GB2312"/>
          <w:sz w:val="32"/>
          <w:szCs w:val="32"/>
        </w:rPr>
        <w:t>（二）项目效益情况。</w:t>
      </w:r>
    </w:p>
    <w:p w14:paraId="084AC214">
      <w:pPr>
        <w:spacing w:line="550" w:lineRule="exact"/>
        <w:ind w:firstLine="640" w:firstLineChars="200"/>
        <w:rPr>
          <w:rFonts w:eastAsia="仿宋_GB2312"/>
          <w:sz w:val="32"/>
          <w:szCs w:val="32"/>
        </w:rPr>
      </w:pPr>
      <w:r>
        <w:rPr>
          <w:rFonts w:eastAsia="仿宋_GB2312"/>
          <w:sz w:val="32"/>
          <w:szCs w:val="32"/>
        </w:rPr>
        <w:t>保障财政局各网络线路畅通；保障财政局各业务系统运行正常；保障信息中心机房及各硬件设备运行正常；确保财政系统网络数据安全，保障各项财政业务正常开展，保障全县各单位资金使用。及时解决全县各单位在使用系统过程中遇到的问题。指导和培训全县各单位使用各项应用系统正常开展相应财务工作。</w:t>
      </w:r>
    </w:p>
    <w:p w14:paraId="2D4C614E">
      <w:pPr>
        <w:spacing w:line="550" w:lineRule="exact"/>
        <w:ind w:firstLine="640" w:firstLineChars="200"/>
        <w:rPr>
          <w:rFonts w:eastAsia="黑体"/>
          <w:sz w:val="32"/>
          <w:szCs w:val="32"/>
        </w:rPr>
      </w:pPr>
      <w:bookmarkStart w:id="104" w:name="_Toc5473_WPSOffice_Level2"/>
      <w:r>
        <w:rPr>
          <w:rFonts w:eastAsia="黑体"/>
          <w:sz w:val="32"/>
          <w:szCs w:val="32"/>
        </w:rPr>
        <w:t>五、评价结论及建议</w:t>
      </w:r>
      <w:bookmarkEnd w:id="104"/>
    </w:p>
    <w:p w14:paraId="25CB34C3">
      <w:pPr>
        <w:spacing w:line="550" w:lineRule="exact"/>
        <w:ind w:firstLine="640" w:firstLineChars="200"/>
        <w:rPr>
          <w:rFonts w:eastAsia="楷体_GB2312"/>
          <w:sz w:val="32"/>
          <w:szCs w:val="32"/>
        </w:rPr>
      </w:pPr>
      <w:r>
        <w:rPr>
          <w:rFonts w:eastAsia="楷体_GB2312"/>
          <w:sz w:val="32"/>
          <w:szCs w:val="32"/>
        </w:rPr>
        <w:t>（一）评价结论。</w:t>
      </w:r>
    </w:p>
    <w:p w14:paraId="391A94E5">
      <w:pPr>
        <w:spacing w:line="550" w:lineRule="exact"/>
        <w:ind w:firstLine="640" w:firstLineChars="200"/>
        <w:rPr>
          <w:rFonts w:eastAsia="仿宋_GB2312"/>
          <w:sz w:val="32"/>
          <w:szCs w:val="32"/>
        </w:rPr>
      </w:pPr>
      <w:r>
        <w:rPr>
          <w:rFonts w:eastAsia="仿宋_GB2312"/>
          <w:sz w:val="32"/>
          <w:szCs w:val="32"/>
        </w:rPr>
        <w:t>本年度专项工作经费管理规范，按计划圆满完成了各项工作目标，该项工作总体较满意。</w:t>
      </w:r>
    </w:p>
    <w:p w14:paraId="15095A60">
      <w:pPr>
        <w:spacing w:line="550" w:lineRule="exact"/>
        <w:ind w:firstLine="640" w:firstLineChars="200"/>
        <w:rPr>
          <w:rFonts w:eastAsia="楷体_GB2312"/>
          <w:sz w:val="32"/>
          <w:szCs w:val="32"/>
        </w:rPr>
      </w:pPr>
      <w:r>
        <w:rPr>
          <w:rFonts w:eastAsia="楷体_GB2312"/>
          <w:sz w:val="32"/>
          <w:szCs w:val="32"/>
        </w:rPr>
        <w:t>（二）存在的问题。</w:t>
      </w:r>
    </w:p>
    <w:p w14:paraId="7849F1AC">
      <w:pPr>
        <w:spacing w:line="550" w:lineRule="exact"/>
        <w:ind w:firstLine="640" w:firstLineChars="200"/>
        <w:rPr>
          <w:rFonts w:eastAsia="仿宋_GB2312"/>
          <w:sz w:val="32"/>
          <w:szCs w:val="32"/>
        </w:rPr>
      </w:pPr>
      <w:r>
        <w:rPr>
          <w:rFonts w:eastAsia="仿宋_GB2312"/>
          <w:sz w:val="32"/>
          <w:szCs w:val="32"/>
        </w:rPr>
        <w:t>无。</w:t>
      </w:r>
    </w:p>
    <w:p w14:paraId="720483D1">
      <w:pPr>
        <w:spacing w:line="550" w:lineRule="exact"/>
        <w:ind w:firstLine="640" w:firstLineChars="200"/>
        <w:rPr>
          <w:rFonts w:eastAsia="楷体_GB2312"/>
          <w:sz w:val="32"/>
          <w:szCs w:val="32"/>
        </w:rPr>
      </w:pPr>
      <w:r>
        <w:rPr>
          <w:rFonts w:eastAsia="楷体_GB2312"/>
          <w:sz w:val="32"/>
          <w:szCs w:val="32"/>
        </w:rPr>
        <w:t>（三）相关建议。</w:t>
      </w:r>
    </w:p>
    <w:p w14:paraId="06EB4A3C">
      <w:pPr>
        <w:spacing w:line="550" w:lineRule="exact"/>
        <w:ind w:firstLine="640" w:firstLineChars="200"/>
        <w:rPr>
          <w:rFonts w:eastAsia="仿宋_GB2312"/>
          <w:sz w:val="32"/>
          <w:szCs w:val="32"/>
        </w:rPr>
      </w:pPr>
      <w:r>
        <w:rPr>
          <w:rFonts w:eastAsia="仿宋_GB2312"/>
          <w:sz w:val="32"/>
          <w:szCs w:val="32"/>
        </w:rPr>
        <w:t>无。</w:t>
      </w:r>
    </w:p>
    <w:p w14:paraId="3F92B1CE">
      <w:pPr>
        <w:spacing w:line="640" w:lineRule="exact"/>
        <w:jc w:val="center"/>
        <w:rPr>
          <w:rFonts w:eastAsia="方正小标宋_GBK"/>
          <w:sz w:val="44"/>
          <w:szCs w:val="44"/>
        </w:rPr>
      </w:pPr>
      <w:bookmarkStart w:id="105" w:name="_Toc15972_WPSOffice_Level2"/>
    </w:p>
    <w:p w14:paraId="3E4228EE">
      <w:pPr>
        <w:rPr>
          <w:rFonts w:ascii="黑体" w:eastAsia="黑体"/>
          <w:sz w:val="32"/>
          <w:szCs w:val="32"/>
        </w:rPr>
      </w:pPr>
    </w:p>
    <w:p w14:paraId="7C47A3A9">
      <w:pPr>
        <w:rPr>
          <w:rFonts w:eastAsia="黑体"/>
          <w:sz w:val="32"/>
          <w:szCs w:val="32"/>
        </w:rPr>
      </w:pPr>
      <w:r>
        <w:rPr>
          <w:rFonts w:eastAsia="黑体"/>
          <w:sz w:val="32"/>
          <w:szCs w:val="32"/>
        </w:rPr>
        <w:t>附件2</w:t>
      </w:r>
    </w:p>
    <w:p w14:paraId="077C027C">
      <w:pPr>
        <w:spacing w:line="640" w:lineRule="exact"/>
        <w:jc w:val="center"/>
        <w:rPr>
          <w:rFonts w:eastAsia="方正小标宋_GBK"/>
          <w:sz w:val="44"/>
          <w:szCs w:val="44"/>
        </w:rPr>
      </w:pPr>
    </w:p>
    <w:p w14:paraId="03F12740">
      <w:pPr>
        <w:spacing w:line="640" w:lineRule="exact"/>
        <w:jc w:val="center"/>
        <w:rPr>
          <w:rFonts w:eastAsia="方正小标宋_GBK"/>
          <w:sz w:val="44"/>
          <w:szCs w:val="44"/>
        </w:rPr>
      </w:pPr>
      <w:r>
        <w:rPr>
          <w:rFonts w:eastAsia="方正小标宋_GBK"/>
          <w:sz w:val="44"/>
          <w:szCs w:val="44"/>
        </w:rPr>
        <w:t>盐边县财政局</w:t>
      </w:r>
      <w:bookmarkEnd w:id="105"/>
    </w:p>
    <w:p w14:paraId="3836CB21">
      <w:pPr>
        <w:spacing w:line="640" w:lineRule="exact"/>
        <w:jc w:val="center"/>
        <w:rPr>
          <w:rFonts w:eastAsia="方正小标宋_GBK"/>
          <w:sz w:val="44"/>
          <w:szCs w:val="44"/>
        </w:rPr>
      </w:pPr>
      <w:bookmarkStart w:id="106" w:name="_Toc14051_WPSOffice_Level2"/>
      <w:r>
        <w:rPr>
          <w:rFonts w:eastAsia="方正小标宋_GBK"/>
          <w:sz w:val="44"/>
          <w:szCs w:val="44"/>
        </w:rPr>
        <w:t>财政评审中心经费资金绩效自评报告</w:t>
      </w:r>
      <w:bookmarkEnd w:id="106"/>
    </w:p>
    <w:p w14:paraId="011E6E45">
      <w:pPr>
        <w:pStyle w:val="8"/>
        <w:spacing w:line="600" w:lineRule="exact"/>
        <w:ind w:firstLine="640" w:firstLineChars="200"/>
        <w:jc w:val="left"/>
        <w:rPr>
          <w:rFonts w:ascii="Times New Roman" w:hAnsi="Times New Roman" w:eastAsia="仿宋_GB2312"/>
          <w:sz w:val="32"/>
          <w:szCs w:val="32"/>
        </w:rPr>
      </w:pPr>
    </w:p>
    <w:p w14:paraId="345C0675">
      <w:pPr>
        <w:spacing w:line="560" w:lineRule="exact"/>
        <w:ind w:firstLine="640" w:firstLineChars="200"/>
        <w:rPr>
          <w:rFonts w:eastAsia="黑体"/>
          <w:sz w:val="32"/>
          <w:szCs w:val="32"/>
        </w:rPr>
      </w:pPr>
      <w:bookmarkStart w:id="107" w:name="_Toc8830_WPSOffice_Level2"/>
      <w:r>
        <w:rPr>
          <w:rFonts w:eastAsia="黑体"/>
          <w:sz w:val="32"/>
          <w:szCs w:val="32"/>
        </w:rPr>
        <w:t>一、项目概况</w:t>
      </w:r>
      <w:bookmarkEnd w:id="107"/>
    </w:p>
    <w:p w14:paraId="1A94F359">
      <w:pPr>
        <w:spacing w:line="560" w:lineRule="exact"/>
        <w:ind w:firstLine="640" w:firstLineChars="200"/>
        <w:rPr>
          <w:rFonts w:eastAsia="楷体_GB2312"/>
          <w:sz w:val="32"/>
          <w:szCs w:val="32"/>
        </w:rPr>
      </w:pPr>
      <w:r>
        <w:rPr>
          <w:rFonts w:eastAsia="楷体_GB2312"/>
          <w:sz w:val="32"/>
          <w:szCs w:val="32"/>
        </w:rPr>
        <w:t>（一）项目基本情况。</w:t>
      </w:r>
    </w:p>
    <w:p w14:paraId="32578703">
      <w:pPr>
        <w:spacing w:line="560" w:lineRule="exact"/>
        <w:ind w:firstLine="640" w:firstLineChars="200"/>
        <w:rPr>
          <w:rFonts w:eastAsia="仿宋_GB2312"/>
          <w:sz w:val="32"/>
          <w:szCs w:val="32"/>
        </w:rPr>
      </w:pPr>
      <w:r>
        <w:rPr>
          <w:rFonts w:eastAsia="仿宋_GB2312"/>
          <w:sz w:val="32"/>
          <w:szCs w:val="32"/>
        </w:rPr>
        <w:t>财政投资评审是财政职能的重要组成部分，财政部门通过对财政性资金投资项目预（概）算和竣工决（结）算进行评价与审查，对财政性资金投资项目资金使用情况，以及其他财政专项资金使用情况进行专项核查及追踪问效，是财政资金规范、安全、有效运行的基本保证。按财政职能要求，盐边县财政投资评审中心成立于2008年（盐边编发〔2008〕3号），是全额财政拨款的县财政局常设副科级事业单位，机构编制5名。财评中心项目经费由同级财政年度预算，保障财评中心工作正常运行和财政投资项目相关事项正常评审，足额支付委托社会中介机构项目评审服务费，保质保量完成年度项目评审任务和各项工作顺利完成。</w:t>
      </w:r>
    </w:p>
    <w:p w14:paraId="0989EF7B">
      <w:pPr>
        <w:spacing w:line="560" w:lineRule="exact"/>
        <w:ind w:firstLine="640" w:firstLineChars="200"/>
        <w:rPr>
          <w:rFonts w:eastAsia="楷体_GB2312"/>
          <w:sz w:val="32"/>
          <w:szCs w:val="32"/>
        </w:rPr>
      </w:pPr>
      <w:r>
        <w:rPr>
          <w:rFonts w:eastAsia="楷体_GB2312"/>
          <w:sz w:val="32"/>
          <w:szCs w:val="32"/>
        </w:rPr>
        <w:t>（二）项目绩效目标。</w:t>
      </w:r>
    </w:p>
    <w:p w14:paraId="1E0E7AEE">
      <w:pPr>
        <w:spacing w:line="560" w:lineRule="exact"/>
        <w:ind w:firstLine="640" w:firstLineChars="200"/>
        <w:rPr>
          <w:rFonts w:eastAsia="仿宋_GB2312"/>
          <w:sz w:val="32"/>
          <w:szCs w:val="32"/>
        </w:rPr>
      </w:pPr>
      <w:r>
        <w:rPr>
          <w:rFonts w:eastAsia="仿宋_GB2312"/>
          <w:sz w:val="32"/>
          <w:szCs w:val="32"/>
        </w:rPr>
        <w:t>保证财评中心正常运行，保障财评中心评审软件更新、升级和业务培训，提高评审综合能力和水平。预算安排依法依规支付政府采购及委托社会中介机构项目评审服务费，解决财评中心聘用人员工资、办公经费等。</w:t>
      </w:r>
    </w:p>
    <w:p w14:paraId="173D0EAE">
      <w:pPr>
        <w:spacing w:line="560" w:lineRule="exact"/>
        <w:ind w:firstLine="640" w:firstLineChars="200"/>
        <w:rPr>
          <w:rFonts w:eastAsia="黑体"/>
          <w:sz w:val="32"/>
          <w:szCs w:val="32"/>
        </w:rPr>
      </w:pPr>
      <w:bookmarkStart w:id="108" w:name="_Toc4440_WPSOffice_Level2"/>
      <w:r>
        <w:rPr>
          <w:rFonts w:eastAsia="黑体"/>
          <w:sz w:val="32"/>
          <w:szCs w:val="32"/>
        </w:rPr>
        <w:t>二、项目资金申报及使用情况</w:t>
      </w:r>
      <w:bookmarkEnd w:id="108"/>
    </w:p>
    <w:p w14:paraId="5C14A97A">
      <w:pPr>
        <w:spacing w:line="560" w:lineRule="exact"/>
        <w:ind w:firstLine="640" w:firstLineChars="200"/>
        <w:rPr>
          <w:rFonts w:eastAsia="楷体_GB2312"/>
          <w:sz w:val="32"/>
          <w:szCs w:val="32"/>
        </w:rPr>
      </w:pPr>
      <w:r>
        <w:rPr>
          <w:rFonts w:eastAsia="楷体_GB2312"/>
          <w:sz w:val="32"/>
          <w:szCs w:val="32"/>
        </w:rPr>
        <w:t>（一）项目资金申报及批复情况。</w:t>
      </w:r>
    </w:p>
    <w:p w14:paraId="622AB0B8">
      <w:pPr>
        <w:spacing w:line="560" w:lineRule="exact"/>
        <w:ind w:firstLine="640" w:firstLineChars="200"/>
        <w:rPr>
          <w:rFonts w:eastAsia="仿宋_GB2312"/>
          <w:sz w:val="32"/>
          <w:szCs w:val="32"/>
        </w:rPr>
      </w:pPr>
      <w:r>
        <w:rPr>
          <w:rFonts w:eastAsia="仿宋_GB2312"/>
          <w:sz w:val="32"/>
          <w:szCs w:val="32"/>
        </w:rPr>
        <w:t>本项目根据盐边财政〔2021〕8号文件年初预算批复下达资金150.04万元。资金到位率100%。</w:t>
      </w:r>
    </w:p>
    <w:p w14:paraId="65AFEFBC">
      <w:pPr>
        <w:spacing w:line="560" w:lineRule="exact"/>
        <w:ind w:firstLine="640" w:firstLineChars="200"/>
        <w:rPr>
          <w:rFonts w:eastAsia="楷体_GB2312"/>
          <w:sz w:val="32"/>
          <w:szCs w:val="32"/>
        </w:rPr>
      </w:pPr>
      <w:r>
        <w:rPr>
          <w:rFonts w:eastAsia="楷体_GB2312"/>
          <w:sz w:val="32"/>
          <w:szCs w:val="32"/>
        </w:rPr>
        <w:t>（二）资金计划、到位及使用情况（可用表格形式反映）。</w:t>
      </w:r>
    </w:p>
    <w:p w14:paraId="01E68E08">
      <w:pPr>
        <w:spacing w:line="560" w:lineRule="exact"/>
        <w:ind w:firstLine="640" w:firstLineChars="200"/>
        <w:rPr>
          <w:rFonts w:eastAsia="仿宋_GB2312"/>
          <w:sz w:val="32"/>
          <w:szCs w:val="32"/>
        </w:rPr>
      </w:pPr>
      <w:r>
        <w:rPr>
          <w:rFonts w:eastAsia="仿宋_GB2312"/>
          <w:sz w:val="32"/>
          <w:szCs w:val="32"/>
        </w:rPr>
        <w:t>该项目计划资金150.04万元，到位资金150.04万元，全部是县级财政资金，到位率100%。项目支出主要包括政府采购及委托社会中介机构项目评审服务费；聘任专业技术人员经费（4名专业技术人员工资、出差、办公经费等）；财评中心工作经费；专业评审软件维护、更新、升级，专业计价资料、专项资料、业务培训、交流经费等。</w:t>
      </w:r>
    </w:p>
    <w:p w14:paraId="5FE5FD57">
      <w:pPr>
        <w:spacing w:line="560" w:lineRule="exact"/>
        <w:ind w:firstLine="640" w:firstLineChars="200"/>
        <w:rPr>
          <w:rFonts w:eastAsia="楷体_GB2312"/>
          <w:sz w:val="32"/>
          <w:szCs w:val="32"/>
        </w:rPr>
      </w:pPr>
      <w:r>
        <w:rPr>
          <w:rFonts w:eastAsia="楷体_GB2312"/>
          <w:sz w:val="32"/>
          <w:szCs w:val="32"/>
        </w:rPr>
        <w:t>（三）项目财务管理情况。</w:t>
      </w:r>
    </w:p>
    <w:p w14:paraId="3F93B4DB">
      <w:pPr>
        <w:spacing w:line="560" w:lineRule="exact"/>
        <w:ind w:firstLine="640" w:firstLineChars="200"/>
        <w:rPr>
          <w:rFonts w:eastAsia="仿宋_GB2312"/>
          <w:sz w:val="32"/>
          <w:szCs w:val="32"/>
        </w:rPr>
      </w:pPr>
      <w:r>
        <w:rPr>
          <w:rFonts w:eastAsia="仿宋_GB2312"/>
          <w:sz w:val="32"/>
          <w:szCs w:val="32"/>
        </w:rPr>
        <w:t>一是建立健全了专项经费管理制度，严格按照专项资金管理使用的有关要求，紧密结合专项工作实际和现有的财经纪律及规章，进一步强化了内部控制制度，不断推动专项财务工作规范化、制度化，落实并明确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严格执行项目有关制度规定，做到专款专用，无挪用和截留现象。支出合理，没有列支与项目内容无关的费用。</w:t>
      </w:r>
    </w:p>
    <w:p w14:paraId="35600E44">
      <w:pPr>
        <w:spacing w:line="560" w:lineRule="exact"/>
        <w:ind w:firstLine="640" w:firstLineChars="200"/>
        <w:rPr>
          <w:rFonts w:eastAsia="黑体"/>
          <w:sz w:val="32"/>
          <w:szCs w:val="32"/>
        </w:rPr>
      </w:pPr>
      <w:bookmarkStart w:id="109" w:name="_Toc23804_WPSOffice_Level2"/>
      <w:r>
        <w:rPr>
          <w:rFonts w:eastAsia="黑体"/>
          <w:sz w:val="32"/>
          <w:szCs w:val="32"/>
        </w:rPr>
        <w:t>三、项目实施及管理情况</w:t>
      </w:r>
      <w:bookmarkEnd w:id="109"/>
    </w:p>
    <w:p w14:paraId="5766940E">
      <w:pPr>
        <w:spacing w:line="560" w:lineRule="exact"/>
        <w:ind w:firstLine="640" w:firstLineChars="200"/>
        <w:rPr>
          <w:rFonts w:eastAsia="仿宋_GB2312"/>
          <w:sz w:val="32"/>
          <w:szCs w:val="32"/>
        </w:rPr>
      </w:pPr>
      <w:r>
        <w:rPr>
          <w:rFonts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1E8A6C6C">
      <w:pPr>
        <w:spacing w:line="560" w:lineRule="exact"/>
        <w:ind w:firstLine="640" w:firstLineChars="200"/>
        <w:rPr>
          <w:rFonts w:eastAsia="黑体"/>
          <w:sz w:val="32"/>
          <w:szCs w:val="32"/>
        </w:rPr>
      </w:pPr>
      <w:bookmarkStart w:id="110" w:name="_Toc27109_WPSOffice_Level2"/>
      <w:r>
        <w:rPr>
          <w:rFonts w:eastAsia="黑体"/>
          <w:sz w:val="32"/>
          <w:szCs w:val="32"/>
        </w:rPr>
        <w:t>四、项目绩效情况</w:t>
      </w:r>
      <w:bookmarkEnd w:id="110"/>
    </w:p>
    <w:p w14:paraId="511A586C">
      <w:pPr>
        <w:spacing w:line="560" w:lineRule="exact"/>
        <w:ind w:firstLine="640" w:firstLineChars="200"/>
        <w:rPr>
          <w:rFonts w:eastAsia="楷体_GB2312"/>
          <w:sz w:val="32"/>
          <w:szCs w:val="32"/>
        </w:rPr>
      </w:pPr>
      <w:r>
        <w:rPr>
          <w:rFonts w:eastAsia="楷体_GB2312"/>
          <w:sz w:val="32"/>
          <w:szCs w:val="32"/>
        </w:rPr>
        <w:t>（一）项目完成情况。</w:t>
      </w:r>
    </w:p>
    <w:p w14:paraId="6A82A4F6">
      <w:pPr>
        <w:spacing w:line="560" w:lineRule="exact"/>
        <w:ind w:firstLine="640" w:firstLineChars="200"/>
        <w:rPr>
          <w:rFonts w:eastAsia="仿宋_GB2312"/>
          <w:sz w:val="32"/>
          <w:szCs w:val="32"/>
        </w:rPr>
      </w:pPr>
      <w:r>
        <w:rPr>
          <w:rFonts w:eastAsia="仿宋_GB2312"/>
          <w:sz w:val="32"/>
          <w:szCs w:val="32"/>
        </w:rPr>
        <w:t>项目支出主要包括政府采购及委托社会中介机构项目评审服务费；聘任专业技术人员经费（4名专业技术人员工资、出差、办公经费等）；财评中心工作经费；专业评审软件维护、更新、升级，专业计价资料、专项资料、业务培训、交流经费等。完成整个项目支出150.04万元。</w:t>
      </w:r>
    </w:p>
    <w:p w14:paraId="04198D92">
      <w:pPr>
        <w:spacing w:line="560" w:lineRule="exact"/>
        <w:ind w:firstLine="640" w:firstLineChars="200"/>
        <w:rPr>
          <w:rFonts w:eastAsia="楷体_GB2312"/>
          <w:sz w:val="32"/>
          <w:szCs w:val="32"/>
        </w:rPr>
      </w:pPr>
      <w:r>
        <w:rPr>
          <w:rFonts w:eastAsia="楷体_GB2312"/>
          <w:sz w:val="32"/>
          <w:szCs w:val="32"/>
        </w:rPr>
        <w:t>（二）项目效益情况。</w:t>
      </w:r>
    </w:p>
    <w:p w14:paraId="36B2A000">
      <w:pPr>
        <w:spacing w:line="560" w:lineRule="exact"/>
        <w:ind w:firstLine="640" w:firstLineChars="200"/>
        <w:rPr>
          <w:rFonts w:eastAsia="仿宋_GB2312"/>
          <w:sz w:val="32"/>
          <w:szCs w:val="32"/>
        </w:rPr>
      </w:pPr>
      <w:r>
        <w:rPr>
          <w:rFonts w:eastAsia="仿宋_GB2312"/>
          <w:sz w:val="32"/>
          <w:szCs w:val="32"/>
        </w:rPr>
        <w:t>保障了财政评审中心工作人员工资、资料、差旅费用，委托项目评审费用，保质保量完成年度项目评审任务，从源头上节约财政资金。</w:t>
      </w:r>
    </w:p>
    <w:p w14:paraId="7104E919">
      <w:pPr>
        <w:spacing w:line="560" w:lineRule="exact"/>
        <w:ind w:firstLine="640" w:firstLineChars="200"/>
        <w:rPr>
          <w:rFonts w:eastAsia="黑体"/>
          <w:sz w:val="32"/>
          <w:szCs w:val="32"/>
        </w:rPr>
      </w:pPr>
      <w:bookmarkStart w:id="111" w:name="_Toc2648_WPSOffice_Level2"/>
      <w:r>
        <w:rPr>
          <w:rFonts w:eastAsia="黑体"/>
          <w:sz w:val="32"/>
          <w:szCs w:val="32"/>
        </w:rPr>
        <w:t>五、评价结论及建议</w:t>
      </w:r>
      <w:bookmarkEnd w:id="111"/>
    </w:p>
    <w:p w14:paraId="4B480C0A">
      <w:pPr>
        <w:spacing w:line="560" w:lineRule="exact"/>
        <w:ind w:firstLine="640" w:firstLineChars="200"/>
        <w:rPr>
          <w:rFonts w:eastAsia="楷体_GB2312"/>
          <w:sz w:val="32"/>
          <w:szCs w:val="32"/>
        </w:rPr>
      </w:pPr>
      <w:r>
        <w:rPr>
          <w:rFonts w:eastAsia="楷体_GB2312"/>
          <w:sz w:val="32"/>
          <w:szCs w:val="32"/>
        </w:rPr>
        <w:t>（一）评价结论。</w:t>
      </w:r>
    </w:p>
    <w:p w14:paraId="4C8F437A">
      <w:pPr>
        <w:spacing w:line="560" w:lineRule="exact"/>
        <w:ind w:firstLine="640" w:firstLineChars="200"/>
        <w:rPr>
          <w:rFonts w:eastAsia="仿宋_GB2312"/>
          <w:sz w:val="32"/>
          <w:szCs w:val="32"/>
        </w:rPr>
      </w:pPr>
      <w:r>
        <w:rPr>
          <w:rFonts w:eastAsia="仿宋_GB2312"/>
          <w:sz w:val="32"/>
          <w:szCs w:val="32"/>
        </w:rPr>
        <w:t>本年度专项工作经费管理规范，按计划圆满完成了各项工作目标，该项工作总体较满意。</w:t>
      </w:r>
    </w:p>
    <w:p w14:paraId="1CC789FC">
      <w:pPr>
        <w:spacing w:line="560" w:lineRule="exact"/>
        <w:ind w:firstLine="640" w:firstLineChars="200"/>
        <w:rPr>
          <w:rFonts w:eastAsia="楷体_GB2312"/>
          <w:sz w:val="32"/>
          <w:szCs w:val="32"/>
        </w:rPr>
      </w:pPr>
      <w:r>
        <w:rPr>
          <w:rFonts w:eastAsia="楷体_GB2312"/>
          <w:sz w:val="32"/>
          <w:szCs w:val="32"/>
        </w:rPr>
        <w:t>（二）存在的问题。</w:t>
      </w:r>
    </w:p>
    <w:p w14:paraId="09799FE6">
      <w:pPr>
        <w:spacing w:line="560" w:lineRule="exact"/>
        <w:ind w:firstLine="640" w:firstLineChars="200"/>
        <w:rPr>
          <w:rFonts w:eastAsia="仿宋_GB2312"/>
          <w:sz w:val="32"/>
          <w:szCs w:val="32"/>
        </w:rPr>
      </w:pPr>
      <w:r>
        <w:rPr>
          <w:rFonts w:eastAsia="仿宋_GB2312"/>
          <w:sz w:val="32"/>
          <w:szCs w:val="32"/>
        </w:rPr>
        <w:t xml:space="preserve"> 无。</w:t>
      </w:r>
    </w:p>
    <w:p w14:paraId="5589B1DC">
      <w:pPr>
        <w:spacing w:line="560" w:lineRule="exact"/>
        <w:ind w:firstLine="640" w:firstLineChars="200"/>
        <w:rPr>
          <w:rFonts w:eastAsia="楷体_GB2312"/>
          <w:sz w:val="32"/>
          <w:szCs w:val="32"/>
        </w:rPr>
      </w:pPr>
      <w:r>
        <w:rPr>
          <w:rFonts w:eastAsia="楷体_GB2312"/>
          <w:sz w:val="32"/>
          <w:szCs w:val="32"/>
        </w:rPr>
        <w:t>（三）相关建议。</w:t>
      </w:r>
    </w:p>
    <w:p w14:paraId="044B94A8">
      <w:pPr>
        <w:spacing w:line="560" w:lineRule="exact"/>
        <w:ind w:firstLine="640" w:firstLineChars="200"/>
        <w:rPr>
          <w:rFonts w:eastAsia="仿宋_GB2312"/>
          <w:sz w:val="32"/>
          <w:szCs w:val="32"/>
        </w:rPr>
      </w:pPr>
      <w:r>
        <w:rPr>
          <w:rFonts w:eastAsia="仿宋_GB2312"/>
          <w:sz w:val="32"/>
          <w:szCs w:val="32"/>
        </w:rPr>
        <w:t>无。</w:t>
      </w:r>
    </w:p>
    <w:p w14:paraId="61695E7E">
      <w:pPr>
        <w:pStyle w:val="8"/>
        <w:spacing w:line="600" w:lineRule="exact"/>
        <w:ind w:firstLine="640" w:firstLineChars="200"/>
        <w:jc w:val="left"/>
        <w:rPr>
          <w:rFonts w:ascii="黑体" w:hAnsi="黑体" w:eastAsia="黑体" w:cs="仿宋_GB2312"/>
          <w:sz w:val="32"/>
          <w:szCs w:val="32"/>
        </w:rPr>
      </w:pPr>
    </w:p>
    <w:p w14:paraId="38C94CEA">
      <w:pPr>
        <w:rPr>
          <w:rFonts w:eastAsia="黑体"/>
          <w:sz w:val="32"/>
          <w:szCs w:val="32"/>
        </w:rPr>
      </w:pPr>
      <w:bookmarkStart w:id="112" w:name="_Toc20325_WPSOffice_Level2"/>
      <w:r>
        <w:rPr>
          <w:rFonts w:eastAsia="黑体"/>
          <w:sz w:val="32"/>
          <w:szCs w:val="32"/>
        </w:rPr>
        <w:t>附件3</w:t>
      </w:r>
    </w:p>
    <w:p w14:paraId="7DE5C09F">
      <w:pPr>
        <w:pStyle w:val="2"/>
      </w:pPr>
    </w:p>
    <w:p w14:paraId="714ADA87">
      <w:pPr>
        <w:spacing w:line="640" w:lineRule="exact"/>
        <w:jc w:val="center"/>
        <w:rPr>
          <w:rFonts w:eastAsia="方正小标宋_GBK"/>
          <w:sz w:val="44"/>
          <w:szCs w:val="44"/>
        </w:rPr>
      </w:pPr>
      <w:r>
        <w:rPr>
          <w:rFonts w:eastAsia="方正小标宋_GBK"/>
          <w:sz w:val="44"/>
          <w:szCs w:val="44"/>
        </w:rPr>
        <w:t>盐边县乡镇财政事务中心</w:t>
      </w:r>
      <w:bookmarkEnd w:id="112"/>
    </w:p>
    <w:p w14:paraId="098E5FE3">
      <w:pPr>
        <w:spacing w:line="640" w:lineRule="exact"/>
        <w:jc w:val="center"/>
        <w:rPr>
          <w:rFonts w:eastAsia="方正小标宋_GBK"/>
          <w:sz w:val="44"/>
          <w:szCs w:val="44"/>
        </w:rPr>
      </w:pPr>
      <w:bookmarkStart w:id="113" w:name="_Toc22847_WPSOffice_Level2"/>
      <w:r>
        <w:rPr>
          <w:rFonts w:eastAsia="方正小标宋_GBK"/>
          <w:sz w:val="44"/>
          <w:szCs w:val="44"/>
        </w:rPr>
        <w:t>2021年乡镇财政事务中心运行经费项目</w:t>
      </w:r>
    </w:p>
    <w:p w14:paraId="5F6703E4">
      <w:pPr>
        <w:spacing w:line="640" w:lineRule="exact"/>
        <w:jc w:val="center"/>
        <w:rPr>
          <w:rFonts w:eastAsia="方正小标宋_GBK"/>
          <w:sz w:val="44"/>
          <w:szCs w:val="44"/>
        </w:rPr>
      </w:pPr>
      <w:r>
        <w:rPr>
          <w:rFonts w:eastAsia="方正小标宋_GBK"/>
          <w:sz w:val="44"/>
          <w:szCs w:val="44"/>
        </w:rPr>
        <w:t>自评报告</w:t>
      </w:r>
      <w:bookmarkEnd w:id="113"/>
    </w:p>
    <w:p w14:paraId="4532F9D0">
      <w:pPr>
        <w:autoSpaceDE w:val="0"/>
        <w:autoSpaceDN w:val="0"/>
        <w:adjustRightInd w:val="0"/>
        <w:spacing w:line="600" w:lineRule="exact"/>
        <w:ind w:firstLine="640" w:firstLineChars="200"/>
        <w:jc w:val="left"/>
        <w:rPr>
          <w:rFonts w:eastAsia="黑体"/>
          <w:kern w:val="0"/>
          <w:sz w:val="32"/>
          <w:szCs w:val="32"/>
        </w:rPr>
      </w:pPr>
      <w:bookmarkStart w:id="114" w:name="_Toc3104_WPSOffice_Level2"/>
    </w:p>
    <w:p w14:paraId="3731073B">
      <w:pPr>
        <w:spacing w:line="560" w:lineRule="exact"/>
        <w:ind w:firstLine="640" w:firstLineChars="200"/>
        <w:rPr>
          <w:rFonts w:eastAsia="黑体"/>
          <w:sz w:val="32"/>
          <w:szCs w:val="32"/>
        </w:rPr>
      </w:pPr>
      <w:r>
        <w:rPr>
          <w:rFonts w:eastAsia="黑体"/>
          <w:sz w:val="32"/>
          <w:szCs w:val="32"/>
        </w:rPr>
        <w:t>一、项目概况</w:t>
      </w:r>
      <w:bookmarkEnd w:id="114"/>
    </w:p>
    <w:p w14:paraId="11554C48">
      <w:pPr>
        <w:spacing w:line="560" w:lineRule="exact"/>
        <w:ind w:firstLine="640" w:firstLineChars="200"/>
        <w:rPr>
          <w:rFonts w:eastAsia="楷体_GB2312"/>
          <w:sz w:val="32"/>
          <w:szCs w:val="32"/>
        </w:rPr>
      </w:pPr>
      <w:r>
        <w:rPr>
          <w:rFonts w:eastAsia="楷体_GB2312"/>
          <w:sz w:val="32"/>
          <w:szCs w:val="32"/>
        </w:rPr>
        <w:t>（一）项目基本情况。</w:t>
      </w:r>
    </w:p>
    <w:p w14:paraId="00268CAF">
      <w:pPr>
        <w:spacing w:line="560" w:lineRule="exact"/>
        <w:ind w:firstLine="640" w:firstLineChars="200"/>
        <w:rPr>
          <w:rFonts w:eastAsia="仿宋_GB2312"/>
          <w:sz w:val="32"/>
          <w:szCs w:val="32"/>
        </w:rPr>
      </w:pPr>
      <w:r>
        <w:rPr>
          <w:rFonts w:eastAsia="仿宋_GB2312"/>
          <w:sz w:val="32"/>
          <w:szCs w:val="32"/>
        </w:rPr>
        <w:t>1.说明项目主管部门（单位）在该项目管理中的职能。承担乡镇财政服务等相关事务性工作。具体负责全面了解和指导乡镇财政工作开展情况，促进乡镇完善管理制度，提高财政管理工作水平，推进对乡镇财务的抽查巡查工作。</w:t>
      </w:r>
    </w:p>
    <w:p w14:paraId="59C7EABC">
      <w:pPr>
        <w:spacing w:line="560" w:lineRule="exact"/>
        <w:ind w:firstLine="640" w:firstLineChars="200"/>
        <w:rPr>
          <w:rFonts w:eastAsia="仿宋_GB2312"/>
          <w:sz w:val="32"/>
          <w:szCs w:val="32"/>
        </w:rPr>
      </w:pPr>
      <w:r>
        <w:rPr>
          <w:rFonts w:eastAsia="仿宋_GB2312"/>
          <w:sz w:val="32"/>
          <w:szCs w:val="32"/>
        </w:rPr>
        <w:t>2.项目立项、资金申报的依据。主要用于开展对乡镇的财政财务工作的检查巡查等工作，全县乡镇财政所的财务人员培训，对乡镇财政管理工作进行了指导和服务工作的项目经费补助。</w:t>
      </w:r>
    </w:p>
    <w:p w14:paraId="01EA43A8">
      <w:pPr>
        <w:spacing w:line="560" w:lineRule="exact"/>
        <w:ind w:firstLine="640" w:firstLineChars="200"/>
        <w:rPr>
          <w:rFonts w:eastAsia="仿宋_GB2312"/>
          <w:sz w:val="32"/>
          <w:szCs w:val="32"/>
        </w:rPr>
      </w:pPr>
      <w:r>
        <w:rPr>
          <w:rFonts w:eastAsia="仿宋_GB2312"/>
          <w:sz w:val="32"/>
          <w:szCs w:val="32"/>
        </w:rPr>
        <w:t>3.盐边县乡镇财政事务中心严格按照项目目标任务，资金使用方向，严格审核把关，按工作开展进度及时报送计划、支付，严格执行专款专用。</w:t>
      </w:r>
    </w:p>
    <w:p w14:paraId="4EE93740">
      <w:pPr>
        <w:spacing w:line="560" w:lineRule="exact"/>
        <w:ind w:firstLine="640" w:firstLineChars="200"/>
        <w:rPr>
          <w:rFonts w:eastAsia="仿宋_GB2312"/>
          <w:sz w:val="32"/>
          <w:szCs w:val="32"/>
        </w:rPr>
      </w:pPr>
      <w:r>
        <w:rPr>
          <w:rFonts w:eastAsia="仿宋_GB2312"/>
          <w:sz w:val="32"/>
          <w:szCs w:val="32"/>
        </w:rPr>
        <w:t>4.资金分配的原则及考虑因素。盐边县乡镇财政事务中心按照项目资金管理办法实行专款专用，未发生因经费影响工作的情况。坚决执行国家有关法律、法规和财务规章制度，厉行节约，制止奢侈浪费，量入为出，保证重点，兼顾一般。</w:t>
      </w:r>
    </w:p>
    <w:p w14:paraId="35DBEFA3">
      <w:pPr>
        <w:spacing w:line="560" w:lineRule="exact"/>
        <w:ind w:firstLine="640" w:firstLineChars="200"/>
        <w:rPr>
          <w:rFonts w:eastAsia="楷体_GB2312"/>
          <w:sz w:val="32"/>
          <w:szCs w:val="32"/>
        </w:rPr>
      </w:pPr>
      <w:r>
        <w:rPr>
          <w:rFonts w:eastAsia="楷体_GB2312"/>
          <w:sz w:val="32"/>
          <w:szCs w:val="32"/>
        </w:rPr>
        <w:t>（二）项目绩效目标。</w:t>
      </w:r>
    </w:p>
    <w:p w14:paraId="2B7BBECC">
      <w:pPr>
        <w:spacing w:line="560" w:lineRule="exact"/>
        <w:ind w:firstLine="640" w:firstLineChars="200"/>
        <w:rPr>
          <w:rFonts w:eastAsia="仿宋_GB2312"/>
          <w:sz w:val="32"/>
          <w:szCs w:val="32"/>
        </w:rPr>
      </w:pPr>
      <w:r>
        <w:rPr>
          <w:rFonts w:eastAsia="仿宋_GB2312"/>
          <w:sz w:val="32"/>
          <w:szCs w:val="32"/>
        </w:rPr>
        <w:t>1.项目主要内容。提升乡镇财政财务管理水平，通过开展对乡镇财务人员的培训，健全乡财政管理制度，提升管理水平。</w:t>
      </w:r>
    </w:p>
    <w:p w14:paraId="6AE7475A">
      <w:pPr>
        <w:spacing w:line="560" w:lineRule="exact"/>
        <w:ind w:firstLine="640" w:firstLineChars="200"/>
        <w:rPr>
          <w:rFonts w:eastAsia="仿宋_GB2312"/>
          <w:sz w:val="32"/>
          <w:szCs w:val="32"/>
        </w:rPr>
      </w:pPr>
      <w:r>
        <w:rPr>
          <w:rFonts w:eastAsia="仿宋_GB2312"/>
          <w:sz w:val="32"/>
          <w:szCs w:val="32"/>
        </w:rPr>
        <w:t>2.对乡镇的财政财务工作的检查巡查等工作，全县乡镇财政所的财务人员培训，对乡镇财政管理工作进行了指导和服务工作的项目经费补助。</w:t>
      </w:r>
    </w:p>
    <w:p w14:paraId="4ED19325">
      <w:pPr>
        <w:spacing w:line="560" w:lineRule="exact"/>
        <w:ind w:firstLine="640" w:firstLineChars="200"/>
        <w:rPr>
          <w:rFonts w:eastAsia="仿宋_GB2312"/>
          <w:sz w:val="32"/>
          <w:szCs w:val="32"/>
        </w:rPr>
      </w:pPr>
      <w:r>
        <w:rPr>
          <w:rFonts w:eastAsia="仿宋_GB2312"/>
          <w:sz w:val="32"/>
          <w:szCs w:val="32"/>
        </w:rPr>
        <w:t>3.分析评价申报内容与实际相符，申报目标合理可行。</w:t>
      </w:r>
    </w:p>
    <w:p w14:paraId="1E20E34D">
      <w:pPr>
        <w:spacing w:line="560" w:lineRule="exact"/>
        <w:ind w:firstLine="640" w:firstLineChars="200"/>
        <w:rPr>
          <w:rFonts w:eastAsia="黑体"/>
          <w:sz w:val="32"/>
          <w:szCs w:val="32"/>
        </w:rPr>
      </w:pPr>
      <w:bookmarkStart w:id="115" w:name="_Toc12253_WPSOffice_Level2"/>
      <w:r>
        <w:rPr>
          <w:rFonts w:eastAsia="黑体"/>
          <w:sz w:val="32"/>
          <w:szCs w:val="32"/>
        </w:rPr>
        <w:t>二、项目资金申报及使用情况</w:t>
      </w:r>
      <w:bookmarkEnd w:id="115"/>
    </w:p>
    <w:p w14:paraId="2D1010B5">
      <w:pPr>
        <w:spacing w:line="560" w:lineRule="exact"/>
        <w:ind w:firstLine="640" w:firstLineChars="200"/>
        <w:rPr>
          <w:rFonts w:eastAsia="楷体_GB2312"/>
          <w:sz w:val="32"/>
          <w:szCs w:val="32"/>
        </w:rPr>
      </w:pPr>
      <w:r>
        <w:rPr>
          <w:rFonts w:eastAsia="楷体_GB2312"/>
          <w:sz w:val="32"/>
          <w:szCs w:val="32"/>
        </w:rPr>
        <w:t>（一）项目资金申报及批复情况。</w:t>
      </w:r>
    </w:p>
    <w:p w14:paraId="2DA201F8">
      <w:pPr>
        <w:spacing w:line="560" w:lineRule="exact"/>
        <w:ind w:firstLine="640" w:firstLineChars="200"/>
        <w:rPr>
          <w:rFonts w:eastAsia="仿宋_GB2312"/>
          <w:sz w:val="32"/>
          <w:szCs w:val="32"/>
        </w:rPr>
      </w:pPr>
      <w:r>
        <w:rPr>
          <w:rFonts w:eastAsia="仿宋_GB2312"/>
          <w:sz w:val="32"/>
          <w:szCs w:val="32"/>
        </w:rPr>
        <w:t>2021年乡镇财政事务中心运行费用按照实际支出需求按程序进行申报。经县政府审议通过后由财政</w:t>
      </w:r>
      <w:r>
        <w:rPr>
          <w:rFonts w:hint="eastAsia" w:eastAsia="仿宋_GB2312"/>
          <w:sz w:val="32"/>
          <w:szCs w:val="32"/>
          <w:lang w:eastAsia="zh-CN"/>
        </w:rPr>
        <w:t>局通过盐</w:t>
      </w:r>
      <w:r>
        <w:rPr>
          <w:rFonts w:eastAsia="仿宋_GB2312"/>
          <w:sz w:val="32"/>
          <w:szCs w:val="32"/>
        </w:rPr>
        <w:t>财资行〔2021〕62号下达乡镇财政事务中心运行经费。</w:t>
      </w:r>
    </w:p>
    <w:p w14:paraId="3FF608BF">
      <w:pPr>
        <w:spacing w:line="560" w:lineRule="exact"/>
        <w:ind w:firstLine="640" w:firstLineChars="200"/>
        <w:rPr>
          <w:rFonts w:eastAsia="楷体_GB2312"/>
          <w:sz w:val="32"/>
          <w:szCs w:val="32"/>
        </w:rPr>
      </w:pPr>
      <w:r>
        <w:rPr>
          <w:rFonts w:eastAsia="楷体_GB2312"/>
          <w:sz w:val="32"/>
          <w:szCs w:val="32"/>
        </w:rPr>
        <w:t>（二）资金计划、到位及使用情况（可用表格形式反映）。</w:t>
      </w:r>
    </w:p>
    <w:p w14:paraId="0E797E63">
      <w:pPr>
        <w:spacing w:line="560" w:lineRule="exact"/>
        <w:ind w:firstLine="640" w:firstLineChars="200"/>
        <w:rPr>
          <w:rFonts w:eastAsia="仿宋_GB2312"/>
          <w:sz w:val="32"/>
          <w:szCs w:val="32"/>
        </w:rPr>
      </w:pPr>
      <w:r>
        <w:rPr>
          <w:rFonts w:eastAsia="仿宋_GB2312"/>
          <w:sz w:val="32"/>
          <w:szCs w:val="32"/>
        </w:rPr>
        <w:t>1.资金计划。根据乡镇财政事务中心运行费用用实际需要，向县财政计划申请运行费用45万元。</w:t>
      </w:r>
    </w:p>
    <w:p w14:paraId="0B3728AE">
      <w:pPr>
        <w:spacing w:line="560" w:lineRule="exact"/>
        <w:ind w:firstLine="640" w:firstLineChars="200"/>
        <w:rPr>
          <w:rFonts w:eastAsia="仿宋_GB2312"/>
          <w:sz w:val="32"/>
          <w:szCs w:val="32"/>
        </w:rPr>
      </w:pPr>
      <w:r>
        <w:rPr>
          <w:rFonts w:eastAsia="仿宋_GB2312"/>
          <w:sz w:val="32"/>
          <w:szCs w:val="32"/>
        </w:rPr>
        <w:t>2.资金到位。县财政2021年下达乡镇财政事务中心运行费用45万元。</w:t>
      </w:r>
    </w:p>
    <w:p w14:paraId="02D4DEE1">
      <w:pPr>
        <w:spacing w:line="560" w:lineRule="exact"/>
        <w:ind w:firstLine="640" w:firstLineChars="200"/>
        <w:rPr>
          <w:rFonts w:eastAsia="仿宋_GB2312"/>
          <w:sz w:val="32"/>
          <w:szCs w:val="32"/>
        </w:rPr>
      </w:pPr>
      <w:r>
        <w:rPr>
          <w:rFonts w:eastAsia="仿宋_GB2312"/>
          <w:sz w:val="32"/>
          <w:szCs w:val="32"/>
        </w:rPr>
        <w:t>3.资金使用。2021年严格审核各项支出，及时支付，专款专用，资金支付率100%。</w:t>
      </w:r>
    </w:p>
    <w:p w14:paraId="5D9E4469">
      <w:pPr>
        <w:spacing w:line="560" w:lineRule="exact"/>
        <w:ind w:firstLine="640" w:firstLineChars="200"/>
        <w:rPr>
          <w:rFonts w:eastAsia="楷体_GB2312"/>
          <w:sz w:val="32"/>
          <w:szCs w:val="32"/>
        </w:rPr>
      </w:pPr>
      <w:r>
        <w:rPr>
          <w:rFonts w:eastAsia="楷体_GB2312"/>
          <w:sz w:val="32"/>
          <w:szCs w:val="32"/>
        </w:rPr>
        <w:t>（三）项目财务管理情况。</w:t>
      </w:r>
    </w:p>
    <w:p w14:paraId="69CD9BD9">
      <w:pPr>
        <w:spacing w:line="560" w:lineRule="exact"/>
        <w:ind w:firstLine="640" w:firstLineChars="200"/>
        <w:rPr>
          <w:rFonts w:eastAsia="仿宋_GB2312"/>
          <w:sz w:val="32"/>
          <w:szCs w:val="32"/>
        </w:rPr>
      </w:pPr>
      <w:r>
        <w:rPr>
          <w:rFonts w:eastAsia="仿宋_GB2312"/>
          <w:sz w:val="32"/>
          <w:szCs w:val="32"/>
        </w:rPr>
        <w:t>按照项目资金管理办法实行专款专用，未发生因经费影响工作的情况。坚决执行国家有关法律、法规和财务规章制度，厉行节约，制止奢侈浪费，量入为出，保证重点，兼顾一般，严格专款专用，防止了截留、挤占、挪用等问题发生，确保资金安全、规范、有效使用。</w:t>
      </w:r>
    </w:p>
    <w:p w14:paraId="7BC0E1CD">
      <w:pPr>
        <w:spacing w:line="560" w:lineRule="exact"/>
        <w:ind w:firstLine="640" w:firstLineChars="200"/>
        <w:rPr>
          <w:rFonts w:eastAsia="黑体"/>
          <w:sz w:val="32"/>
          <w:szCs w:val="32"/>
        </w:rPr>
      </w:pPr>
      <w:bookmarkStart w:id="116" w:name="_Toc18035_WPSOffice_Level2"/>
      <w:r>
        <w:rPr>
          <w:rFonts w:eastAsia="黑体"/>
          <w:sz w:val="32"/>
          <w:szCs w:val="32"/>
        </w:rPr>
        <w:t>三、项目实施及管理情况</w:t>
      </w:r>
      <w:bookmarkEnd w:id="116"/>
    </w:p>
    <w:p w14:paraId="5A92097C">
      <w:pPr>
        <w:spacing w:line="560" w:lineRule="exact"/>
        <w:ind w:firstLine="640" w:firstLineChars="200"/>
        <w:rPr>
          <w:rFonts w:eastAsia="仿宋_GB2312"/>
          <w:sz w:val="32"/>
          <w:szCs w:val="32"/>
        </w:rPr>
      </w:pPr>
      <w:r>
        <w:rPr>
          <w:rFonts w:eastAsia="仿宋_GB2312"/>
          <w:sz w:val="32"/>
          <w:szCs w:val="32"/>
        </w:rPr>
        <w:t>结合项目组织实施管理办法，重点围绕以下内容进行分析评价，并对自评中发现的问题分析说明。</w:t>
      </w:r>
    </w:p>
    <w:p w14:paraId="264F1FCC">
      <w:pPr>
        <w:spacing w:line="560" w:lineRule="exact"/>
        <w:ind w:firstLine="640" w:firstLineChars="200"/>
        <w:rPr>
          <w:rFonts w:eastAsia="楷体_GB2312"/>
          <w:sz w:val="32"/>
          <w:szCs w:val="32"/>
        </w:rPr>
      </w:pPr>
      <w:r>
        <w:rPr>
          <w:rFonts w:eastAsia="楷体_GB2312"/>
          <w:sz w:val="32"/>
          <w:szCs w:val="32"/>
        </w:rPr>
        <w:t>（一）项目组织架构及实施流程。</w:t>
      </w:r>
    </w:p>
    <w:p w14:paraId="22AAAEE8">
      <w:pPr>
        <w:spacing w:line="560" w:lineRule="exact"/>
        <w:ind w:firstLine="640" w:firstLineChars="200"/>
        <w:rPr>
          <w:rFonts w:eastAsia="仿宋_GB2312"/>
          <w:sz w:val="32"/>
          <w:szCs w:val="32"/>
        </w:rPr>
      </w:pPr>
      <w:r>
        <w:rPr>
          <w:rFonts w:eastAsia="仿宋_GB2312"/>
          <w:sz w:val="32"/>
          <w:szCs w:val="32"/>
        </w:rPr>
        <w:t>盐边县乡镇财政事务中心依据单位职能和县财政局2021年度工作要点及清单，为保障各项工作圆满完成，实现工作目标，制定了各支出项目的绩效目标。</w:t>
      </w:r>
    </w:p>
    <w:p w14:paraId="5BD6805C">
      <w:pPr>
        <w:spacing w:line="560" w:lineRule="exact"/>
        <w:ind w:firstLine="640" w:firstLineChars="200"/>
        <w:rPr>
          <w:rFonts w:eastAsia="楷体_GB2312"/>
          <w:sz w:val="32"/>
          <w:szCs w:val="32"/>
        </w:rPr>
      </w:pPr>
      <w:r>
        <w:rPr>
          <w:rFonts w:eastAsia="楷体_GB2312"/>
          <w:sz w:val="32"/>
          <w:szCs w:val="32"/>
        </w:rPr>
        <w:t>（二）项目管理情况。</w:t>
      </w:r>
    </w:p>
    <w:p w14:paraId="5F994843">
      <w:pPr>
        <w:spacing w:line="560" w:lineRule="exact"/>
        <w:ind w:firstLine="640" w:firstLineChars="200"/>
        <w:rPr>
          <w:rFonts w:eastAsia="仿宋_GB2312"/>
          <w:sz w:val="32"/>
          <w:szCs w:val="32"/>
        </w:rPr>
      </w:pPr>
      <w:r>
        <w:rPr>
          <w:rFonts w:eastAsia="仿宋_GB2312"/>
          <w:sz w:val="32"/>
          <w:szCs w:val="32"/>
        </w:rPr>
        <w:t>2021年县乡镇财政事务中心项目支出资金分配科学合理，对财政项目资金实行了全过程管理，对于项目资金的分配，在各个环节上严格审查数据，建立了责任追究制。资金筹集和核拨：建立了经办人初审、财务复核、主任审批的分级审核制度，总体上项目管理规范、科学，符合财务管理要求。</w:t>
      </w:r>
    </w:p>
    <w:p w14:paraId="01FF7BEA">
      <w:pPr>
        <w:spacing w:line="560" w:lineRule="exact"/>
        <w:ind w:firstLine="640" w:firstLineChars="200"/>
        <w:rPr>
          <w:rFonts w:eastAsia="楷体_GB2312"/>
          <w:sz w:val="32"/>
          <w:szCs w:val="32"/>
        </w:rPr>
      </w:pPr>
      <w:r>
        <w:rPr>
          <w:rFonts w:eastAsia="楷体_GB2312"/>
          <w:sz w:val="32"/>
          <w:szCs w:val="32"/>
        </w:rPr>
        <w:t>（三）项目监管情况。</w:t>
      </w:r>
    </w:p>
    <w:p w14:paraId="29CF6F54">
      <w:pPr>
        <w:spacing w:line="560" w:lineRule="exact"/>
        <w:ind w:firstLine="640" w:firstLineChars="200"/>
        <w:rPr>
          <w:rFonts w:eastAsia="仿宋_GB2312"/>
          <w:sz w:val="32"/>
          <w:szCs w:val="32"/>
        </w:rPr>
      </w:pPr>
      <w:r>
        <w:rPr>
          <w:rFonts w:eastAsia="仿宋_GB2312"/>
          <w:sz w:val="32"/>
          <w:szCs w:val="32"/>
        </w:rPr>
        <w:t>项目资金支出时，进行资金使用规范提醒，明确管理责任，督促依法依规使用资金。</w:t>
      </w:r>
    </w:p>
    <w:p w14:paraId="1542926A">
      <w:pPr>
        <w:spacing w:line="560" w:lineRule="exact"/>
        <w:ind w:firstLine="640" w:firstLineChars="200"/>
        <w:rPr>
          <w:rFonts w:eastAsia="黑体"/>
          <w:sz w:val="32"/>
          <w:szCs w:val="32"/>
        </w:rPr>
      </w:pPr>
      <w:bookmarkStart w:id="117" w:name="_Toc6267_WPSOffice_Level2"/>
      <w:r>
        <w:rPr>
          <w:rFonts w:eastAsia="黑体"/>
          <w:sz w:val="32"/>
          <w:szCs w:val="32"/>
        </w:rPr>
        <w:t>四、项目绩效情况</w:t>
      </w:r>
      <w:bookmarkEnd w:id="117"/>
    </w:p>
    <w:p w14:paraId="0FA293D0">
      <w:pPr>
        <w:spacing w:line="560" w:lineRule="exact"/>
        <w:ind w:firstLine="640" w:firstLineChars="200"/>
        <w:rPr>
          <w:rFonts w:eastAsia="楷体_GB2312"/>
          <w:sz w:val="32"/>
          <w:szCs w:val="32"/>
        </w:rPr>
      </w:pPr>
      <w:r>
        <w:rPr>
          <w:rFonts w:eastAsia="楷体_GB2312"/>
          <w:sz w:val="32"/>
          <w:szCs w:val="32"/>
        </w:rPr>
        <w:t>（一）项目完成情况。</w:t>
      </w:r>
    </w:p>
    <w:p w14:paraId="3B17BACE">
      <w:pPr>
        <w:spacing w:line="560" w:lineRule="exact"/>
        <w:ind w:firstLine="640" w:firstLineChars="200"/>
        <w:rPr>
          <w:rFonts w:eastAsia="仿宋_GB2312"/>
          <w:sz w:val="32"/>
          <w:szCs w:val="32"/>
        </w:rPr>
      </w:pPr>
      <w:r>
        <w:rPr>
          <w:rFonts w:eastAsia="仿宋_GB2312"/>
          <w:sz w:val="32"/>
          <w:szCs w:val="32"/>
        </w:rPr>
        <w:t>截止2021年12月31日，县乡镇财政事务中心项目资金支付45万元，资金执行率为100%，完成目标项目工作，完成了预设的绩效目标，绩效目标完成质量较高，项目完成时效准确，项目成本控制较好，取得了较好的项目经济效益和社会效益。</w:t>
      </w:r>
    </w:p>
    <w:p w14:paraId="226B6B85">
      <w:pPr>
        <w:spacing w:line="560" w:lineRule="exact"/>
        <w:ind w:firstLine="640" w:firstLineChars="200"/>
        <w:rPr>
          <w:rFonts w:eastAsia="楷体_GB2312"/>
          <w:sz w:val="32"/>
          <w:szCs w:val="32"/>
        </w:rPr>
      </w:pPr>
      <w:r>
        <w:rPr>
          <w:rFonts w:eastAsia="楷体_GB2312"/>
          <w:sz w:val="32"/>
          <w:szCs w:val="32"/>
        </w:rPr>
        <w:t>（二）项目效益情况。</w:t>
      </w:r>
    </w:p>
    <w:p w14:paraId="791B25C6">
      <w:pPr>
        <w:spacing w:line="560" w:lineRule="exact"/>
        <w:ind w:firstLine="640" w:firstLineChars="200"/>
        <w:rPr>
          <w:rFonts w:eastAsia="仿宋_GB2312"/>
          <w:sz w:val="32"/>
          <w:szCs w:val="32"/>
        </w:rPr>
      </w:pPr>
      <w:r>
        <w:rPr>
          <w:rFonts w:eastAsia="仿宋_GB2312"/>
          <w:sz w:val="32"/>
          <w:szCs w:val="32"/>
        </w:rPr>
        <w:t>截止20221年12月31日，县乡镇财政事务中心项目资金支付45万元，资金执行率为100%，完成目标项目工作，总体上完成了预设的绩效目标，绩效目标完成质量较高，项目完成时效准确，项目成本控制较好，取得了较好的项目经济效益和社会效益，全面推进工作的顺利开展，在往年度基础上，有效提高工作水平，提升工作效率。</w:t>
      </w:r>
    </w:p>
    <w:p w14:paraId="4BA9C3D9">
      <w:pPr>
        <w:spacing w:line="560" w:lineRule="exact"/>
        <w:ind w:firstLine="640" w:firstLineChars="200"/>
        <w:rPr>
          <w:rFonts w:eastAsia="黑体"/>
          <w:sz w:val="32"/>
          <w:szCs w:val="32"/>
        </w:rPr>
      </w:pPr>
      <w:bookmarkStart w:id="118" w:name="_Toc27923_WPSOffice_Level2"/>
      <w:r>
        <w:rPr>
          <w:rFonts w:eastAsia="黑体"/>
          <w:sz w:val="32"/>
          <w:szCs w:val="32"/>
        </w:rPr>
        <w:t>五、评价结论及建议</w:t>
      </w:r>
      <w:bookmarkEnd w:id="118"/>
    </w:p>
    <w:p w14:paraId="6C5E3A72">
      <w:pPr>
        <w:spacing w:line="560" w:lineRule="exact"/>
        <w:ind w:firstLine="640" w:firstLineChars="200"/>
        <w:rPr>
          <w:rFonts w:eastAsia="楷体_GB2312"/>
          <w:sz w:val="32"/>
          <w:szCs w:val="32"/>
        </w:rPr>
      </w:pPr>
      <w:r>
        <w:rPr>
          <w:rFonts w:eastAsia="楷体_GB2312"/>
          <w:sz w:val="32"/>
          <w:szCs w:val="32"/>
        </w:rPr>
        <w:t>（一）评价结论。</w:t>
      </w:r>
    </w:p>
    <w:p w14:paraId="72AD1206">
      <w:pPr>
        <w:spacing w:line="560" w:lineRule="exact"/>
        <w:ind w:firstLine="640" w:firstLineChars="200"/>
        <w:rPr>
          <w:rFonts w:eastAsia="仿宋_GB2312"/>
          <w:sz w:val="32"/>
          <w:szCs w:val="32"/>
        </w:rPr>
      </w:pPr>
      <w:r>
        <w:rPr>
          <w:rFonts w:eastAsia="仿宋_GB2312"/>
          <w:sz w:val="32"/>
          <w:szCs w:val="32"/>
        </w:rPr>
        <w:t>我单位结合盐边县财政局《开展2021年度部门预算整体及项目支出绩效自评工作的通知》（盐边财绩〔2022〕3号）文件精神，围绕预算执行、年度总体目标完成情况、各项绩效目标完成情况等方面对2021年部门预算整体绩效开展了自评工作。本单位认真做好年度财政资金的预算编制工作，按照政府采购目录及采购限额标准编制政府采购预算，做到应编尽编。在资金使用和管理方面，进一步强化资金统筹，优化资金结构，明确开支范围，细化资金用途，确保单位职责任务顺利完成。通过自评，2021年总体完成较好，已发挥了良好的经济、社会等效益，群众满意度高，预算整体绩效评价达到预期绩效目标。</w:t>
      </w:r>
    </w:p>
    <w:p w14:paraId="10CF232A">
      <w:pPr>
        <w:spacing w:line="560" w:lineRule="exact"/>
        <w:ind w:firstLine="640" w:firstLineChars="200"/>
        <w:rPr>
          <w:rFonts w:eastAsia="楷体_GB2312"/>
          <w:sz w:val="32"/>
          <w:szCs w:val="32"/>
        </w:rPr>
      </w:pPr>
      <w:r>
        <w:rPr>
          <w:rFonts w:eastAsia="楷体_GB2312"/>
          <w:sz w:val="32"/>
          <w:szCs w:val="32"/>
        </w:rPr>
        <w:t>（二）存在的问题。</w:t>
      </w:r>
    </w:p>
    <w:p w14:paraId="5162FA76">
      <w:pPr>
        <w:spacing w:line="560" w:lineRule="exact"/>
        <w:ind w:firstLine="640" w:firstLineChars="200"/>
        <w:rPr>
          <w:rFonts w:eastAsia="仿宋_GB2312"/>
          <w:sz w:val="32"/>
          <w:szCs w:val="32"/>
        </w:rPr>
      </w:pPr>
      <w:r>
        <w:rPr>
          <w:rFonts w:eastAsia="仿宋_GB2312"/>
          <w:sz w:val="32"/>
          <w:szCs w:val="32"/>
        </w:rPr>
        <w:t>单位在绩效管理工作中，对绩效指标的理解不足，申报绩效目标与实际实施内容必然有一定差距，增加了项目绩效目标实现难度。</w:t>
      </w:r>
    </w:p>
    <w:p w14:paraId="57306675">
      <w:pPr>
        <w:spacing w:line="560" w:lineRule="exact"/>
        <w:ind w:firstLine="640" w:firstLineChars="200"/>
        <w:rPr>
          <w:rFonts w:eastAsia="楷体_GB2312"/>
          <w:sz w:val="32"/>
          <w:szCs w:val="32"/>
        </w:rPr>
      </w:pPr>
      <w:r>
        <w:rPr>
          <w:rFonts w:eastAsia="楷体_GB2312"/>
          <w:sz w:val="32"/>
          <w:szCs w:val="32"/>
        </w:rPr>
        <w:t>（三）相关建议。</w:t>
      </w:r>
    </w:p>
    <w:p w14:paraId="4FB54A0B">
      <w:pPr>
        <w:spacing w:line="560" w:lineRule="exact"/>
        <w:ind w:firstLine="640" w:firstLineChars="200"/>
        <w:rPr>
          <w:rFonts w:eastAsia="仿宋_GB2312"/>
          <w:sz w:val="32"/>
          <w:szCs w:val="32"/>
        </w:rPr>
      </w:pPr>
      <w:r>
        <w:rPr>
          <w:rFonts w:eastAsia="仿宋_GB2312"/>
          <w:sz w:val="32"/>
          <w:szCs w:val="32"/>
        </w:rPr>
        <w:t>加强资金绩效管理相关制度、文件的学习，强化绩效目标管理，结合单位实际情况做好绩效管理工作。</w:t>
      </w:r>
    </w:p>
    <w:p w14:paraId="34749724">
      <w:pPr>
        <w:pStyle w:val="2"/>
      </w:pPr>
    </w:p>
    <w:p w14:paraId="327835D9"/>
    <w:p w14:paraId="71B19116">
      <w:pPr>
        <w:pStyle w:val="2"/>
      </w:pPr>
    </w:p>
    <w:p w14:paraId="002F92B0"/>
    <w:p w14:paraId="0A81A41F">
      <w:pPr>
        <w:pStyle w:val="2"/>
      </w:pPr>
    </w:p>
    <w:p w14:paraId="7E0A0451"/>
    <w:p w14:paraId="1F1E9EFC">
      <w:pPr>
        <w:pStyle w:val="2"/>
      </w:pPr>
    </w:p>
    <w:p w14:paraId="0E5114B1"/>
    <w:p w14:paraId="4FE9DD29">
      <w:pPr>
        <w:pStyle w:val="2"/>
      </w:pPr>
    </w:p>
    <w:p w14:paraId="2E18EACF"/>
    <w:p w14:paraId="39D15FCB">
      <w:pPr>
        <w:pStyle w:val="2"/>
      </w:pPr>
    </w:p>
    <w:p w14:paraId="0D781398"/>
    <w:p w14:paraId="359FBC86">
      <w:pPr>
        <w:pStyle w:val="2"/>
      </w:pPr>
    </w:p>
    <w:p w14:paraId="0CDC3C96"/>
    <w:p w14:paraId="13EE9192">
      <w:pPr>
        <w:pStyle w:val="2"/>
      </w:pPr>
    </w:p>
    <w:p w14:paraId="4E0D1BF2"/>
    <w:p w14:paraId="0008C110">
      <w:pPr>
        <w:pStyle w:val="2"/>
      </w:pPr>
    </w:p>
    <w:p w14:paraId="65C47DD7"/>
    <w:p w14:paraId="68C6836E">
      <w:pPr>
        <w:pStyle w:val="2"/>
      </w:pPr>
    </w:p>
    <w:p w14:paraId="0F907FC7"/>
    <w:p w14:paraId="428E355A">
      <w:pPr>
        <w:pStyle w:val="2"/>
      </w:pPr>
    </w:p>
    <w:p w14:paraId="44334DAE"/>
    <w:p w14:paraId="1CA1C627">
      <w:pPr>
        <w:pStyle w:val="2"/>
      </w:pPr>
    </w:p>
    <w:p w14:paraId="0CCBE29D"/>
    <w:p w14:paraId="3641C61C">
      <w:pPr>
        <w:pStyle w:val="2"/>
      </w:pPr>
    </w:p>
    <w:p w14:paraId="2F8156FC"/>
    <w:p w14:paraId="71E2010C">
      <w:pPr>
        <w:pStyle w:val="2"/>
      </w:pPr>
    </w:p>
    <w:p w14:paraId="17ED4B1B"/>
    <w:p w14:paraId="6A8FE6B7">
      <w:pPr>
        <w:pStyle w:val="2"/>
      </w:pPr>
    </w:p>
    <w:p w14:paraId="1D220D46"/>
    <w:p w14:paraId="30F84E50">
      <w:pPr>
        <w:pStyle w:val="2"/>
      </w:pPr>
    </w:p>
    <w:p w14:paraId="7C8BC7DE"/>
    <w:p w14:paraId="13796B03">
      <w:pPr>
        <w:pStyle w:val="2"/>
      </w:pPr>
    </w:p>
    <w:p w14:paraId="369B56CF"/>
    <w:p w14:paraId="355BA267">
      <w:pPr>
        <w:pStyle w:val="2"/>
      </w:pPr>
    </w:p>
    <w:p w14:paraId="2A9D9A40"/>
    <w:tbl>
      <w:tblPr>
        <w:tblStyle w:val="16"/>
        <w:tblpPr w:leftFromText="180" w:rightFromText="180" w:vertAnchor="text" w:horzAnchor="page" w:tblpX="1494" w:tblpY="639"/>
        <w:tblOverlap w:val="never"/>
        <w:tblW w:w="9811" w:type="dxa"/>
        <w:tblInd w:w="0" w:type="dxa"/>
        <w:tblLayout w:type="fixed"/>
        <w:tblCellMar>
          <w:top w:w="0" w:type="dxa"/>
          <w:left w:w="108" w:type="dxa"/>
          <w:bottom w:w="0" w:type="dxa"/>
          <w:right w:w="108" w:type="dxa"/>
        </w:tblCellMar>
      </w:tblPr>
      <w:tblGrid>
        <w:gridCol w:w="9575"/>
        <w:gridCol w:w="236"/>
      </w:tblGrid>
      <w:tr w14:paraId="14ADE870">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34664060">
            <w:pPr>
              <w:jc w:val="center"/>
              <w:rPr>
                <w:rFonts w:ascii="方正小标宋_GBK" w:eastAsia="方正小标宋_GBK"/>
                <w:b/>
                <w:sz w:val="36"/>
                <w:szCs w:val="36"/>
              </w:rPr>
            </w:pPr>
            <w:r>
              <w:rPr>
                <w:rFonts w:hint="eastAsia" w:ascii="方正小标宋_GBK" w:eastAsia="方正小标宋_GBK"/>
                <w:b/>
                <w:sz w:val="36"/>
                <w:szCs w:val="36"/>
              </w:rPr>
              <w:t>2021年特定目标类部门预算项目绩效目标自评</w:t>
            </w:r>
          </w:p>
        </w:tc>
        <w:tc>
          <w:tcPr>
            <w:tcW w:w="236" w:type="dxa"/>
            <w:tcBorders>
              <w:top w:val="nil"/>
              <w:left w:val="nil"/>
              <w:bottom w:val="nil"/>
              <w:right w:val="nil"/>
            </w:tcBorders>
            <w:shd w:val="clear" w:color="auto" w:fill="auto"/>
            <w:vAlign w:val="center"/>
          </w:tcPr>
          <w:p w14:paraId="1E99D0DB">
            <w:pPr>
              <w:widowControl/>
              <w:jc w:val="center"/>
              <w:textAlignment w:val="center"/>
              <w:rPr>
                <w:rFonts w:ascii="宋体" w:hAnsi="宋体" w:cs="宋体"/>
                <w:b/>
                <w:kern w:val="0"/>
                <w:sz w:val="32"/>
                <w:szCs w:val="32"/>
              </w:rPr>
            </w:pPr>
          </w:p>
        </w:tc>
      </w:tr>
    </w:tbl>
    <w:p w14:paraId="182A8612">
      <w:pPr>
        <w:rPr>
          <w:rFonts w:ascii="黑体" w:eastAsia="黑体"/>
          <w:sz w:val="32"/>
          <w:szCs w:val="32"/>
        </w:rPr>
      </w:pPr>
      <w:r>
        <w:rPr>
          <w:rFonts w:hint="eastAsia" w:ascii="黑体" w:eastAsia="黑体"/>
          <w:sz w:val="32"/>
          <w:szCs w:val="32"/>
        </w:rPr>
        <w:t>附件</w:t>
      </w:r>
    </w:p>
    <w:tbl>
      <w:tblPr>
        <w:tblStyle w:val="16"/>
        <w:tblpPr w:leftFromText="180" w:rightFromText="180" w:vertAnchor="text" w:horzAnchor="page" w:tblpXSpec="center" w:tblpY="-1437"/>
        <w:tblOverlap w:val="never"/>
        <w:tblW w:w="9654" w:type="dxa"/>
        <w:jc w:val="center"/>
        <w:tblLayout w:type="fixed"/>
        <w:tblCellMar>
          <w:top w:w="0" w:type="dxa"/>
          <w:left w:w="0" w:type="dxa"/>
          <w:bottom w:w="0" w:type="dxa"/>
          <w:right w:w="0" w:type="dxa"/>
        </w:tblCellMar>
      </w:tblPr>
      <w:tblGrid>
        <w:gridCol w:w="582"/>
        <w:gridCol w:w="1175"/>
        <w:gridCol w:w="1025"/>
        <w:gridCol w:w="2392"/>
        <w:gridCol w:w="2394"/>
        <w:gridCol w:w="2086"/>
      </w:tblGrid>
      <w:tr w14:paraId="019B08B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7EEDB">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项目名称</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9BBBF">
            <w:pPr>
              <w:widowControl/>
              <w:jc w:val="center"/>
              <w:textAlignment w:val="center"/>
              <w:rPr>
                <w:rFonts w:eastAsiaTheme="minorEastAsia"/>
                <w:color w:val="000000"/>
                <w:sz w:val="18"/>
                <w:szCs w:val="18"/>
              </w:rPr>
            </w:pPr>
            <w:r>
              <w:rPr>
                <w:rFonts w:hAnsiTheme="minorEastAsia" w:eastAsiaTheme="minorEastAsia"/>
                <w:sz w:val="18"/>
                <w:szCs w:val="18"/>
              </w:rPr>
              <w:t>财政局网络及全县金财网维护项目</w:t>
            </w:r>
          </w:p>
        </w:tc>
      </w:tr>
      <w:tr w14:paraId="089FBEB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C1FF">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预算单位</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CFD6">
            <w:pPr>
              <w:widowControl/>
              <w:jc w:val="center"/>
              <w:textAlignment w:val="center"/>
              <w:rPr>
                <w:rFonts w:eastAsiaTheme="minorEastAsia"/>
                <w:color w:val="000000"/>
                <w:sz w:val="18"/>
                <w:szCs w:val="18"/>
              </w:rPr>
            </w:pPr>
            <w:r>
              <w:rPr>
                <w:rFonts w:hAnsiTheme="minorEastAsia" w:eastAsiaTheme="minorEastAsia"/>
                <w:color w:val="000000"/>
                <w:sz w:val="18"/>
                <w:szCs w:val="18"/>
              </w:rPr>
              <w:t>盐边县财政局</w:t>
            </w:r>
          </w:p>
        </w:tc>
      </w:tr>
      <w:tr w14:paraId="1A4676C2">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F562">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预算执行情况</w:t>
            </w:r>
            <w:r>
              <w:rPr>
                <w:rFonts w:eastAsiaTheme="minorEastAsia"/>
                <w:color w:val="000000"/>
                <w:kern w:val="0"/>
                <w:sz w:val="18"/>
                <w:szCs w:val="18"/>
              </w:rPr>
              <w:t>(</w:t>
            </w:r>
            <w:r>
              <w:rPr>
                <w:rFonts w:hAnsiTheme="minorEastAsia" w:eastAsiaTheme="minorEastAsia"/>
                <w:color w:val="000000"/>
                <w:kern w:val="0"/>
                <w:sz w:val="18"/>
                <w:szCs w:val="18"/>
              </w:rPr>
              <w:t>万元</w:t>
            </w:r>
            <w:r>
              <w:rPr>
                <w:rFonts w:eastAsiaTheme="minorEastAsia"/>
                <w:color w:val="000000"/>
                <w:kern w:val="0"/>
                <w:sz w:val="18"/>
                <w:szCs w:val="18"/>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1E9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预算数</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E81BC">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21B1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执行数</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223F3">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r>
      <w:tr w14:paraId="459FB0CF">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AAC6C">
            <w:pPr>
              <w:jc w:val="center"/>
              <w:rPr>
                <w:rFonts w:eastAsiaTheme="minorEastAsia"/>
                <w:color w:val="000000"/>
                <w:sz w:val="18"/>
                <w:szCs w:val="18"/>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03E86">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其中</w:t>
            </w:r>
            <w:r>
              <w:rPr>
                <w:rFonts w:eastAsiaTheme="minorEastAsia"/>
                <w:color w:val="000000"/>
                <w:kern w:val="0"/>
                <w:sz w:val="18"/>
                <w:szCs w:val="18"/>
              </w:rPr>
              <w:t>-</w:t>
            </w:r>
            <w:r>
              <w:rPr>
                <w:rFonts w:hAnsiTheme="minorEastAsia" w:eastAsiaTheme="minorEastAsia"/>
                <w:color w:val="000000"/>
                <w:kern w:val="0"/>
                <w:sz w:val="18"/>
                <w:szCs w:val="18"/>
              </w:rPr>
              <w:t>财政拨款</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43A48">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D5673">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其中</w:t>
            </w:r>
            <w:r>
              <w:rPr>
                <w:rFonts w:eastAsiaTheme="minorEastAsia"/>
                <w:color w:val="000000"/>
                <w:kern w:val="0"/>
                <w:sz w:val="18"/>
                <w:szCs w:val="18"/>
              </w:rPr>
              <w:t>-</w:t>
            </w:r>
            <w:r>
              <w:rPr>
                <w:rFonts w:hAnsiTheme="minorEastAsia" w:eastAsiaTheme="minorEastAsia"/>
                <w:color w:val="000000"/>
                <w:kern w:val="0"/>
                <w:sz w:val="18"/>
                <w:szCs w:val="18"/>
              </w:rPr>
              <w:t>财政拨款</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37480">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r>
      <w:tr w14:paraId="3A385D15">
        <w:tblPrEx>
          <w:tblCellMar>
            <w:top w:w="0" w:type="dxa"/>
            <w:left w:w="0" w:type="dxa"/>
            <w:bottom w:w="0" w:type="dxa"/>
            <w:right w:w="0" w:type="dxa"/>
          </w:tblCellMar>
        </w:tblPrEx>
        <w:trPr>
          <w:trHeight w:val="70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8A43">
            <w:pPr>
              <w:jc w:val="center"/>
              <w:rPr>
                <w:rFonts w:eastAsiaTheme="minorEastAsia"/>
                <w:color w:val="000000"/>
                <w:sz w:val="18"/>
                <w:szCs w:val="18"/>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BFC0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其它资金</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B9B12">
            <w:pPr>
              <w:widowControl/>
              <w:jc w:val="center"/>
              <w:textAlignment w:val="center"/>
              <w:rPr>
                <w:rFonts w:eastAsiaTheme="minorEastAsia"/>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420F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其它资金</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62A6F">
            <w:pPr>
              <w:jc w:val="center"/>
              <w:rPr>
                <w:rFonts w:eastAsiaTheme="minorEastAsia"/>
                <w:color w:val="000000"/>
                <w:sz w:val="18"/>
                <w:szCs w:val="18"/>
              </w:rPr>
            </w:pPr>
          </w:p>
        </w:tc>
      </w:tr>
      <w:tr w14:paraId="756DDD58">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8B1E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0CE32">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预期目标</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B97C4">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实际完成目标</w:t>
            </w:r>
          </w:p>
        </w:tc>
      </w:tr>
      <w:tr w14:paraId="32D4E5BA">
        <w:tblPrEx>
          <w:tblCellMar>
            <w:top w:w="0" w:type="dxa"/>
            <w:left w:w="0" w:type="dxa"/>
            <w:bottom w:w="0" w:type="dxa"/>
            <w:right w:w="0" w:type="dxa"/>
          </w:tblCellMar>
        </w:tblPrEx>
        <w:trPr>
          <w:trHeight w:val="89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05B3C">
            <w:pPr>
              <w:jc w:val="center"/>
              <w:rPr>
                <w:rFonts w:eastAsiaTheme="minorEastAsia"/>
                <w:color w:val="000000"/>
                <w:sz w:val="18"/>
                <w:szCs w:val="18"/>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F101A">
            <w:pPr>
              <w:widowControl/>
              <w:jc w:val="center"/>
              <w:textAlignment w:val="center"/>
              <w:rPr>
                <w:rFonts w:eastAsiaTheme="minorEastAsia"/>
                <w:color w:val="000000"/>
                <w:sz w:val="18"/>
                <w:szCs w:val="18"/>
              </w:rPr>
            </w:pPr>
            <w:r>
              <w:rPr>
                <w:rFonts w:hAnsiTheme="minorEastAsia" w:eastAsiaTheme="minorEastAsia"/>
                <w:color w:val="000000"/>
                <w:sz w:val="18"/>
                <w:szCs w:val="18"/>
              </w:rPr>
              <w:t>保障金财网正常运行、保障预算股、国库股、国资办等股室软件系统正常运行，保障各业务股室资金下达支付，保障全县各单位资金使用。</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B91E">
            <w:pPr>
              <w:widowControl/>
              <w:jc w:val="center"/>
              <w:textAlignment w:val="center"/>
              <w:rPr>
                <w:rFonts w:eastAsiaTheme="minorEastAsia"/>
                <w:color w:val="000000"/>
                <w:sz w:val="18"/>
                <w:szCs w:val="18"/>
              </w:rPr>
            </w:pPr>
            <w:r>
              <w:rPr>
                <w:rFonts w:hAnsiTheme="minorEastAsia" w:eastAsiaTheme="minorEastAsia"/>
                <w:color w:val="000000"/>
                <w:sz w:val="18"/>
                <w:szCs w:val="18"/>
              </w:rPr>
              <w:t>保障金财网正常运行、保障预算股、国库股、国资办等股室软件系统正常运行，保障各业务股室资金下达支付，保障全县各单位资金使用。</w:t>
            </w:r>
          </w:p>
        </w:tc>
      </w:tr>
      <w:tr w14:paraId="1C12DB24">
        <w:tblPrEx>
          <w:tblCellMar>
            <w:top w:w="0" w:type="dxa"/>
            <w:left w:w="0" w:type="dxa"/>
            <w:bottom w:w="0" w:type="dxa"/>
            <w:right w:w="0" w:type="dxa"/>
          </w:tblCellMar>
        </w:tblPrEx>
        <w:trPr>
          <w:trHeight w:val="682"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7727B5">
            <w:pPr>
              <w:widowControl/>
              <w:jc w:val="center"/>
              <w:textAlignment w:val="center"/>
              <w:rPr>
                <w:rFonts w:eastAsiaTheme="minorEastAsia"/>
                <w:color w:val="000000"/>
                <w:sz w:val="18"/>
                <w:szCs w:val="18"/>
              </w:rPr>
            </w:pPr>
            <w:r>
              <w:rPr>
                <w:rFonts w:hAnsiTheme="minorEastAsia" w:eastAsiaTheme="minorEastAsia"/>
                <w:color w:val="000000"/>
                <w:sz w:val="18"/>
                <w:szCs w:val="18"/>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E61B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12B4E">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135FF">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E14FC">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预期指标值</w:t>
            </w:r>
            <w:r>
              <w:rPr>
                <w:rFonts w:eastAsiaTheme="minorEastAsia"/>
                <w:color w:val="000000"/>
                <w:kern w:val="0"/>
                <w:sz w:val="18"/>
                <w:szCs w:val="18"/>
              </w:rPr>
              <w:t>(</w:t>
            </w:r>
            <w:r>
              <w:rPr>
                <w:rFonts w:hAnsiTheme="minorEastAsia" w:eastAsiaTheme="minorEastAsia"/>
                <w:color w:val="000000"/>
                <w:kern w:val="0"/>
                <w:sz w:val="18"/>
                <w:szCs w:val="18"/>
              </w:rPr>
              <w:t>包含数字及文字描述</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A61C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实际完成指标值</w:t>
            </w:r>
            <w:r>
              <w:rPr>
                <w:rFonts w:eastAsiaTheme="minorEastAsia"/>
                <w:color w:val="000000"/>
                <w:kern w:val="0"/>
                <w:sz w:val="18"/>
                <w:szCs w:val="18"/>
              </w:rPr>
              <w:t>(</w:t>
            </w:r>
            <w:r>
              <w:rPr>
                <w:rFonts w:hAnsiTheme="minorEastAsia" w:eastAsiaTheme="minorEastAsia"/>
                <w:color w:val="000000"/>
                <w:kern w:val="0"/>
                <w:sz w:val="18"/>
                <w:szCs w:val="18"/>
              </w:rPr>
              <w:t>包含数字及文字描述</w:t>
            </w:r>
            <w:r>
              <w:rPr>
                <w:rFonts w:eastAsiaTheme="minorEastAsia"/>
                <w:color w:val="000000"/>
                <w:kern w:val="0"/>
                <w:sz w:val="18"/>
                <w:szCs w:val="18"/>
              </w:rPr>
              <w:t>)</w:t>
            </w:r>
          </w:p>
        </w:tc>
      </w:tr>
      <w:tr w14:paraId="28CD1625">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3FF2F4D8">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81BA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31026">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E9CE6">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金财网网络租赁费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C49B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1AA1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2BB8FE44">
        <w:tblPrEx>
          <w:tblCellMar>
            <w:top w:w="0" w:type="dxa"/>
            <w:left w:w="0" w:type="dxa"/>
            <w:bottom w:w="0" w:type="dxa"/>
            <w:right w:w="0" w:type="dxa"/>
          </w:tblCellMar>
        </w:tblPrEx>
        <w:trPr>
          <w:trHeight w:val="57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2CFDB44">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7D9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0244">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610DD">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行政事业单位资产信息系统维护费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9026">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23F3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0E047EED">
        <w:tblPrEx>
          <w:tblCellMar>
            <w:top w:w="0" w:type="dxa"/>
            <w:left w:w="0" w:type="dxa"/>
            <w:bottom w:w="0" w:type="dxa"/>
            <w:right w:w="0" w:type="dxa"/>
          </w:tblCellMar>
        </w:tblPrEx>
        <w:trPr>
          <w:trHeight w:val="51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2F1FA78">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4AAB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67CE0">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C6FD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部门预算软件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10CE7">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C9DC6">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67EAD29F">
        <w:tblPrEx>
          <w:tblCellMar>
            <w:top w:w="0" w:type="dxa"/>
            <w:left w:w="0" w:type="dxa"/>
            <w:bottom w:w="0" w:type="dxa"/>
            <w:right w:w="0" w:type="dxa"/>
          </w:tblCellMar>
        </w:tblPrEx>
        <w:trPr>
          <w:trHeight w:val="59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469F9B5">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60AE8">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DF31D">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9630">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政府财政指标管理系统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29001">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财政局各业务股室使用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2ACD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财政局各业务股室使用</w:t>
            </w:r>
          </w:p>
        </w:tc>
      </w:tr>
      <w:tr w14:paraId="2074BD4C">
        <w:tblPrEx>
          <w:tblCellMar>
            <w:top w:w="0" w:type="dxa"/>
            <w:left w:w="0" w:type="dxa"/>
            <w:bottom w:w="0" w:type="dxa"/>
            <w:right w:w="0" w:type="dxa"/>
          </w:tblCellMar>
        </w:tblPrEx>
        <w:trPr>
          <w:trHeight w:val="49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5DA40CDA">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035C7">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884DE">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180A8">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财政局办公设备运行维护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F448B">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按合同金额支付</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18F31">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按合同金额支付</w:t>
            </w:r>
          </w:p>
        </w:tc>
      </w:tr>
      <w:tr w14:paraId="519DF76D">
        <w:tblPrEx>
          <w:tblCellMar>
            <w:top w:w="0" w:type="dxa"/>
            <w:left w:w="0" w:type="dxa"/>
            <w:bottom w:w="0" w:type="dxa"/>
            <w:right w:w="0" w:type="dxa"/>
          </w:tblCellMar>
        </w:tblPrEx>
        <w:trPr>
          <w:trHeight w:val="52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09211C3">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7803">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E965">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301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国库股、综合股软件维护费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73378">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国库股总会计及出纳软件、综合股非税收入收缴管理系统。</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FC27D">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国库股总会计及出纳软件、综合股非税收入收缴管理系统。</w:t>
            </w:r>
          </w:p>
        </w:tc>
      </w:tr>
      <w:tr w14:paraId="08018FA0">
        <w:tblPrEx>
          <w:tblCellMar>
            <w:top w:w="0" w:type="dxa"/>
            <w:left w:w="0" w:type="dxa"/>
            <w:bottom w:w="0" w:type="dxa"/>
            <w:right w:w="0" w:type="dxa"/>
          </w:tblCellMar>
        </w:tblPrEx>
        <w:trPr>
          <w:trHeight w:val="4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87F02D1">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5D21F">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D5ADB">
            <w:pPr>
              <w:widowControl/>
              <w:jc w:val="center"/>
              <w:textAlignment w:val="center"/>
              <w:rPr>
                <w:rFonts w:eastAsiaTheme="minorEastAsia"/>
                <w:color w:val="000000"/>
                <w:sz w:val="18"/>
                <w:szCs w:val="18"/>
              </w:rPr>
            </w:pPr>
            <w:r>
              <w:rPr>
                <w:rFonts w:hAnsiTheme="minorEastAsia" w:eastAsiaTheme="minorEastAsia"/>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BAAD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系统、软件合格率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BA34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及时掌控软件运行情况</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207DB">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及时掌控软件运行情况</w:t>
            </w:r>
          </w:p>
        </w:tc>
      </w:tr>
      <w:tr w14:paraId="3EECB2FE">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2582A87">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26029">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5BD17">
            <w:pPr>
              <w:widowControl/>
              <w:jc w:val="center"/>
              <w:textAlignment w:val="center"/>
              <w:rPr>
                <w:rFonts w:eastAsiaTheme="minorEastAsia"/>
                <w:color w:val="000000"/>
                <w:sz w:val="18"/>
                <w:szCs w:val="18"/>
              </w:rPr>
            </w:pPr>
            <w:r>
              <w:rPr>
                <w:rFonts w:hAnsiTheme="minorEastAsia" w:eastAsiaTheme="minorEastAsia"/>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82366">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保证金财网正常运行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FAFF">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保障工作正常运转，保障金财网络运行。</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BA45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保障工作正常运转，保障金财网络运行。</w:t>
            </w:r>
          </w:p>
        </w:tc>
      </w:tr>
      <w:tr w14:paraId="46C54423">
        <w:tblPrEx>
          <w:tblCellMar>
            <w:top w:w="0" w:type="dxa"/>
            <w:left w:w="0" w:type="dxa"/>
            <w:bottom w:w="0" w:type="dxa"/>
            <w:right w:w="0" w:type="dxa"/>
          </w:tblCellMar>
        </w:tblPrEx>
        <w:trPr>
          <w:trHeight w:val="4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FD531CF">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FCBE0">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14FA8">
            <w:pPr>
              <w:widowControl/>
              <w:jc w:val="center"/>
              <w:textAlignment w:val="center"/>
              <w:rPr>
                <w:rFonts w:eastAsiaTheme="minorEastAsia"/>
                <w:color w:val="000000"/>
                <w:sz w:val="18"/>
                <w:szCs w:val="18"/>
              </w:rPr>
            </w:pPr>
            <w:r>
              <w:rPr>
                <w:rFonts w:hAnsiTheme="minorEastAsia" w:eastAsiaTheme="minorEastAsia"/>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B040">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系统维护时间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9EE23">
            <w:pPr>
              <w:widowControl/>
              <w:jc w:val="left"/>
              <w:textAlignment w:val="center"/>
              <w:rPr>
                <w:rFonts w:eastAsiaTheme="minorEastAsia"/>
                <w:color w:val="000000"/>
                <w:kern w:val="0"/>
                <w:sz w:val="18"/>
                <w:szCs w:val="18"/>
              </w:rPr>
            </w:pPr>
            <w:r>
              <w:rPr>
                <w:rFonts w:eastAsiaTheme="minorEastAsia"/>
                <w:color w:val="000000"/>
                <w:kern w:val="0"/>
                <w:sz w:val="18"/>
                <w:szCs w:val="18"/>
              </w:rPr>
              <w:t>2021</w:t>
            </w:r>
            <w:r>
              <w:rPr>
                <w:rFonts w:hAnsiTheme="minorEastAsia" w:eastAsiaTheme="minorEastAsia"/>
                <w:color w:val="000000"/>
                <w:kern w:val="0"/>
                <w:sz w:val="18"/>
                <w:szCs w:val="18"/>
              </w:rPr>
              <w:t>年全年</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9528">
            <w:pPr>
              <w:widowControl/>
              <w:jc w:val="left"/>
              <w:textAlignment w:val="center"/>
              <w:rPr>
                <w:rFonts w:eastAsiaTheme="minorEastAsia"/>
                <w:color w:val="000000"/>
                <w:kern w:val="0"/>
                <w:sz w:val="18"/>
                <w:szCs w:val="18"/>
              </w:rPr>
            </w:pPr>
            <w:r>
              <w:rPr>
                <w:rFonts w:eastAsiaTheme="minorEastAsia"/>
                <w:color w:val="000000"/>
                <w:kern w:val="0"/>
                <w:sz w:val="18"/>
                <w:szCs w:val="18"/>
              </w:rPr>
              <w:t>2021</w:t>
            </w:r>
            <w:r>
              <w:rPr>
                <w:rFonts w:hAnsiTheme="minorEastAsia" w:eastAsiaTheme="minorEastAsia"/>
                <w:color w:val="000000"/>
                <w:kern w:val="0"/>
                <w:sz w:val="18"/>
                <w:szCs w:val="18"/>
              </w:rPr>
              <w:t>年全年</w:t>
            </w:r>
          </w:p>
        </w:tc>
      </w:tr>
      <w:tr w14:paraId="1A268121">
        <w:tblPrEx>
          <w:tblCellMar>
            <w:top w:w="0" w:type="dxa"/>
            <w:left w:w="0" w:type="dxa"/>
            <w:bottom w:w="0" w:type="dxa"/>
            <w:right w:w="0" w:type="dxa"/>
          </w:tblCellMar>
        </w:tblPrEx>
        <w:trPr>
          <w:trHeight w:val="3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617C4E5F">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49E5C">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54A45">
            <w:pPr>
              <w:widowControl/>
              <w:jc w:val="center"/>
              <w:textAlignment w:val="center"/>
              <w:rPr>
                <w:rFonts w:eastAsiaTheme="minorEastAsia"/>
                <w:color w:val="000000"/>
                <w:sz w:val="18"/>
                <w:szCs w:val="18"/>
              </w:rPr>
            </w:pPr>
            <w:r>
              <w:rPr>
                <w:rFonts w:hAnsiTheme="minorEastAsia" w:eastAsiaTheme="minorEastAsia"/>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8531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按照工作计划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DC8E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及时解决突发故障</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0F757">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及时解决突发故障</w:t>
            </w:r>
          </w:p>
        </w:tc>
      </w:tr>
      <w:tr w14:paraId="7E2A2F61">
        <w:tblPrEx>
          <w:tblCellMar>
            <w:top w:w="0" w:type="dxa"/>
            <w:left w:w="0" w:type="dxa"/>
            <w:bottom w:w="0" w:type="dxa"/>
            <w:right w:w="0" w:type="dxa"/>
          </w:tblCellMar>
        </w:tblPrEx>
        <w:trPr>
          <w:trHeight w:val="3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F31C1BB">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E18E">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EC363">
            <w:pPr>
              <w:widowControl/>
              <w:jc w:val="center"/>
              <w:textAlignment w:val="center"/>
              <w:rPr>
                <w:rFonts w:eastAsiaTheme="minorEastAsia"/>
                <w:color w:val="000000"/>
                <w:sz w:val="18"/>
                <w:szCs w:val="18"/>
              </w:rPr>
            </w:pPr>
            <w:r>
              <w:rPr>
                <w:rFonts w:hAnsiTheme="minorEastAsia" w:eastAsiaTheme="minorEastAsia"/>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0587">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金财网网络租赁费及各业务股室系统维护费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D7028">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全年费用</w:t>
            </w:r>
            <w:r>
              <w:rPr>
                <w:rFonts w:eastAsiaTheme="minorEastAsia"/>
                <w:color w:val="000000"/>
                <w:kern w:val="0"/>
                <w:sz w:val="18"/>
                <w:szCs w:val="18"/>
              </w:rPr>
              <w:t>306.68</w:t>
            </w:r>
            <w:r>
              <w:rPr>
                <w:rFonts w:hAnsiTheme="minorEastAsia" w:eastAsiaTheme="minorEastAsia"/>
                <w:color w:val="000000"/>
                <w:kern w:val="0"/>
                <w:sz w:val="18"/>
                <w:szCs w:val="18"/>
              </w:rPr>
              <w:t>万元</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3B2A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已按合同金额支付</w:t>
            </w:r>
          </w:p>
        </w:tc>
      </w:tr>
      <w:tr w14:paraId="1737EABE">
        <w:tblPrEx>
          <w:tblCellMar>
            <w:top w:w="0" w:type="dxa"/>
            <w:left w:w="0" w:type="dxa"/>
            <w:bottom w:w="0" w:type="dxa"/>
            <w:right w:w="0" w:type="dxa"/>
          </w:tblCellMar>
        </w:tblPrEx>
        <w:trPr>
          <w:trHeight w:val="361"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C8DCC39">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DBD6">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3649F">
            <w:pPr>
              <w:widowControl/>
              <w:jc w:val="center"/>
              <w:textAlignment w:val="center"/>
              <w:rPr>
                <w:rFonts w:eastAsiaTheme="minorEastAsia"/>
                <w:color w:val="000000"/>
                <w:sz w:val="18"/>
                <w:szCs w:val="18"/>
              </w:rPr>
            </w:pPr>
            <w:r>
              <w:rPr>
                <w:rFonts w:hAnsiTheme="minorEastAsia" w:eastAsiaTheme="minorEastAsia"/>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F51A3">
            <w:pPr>
              <w:widowControl/>
              <w:ind w:firstLine="180" w:firstLineChars="100"/>
              <w:jc w:val="left"/>
              <w:textAlignment w:val="center"/>
              <w:rPr>
                <w:rFonts w:eastAsiaTheme="minorEastAsia"/>
                <w:color w:val="000000"/>
                <w:sz w:val="18"/>
                <w:szCs w:val="18"/>
              </w:rPr>
            </w:pPr>
            <w:r>
              <w:rPr>
                <w:rFonts w:hAnsiTheme="minorEastAsia" w:eastAsiaTheme="minorEastAsia"/>
                <w:color w:val="000000"/>
                <w:kern w:val="0"/>
                <w:sz w:val="18"/>
                <w:szCs w:val="18"/>
              </w:rPr>
              <w:t>推进全县财务工作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1C822">
            <w:pPr>
              <w:widowControl/>
              <w:ind w:left="210" w:leftChars="100"/>
              <w:jc w:val="left"/>
              <w:textAlignment w:val="center"/>
              <w:rPr>
                <w:rFonts w:eastAsiaTheme="minorEastAsia"/>
                <w:color w:val="000000"/>
                <w:sz w:val="18"/>
                <w:szCs w:val="18"/>
              </w:rPr>
            </w:pPr>
            <w:r>
              <w:rPr>
                <w:rFonts w:hAnsiTheme="minorEastAsia" w:eastAsiaTheme="minorEastAsia"/>
                <w:color w:val="000000"/>
                <w:kern w:val="0"/>
                <w:sz w:val="18"/>
                <w:szCs w:val="18"/>
              </w:rPr>
              <w:t>提高工作效率</w:t>
            </w:r>
            <w:r>
              <w:rPr>
                <w:rFonts w:eastAsiaTheme="minorEastAsia"/>
                <w:color w:val="000000"/>
                <w:kern w:val="0"/>
                <w:sz w:val="18"/>
                <w:szCs w:val="18"/>
              </w:rPr>
              <w:t>,</w:t>
            </w:r>
            <w:r>
              <w:rPr>
                <w:rFonts w:hAnsiTheme="minorEastAsia" w:eastAsiaTheme="minorEastAsia"/>
                <w:color w:val="000000"/>
                <w:kern w:val="0"/>
                <w:sz w:val="18"/>
                <w:szCs w:val="18"/>
              </w:rPr>
              <w:t>提高资金下达，提高各单位资金使用率。</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BE735">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提高工作效率</w:t>
            </w:r>
            <w:r>
              <w:rPr>
                <w:rFonts w:eastAsiaTheme="minorEastAsia"/>
                <w:color w:val="000000"/>
                <w:kern w:val="0"/>
                <w:sz w:val="18"/>
                <w:szCs w:val="18"/>
              </w:rPr>
              <w:t>,</w:t>
            </w:r>
            <w:r>
              <w:rPr>
                <w:rFonts w:hAnsiTheme="minorEastAsia" w:eastAsiaTheme="minorEastAsia"/>
                <w:color w:val="000000"/>
                <w:kern w:val="0"/>
                <w:sz w:val="18"/>
                <w:szCs w:val="18"/>
              </w:rPr>
              <w:t>提高资金下达，提高各单位资金使用率。</w:t>
            </w:r>
          </w:p>
        </w:tc>
      </w:tr>
      <w:tr w14:paraId="00C2C4A0">
        <w:tblPrEx>
          <w:tblCellMar>
            <w:top w:w="0" w:type="dxa"/>
            <w:left w:w="0" w:type="dxa"/>
            <w:bottom w:w="0" w:type="dxa"/>
            <w:right w:w="0" w:type="dxa"/>
          </w:tblCellMar>
        </w:tblPrEx>
        <w:trPr>
          <w:trHeight w:val="82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DE7151C">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0B71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8C2FD">
            <w:pPr>
              <w:widowControl/>
              <w:jc w:val="center"/>
              <w:textAlignment w:val="center"/>
              <w:rPr>
                <w:rFonts w:eastAsiaTheme="minorEastAsia"/>
                <w:color w:val="000000"/>
                <w:sz w:val="18"/>
                <w:szCs w:val="18"/>
              </w:rPr>
            </w:pPr>
            <w:r>
              <w:rPr>
                <w:rFonts w:hAnsiTheme="minorEastAsia" w:eastAsiaTheme="minorEastAsia"/>
                <w:color w:val="000000"/>
                <w:sz w:val="18"/>
                <w:szCs w:val="18"/>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5D6D9">
            <w:pPr>
              <w:widowControl/>
              <w:jc w:val="center"/>
              <w:textAlignment w:val="center"/>
              <w:rPr>
                <w:rFonts w:eastAsiaTheme="minorEastAsia"/>
                <w:color w:val="000000"/>
                <w:sz w:val="18"/>
                <w:szCs w:val="18"/>
              </w:rPr>
            </w:pPr>
            <w:r>
              <w:rPr>
                <w:rFonts w:hAnsiTheme="minorEastAsia" w:eastAsiaTheme="minorEastAsia"/>
                <w:color w:val="000000"/>
                <w:sz w:val="18"/>
                <w:szCs w:val="18"/>
              </w:rPr>
              <w:t>全县各预算单位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78B61">
            <w:pPr>
              <w:widowControl/>
              <w:jc w:val="center"/>
              <w:textAlignment w:val="center"/>
              <w:rPr>
                <w:rFonts w:eastAsiaTheme="minorEastAsia"/>
                <w:color w:val="000000"/>
                <w:sz w:val="18"/>
                <w:szCs w:val="18"/>
              </w:rPr>
            </w:pPr>
            <w:r>
              <w:rPr>
                <w:rFonts w:eastAsiaTheme="minorEastAsia"/>
                <w:color w:val="000000"/>
                <w:sz w:val="18"/>
                <w:szCs w:val="18"/>
              </w:rPr>
              <w:t>≥95%</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C019C">
            <w:pPr>
              <w:widowControl/>
              <w:jc w:val="center"/>
              <w:textAlignment w:val="center"/>
              <w:rPr>
                <w:rFonts w:eastAsiaTheme="minorEastAsia"/>
                <w:color w:val="000000"/>
                <w:sz w:val="18"/>
                <w:szCs w:val="18"/>
              </w:rPr>
            </w:pPr>
            <w:r>
              <w:rPr>
                <w:rFonts w:eastAsiaTheme="minorEastAsia"/>
                <w:color w:val="000000"/>
                <w:sz w:val="18"/>
                <w:szCs w:val="18"/>
              </w:rPr>
              <w:t>≥95%</w:t>
            </w:r>
          </w:p>
        </w:tc>
      </w:tr>
    </w:tbl>
    <w:p w14:paraId="5B20C3A5">
      <w:pPr>
        <w:jc w:val="center"/>
        <w:rPr>
          <w:rFonts w:ascii="方正小标宋_GBK" w:eastAsia="方正小标宋_GBK"/>
          <w:b/>
          <w:sz w:val="36"/>
          <w:szCs w:val="36"/>
        </w:rPr>
      </w:pPr>
      <w:bookmarkStart w:id="119" w:name="_Toc19965_WPSOffice_Level2"/>
      <w:bookmarkStart w:id="120" w:name="_Toc16657_WPSOffice_Level2"/>
      <w:r>
        <w:rPr>
          <w:rFonts w:hint="eastAsia" w:ascii="方正小标宋_GBK" w:eastAsia="方正小标宋_GBK"/>
          <w:b/>
          <w:sz w:val="36"/>
          <w:szCs w:val="36"/>
        </w:rPr>
        <w:t>2021年特定目标类部门预算项目绩效目标自评</w:t>
      </w:r>
      <w:bookmarkEnd w:id="119"/>
      <w:bookmarkEnd w:id="120"/>
    </w:p>
    <w:tbl>
      <w:tblPr>
        <w:tblStyle w:val="16"/>
        <w:tblpPr w:leftFromText="180" w:rightFromText="180" w:vertAnchor="text" w:horzAnchor="page" w:tblpXSpec="center" w:tblpY="169"/>
        <w:tblOverlap w:val="never"/>
        <w:tblW w:w="9087" w:type="dxa"/>
        <w:jc w:val="center"/>
        <w:tblLayout w:type="fixed"/>
        <w:tblCellMar>
          <w:top w:w="0" w:type="dxa"/>
          <w:left w:w="0" w:type="dxa"/>
          <w:bottom w:w="0" w:type="dxa"/>
          <w:right w:w="0" w:type="dxa"/>
        </w:tblCellMar>
      </w:tblPr>
      <w:tblGrid>
        <w:gridCol w:w="582"/>
        <w:gridCol w:w="1004"/>
        <w:gridCol w:w="927"/>
        <w:gridCol w:w="1859"/>
        <w:gridCol w:w="2467"/>
        <w:gridCol w:w="2248"/>
      </w:tblGrid>
      <w:tr w14:paraId="4B4ED6F0">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546C5">
            <w:pPr>
              <w:widowControl/>
              <w:jc w:val="center"/>
              <w:textAlignment w:val="center"/>
              <w:rPr>
                <w:rFonts w:eastAsiaTheme="minorEastAsia"/>
                <w:color w:val="000000"/>
                <w:szCs w:val="21"/>
              </w:rPr>
            </w:pPr>
            <w:r>
              <w:rPr>
                <w:rFonts w:hAnsiTheme="minorEastAsia" w:eastAsiaTheme="minorEastAsia"/>
                <w:color w:val="000000"/>
                <w:kern w:val="0"/>
                <w:szCs w:val="21"/>
              </w:rPr>
              <w:t>项目名称</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6B404">
            <w:pPr>
              <w:widowControl/>
              <w:jc w:val="center"/>
              <w:textAlignment w:val="center"/>
              <w:rPr>
                <w:rFonts w:eastAsiaTheme="minorEastAsia"/>
                <w:color w:val="000000"/>
                <w:szCs w:val="21"/>
              </w:rPr>
            </w:pPr>
            <w:r>
              <w:rPr>
                <w:rFonts w:hAnsiTheme="minorEastAsia" w:eastAsiaTheme="minorEastAsia"/>
                <w:szCs w:val="21"/>
              </w:rPr>
              <w:t>项目评审专项经费</w:t>
            </w:r>
          </w:p>
        </w:tc>
      </w:tr>
      <w:tr w14:paraId="726C4B63">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71E8">
            <w:pPr>
              <w:widowControl/>
              <w:jc w:val="center"/>
              <w:textAlignment w:val="center"/>
              <w:rPr>
                <w:rFonts w:eastAsiaTheme="minorEastAsia"/>
                <w:color w:val="000000"/>
                <w:szCs w:val="21"/>
              </w:rPr>
            </w:pPr>
            <w:r>
              <w:rPr>
                <w:rFonts w:hAnsiTheme="minorEastAsia" w:eastAsiaTheme="minorEastAsia"/>
                <w:color w:val="000000"/>
                <w:kern w:val="0"/>
                <w:szCs w:val="21"/>
              </w:rPr>
              <w:t>预算单位</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F86FC">
            <w:pPr>
              <w:widowControl/>
              <w:jc w:val="center"/>
              <w:textAlignment w:val="center"/>
              <w:rPr>
                <w:rFonts w:eastAsiaTheme="minorEastAsia"/>
                <w:color w:val="000000"/>
                <w:szCs w:val="21"/>
              </w:rPr>
            </w:pPr>
            <w:r>
              <w:rPr>
                <w:rFonts w:hAnsiTheme="minorEastAsia" w:eastAsiaTheme="minorEastAsia"/>
                <w:color w:val="000000"/>
                <w:szCs w:val="21"/>
              </w:rPr>
              <w:t>盐边县财政局</w:t>
            </w:r>
          </w:p>
        </w:tc>
      </w:tr>
      <w:tr w14:paraId="7EEAC362">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28F82">
            <w:pPr>
              <w:widowControl/>
              <w:jc w:val="center"/>
              <w:textAlignment w:val="center"/>
              <w:rPr>
                <w:rFonts w:eastAsiaTheme="minorEastAsia"/>
                <w:color w:val="000000"/>
                <w:szCs w:val="21"/>
              </w:rPr>
            </w:pPr>
            <w:r>
              <w:rPr>
                <w:rFonts w:hAnsiTheme="minorEastAsia" w:eastAsiaTheme="minorEastAsia"/>
                <w:color w:val="000000"/>
                <w:kern w:val="0"/>
                <w:szCs w:val="21"/>
              </w:rPr>
              <w:t>预算执行情况</w:t>
            </w:r>
            <w:r>
              <w:rPr>
                <w:rFonts w:eastAsiaTheme="minorEastAsia"/>
                <w:color w:val="000000"/>
                <w:kern w:val="0"/>
                <w:szCs w:val="21"/>
              </w:rPr>
              <w:t>(</w:t>
            </w:r>
            <w:r>
              <w:rPr>
                <w:rFonts w:hAnsiTheme="minorEastAsia" w:eastAsiaTheme="minorEastAsia"/>
                <w:color w:val="000000"/>
                <w:kern w:val="0"/>
                <w:szCs w:val="21"/>
              </w:rPr>
              <w:t>万元</w:t>
            </w:r>
            <w:r>
              <w:rPr>
                <w:rFonts w:eastAsiaTheme="minorEastAsia"/>
                <w:color w:val="000000"/>
                <w:kern w:val="0"/>
                <w:szCs w:val="21"/>
              </w:rPr>
              <w:t>)</w:t>
            </w: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BE739">
            <w:pPr>
              <w:widowControl/>
              <w:jc w:val="center"/>
              <w:textAlignment w:val="center"/>
              <w:rPr>
                <w:rFonts w:eastAsiaTheme="minorEastAsia"/>
                <w:color w:val="000000"/>
                <w:szCs w:val="21"/>
              </w:rPr>
            </w:pPr>
            <w:r>
              <w:rPr>
                <w:rFonts w:hAnsiTheme="minorEastAsia" w:eastAsiaTheme="minorEastAsia"/>
                <w:color w:val="000000"/>
                <w:kern w:val="0"/>
                <w:szCs w:val="21"/>
              </w:rPr>
              <w:t>预算数</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8BFEC">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310F3">
            <w:pPr>
              <w:widowControl/>
              <w:jc w:val="center"/>
              <w:textAlignment w:val="center"/>
              <w:rPr>
                <w:rFonts w:eastAsiaTheme="minorEastAsia"/>
                <w:color w:val="000000"/>
                <w:szCs w:val="21"/>
              </w:rPr>
            </w:pPr>
            <w:r>
              <w:rPr>
                <w:rFonts w:hAnsiTheme="minorEastAsia" w:eastAsiaTheme="minorEastAsia"/>
                <w:color w:val="000000"/>
                <w:kern w:val="0"/>
                <w:szCs w:val="21"/>
              </w:rPr>
              <w:t>执行数</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A0C6">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r>
      <w:tr w14:paraId="30DA4DA8">
        <w:tblPrEx>
          <w:tblCellMar>
            <w:top w:w="0" w:type="dxa"/>
            <w:left w:w="0" w:type="dxa"/>
            <w:bottom w:w="0" w:type="dxa"/>
            <w:right w:w="0" w:type="dxa"/>
          </w:tblCellMar>
        </w:tblPrEx>
        <w:trPr>
          <w:trHeight w:val="33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79DFD">
            <w:pPr>
              <w:jc w:val="center"/>
              <w:rPr>
                <w:rFonts w:eastAsiaTheme="min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F586F">
            <w:pPr>
              <w:widowControl/>
              <w:jc w:val="center"/>
              <w:textAlignment w:val="center"/>
              <w:rPr>
                <w:rFonts w:eastAsiaTheme="minorEastAsia"/>
                <w:color w:val="000000"/>
                <w:szCs w:val="21"/>
              </w:rPr>
            </w:pPr>
            <w:r>
              <w:rPr>
                <w:rFonts w:hAnsiTheme="minorEastAsia" w:eastAsiaTheme="minorEastAsia"/>
                <w:color w:val="000000"/>
                <w:kern w:val="0"/>
                <w:szCs w:val="21"/>
              </w:rPr>
              <w:t>其中</w:t>
            </w:r>
            <w:r>
              <w:rPr>
                <w:rFonts w:eastAsiaTheme="minorEastAsia"/>
                <w:color w:val="000000"/>
                <w:kern w:val="0"/>
                <w:szCs w:val="21"/>
              </w:rPr>
              <w:t>-</w:t>
            </w:r>
            <w:r>
              <w:rPr>
                <w:rFonts w:hAnsiTheme="minorEastAsia" w:eastAsiaTheme="minorEastAsia"/>
                <w:color w:val="000000"/>
                <w:kern w:val="0"/>
                <w:szCs w:val="21"/>
              </w:rPr>
              <w:t>财政拨款</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6DC7C">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74472">
            <w:pPr>
              <w:widowControl/>
              <w:jc w:val="center"/>
              <w:textAlignment w:val="center"/>
              <w:rPr>
                <w:rFonts w:eastAsiaTheme="minorEastAsia"/>
                <w:color w:val="000000"/>
                <w:szCs w:val="21"/>
              </w:rPr>
            </w:pPr>
            <w:r>
              <w:rPr>
                <w:rFonts w:hAnsiTheme="minorEastAsia" w:eastAsiaTheme="minorEastAsia"/>
                <w:color w:val="000000"/>
                <w:kern w:val="0"/>
                <w:szCs w:val="21"/>
              </w:rPr>
              <w:t>其中</w:t>
            </w:r>
            <w:r>
              <w:rPr>
                <w:rFonts w:eastAsiaTheme="minorEastAsia"/>
                <w:color w:val="000000"/>
                <w:kern w:val="0"/>
                <w:szCs w:val="21"/>
              </w:rPr>
              <w:t>-</w:t>
            </w:r>
            <w:r>
              <w:rPr>
                <w:rFonts w:hAnsiTheme="minorEastAsia" w:eastAsiaTheme="minorEastAsia"/>
                <w:color w:val="000000"/>
                <w:kern w:val="0"/>
                <w:szCs w:val="21"/>
              </w:rPr>
              <w:t>财政拨款</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29BEF">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r>
      <w:tr w14:paraId="07BDE363">
        <w:tblPrEx>
          <w:tblCellMar>
            <w:top w:w="0" w:type="dxa"/>
            <w:left w:w="0" w:type="dxa"/>
            <w:bottom w:w="0" w:type="dxa"/>
            <w:right w:w="0" w:type="dxa"/>
          </w:tblCellMar>
        </w:tblPrEx>
        <w:trPr>
          <w:trHeight w:val="93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C1C7F">
            <w:pPr>
              <w:jc w:val="center"/>
              <w:rPr>
                <w:rFonts w:eastAsiaTheme="min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769C3">
            <w:pPr>
              <w:widowControl/>
              <w:jc w:val="center"/>
              <w:textAlignment w:val="center"/>
              <w:rPr>
                <w:rFonts w:eastAsiaTheme="minorEastAsia"/>
                <w:color w:val="000000"/>
                <w:szCs w:val="21"/>
              </w:rPr>
            </w:pPr>
            <w:r>
              <w:rPr>
                <w:rFonts w:hAnsiTheme="minorEastAsia" w:eastAsiaTheme="minorEastAsia"/>
                <w:color w:val="000000"/>
                <w:kern w:val="0"/>
                <w:szCs w:val="21"/>
              </w:rPr>
              <w:t>其它资金</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A6DBD">
            <w:pPr>
              <w:widowControl/>
              <w:jc w:val="center"/>
              <w:textAlignment w:val="center"/>
              <w:rPr>
                <w:rFonts w:eastAsiaTheme="minorEastAsia"/>
                <w:color w:val="000000"/>
                <w:szCs w:val="21"/>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85AD8">
            <w:pPr>
              <w:widowControl/>
              <w:jc w:val="center"/>
              <w:textAlignment w:val="center"/>
              <w:rPr>
                <w:rFonts w:eastAsiaTheme="minorEastAsia"/>
                <w:color w:val="000000"/>
                <w:szCs w:val="21"/>
              </w:rPr>
            </w:pPr>
            <w:r>
              <w:rPr>
                <w:rFonts w:hAnsiTheme="minorEastAsia" w:eastAsiaTheme="minorEastAsia"/>
                <w:color w:val="000000"/>
                <w:kern w:val="0"/>
                <w:szCs w:val="21"/>
              </w:rPr>
              <w:t>其它资金</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035C5">
            <w:pPr>
              <w:jc w:val="center"/>
              <w:rPr>
                <w:rFonts w:eastAsiaTheme="minorEastAsia"/>
                <w:color w:val="000000"/>
                <w:szCs w:val="21"/>
              </w:rPr>
            </w:pPr>
          </w:p>
        </w:tc>
      </w:tr>
      <w:tr w14:paraId="79364A31">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AC4D">
            <w:pPr>
              <w:widowControl/>
              <w:jc w:val="center"/>
              <w:textAlignment w:val="center"/>
              <w:rPr>
                <w:rFonts w:eastAsiaTheme="minorEastAsia"/>
                <w:color w:val="000000"/>
                <w:szCs w:val="21"/>
              </w:rPr>
            </w:pPr>
            <w:r>
              <w:rPr>
                <w:rFonts w:hAnsiTheme="minorEastAsia" w:eastAsiaTheme="minorEastAsia"/>
                <w:color w:val="000000"/>
                <w:kern w:val="0"/>
                <w:szCs w:val="21"/>
              </w:rPr>
              <w:t>年度目标完成情况</w:t>
            </w: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52CCD">
            <w:pPr>
              <w:widowControl/>
              <w:jc w:val="center"/>
              <w:textAlignment w:val="center"/>
              <w:rPr>
                <w:rFonts w:eastAsiaTheme="minorEastAsia"/>
                <w:color w:val="000000"/>
                <w:szCs w:val="21"/>
              </w:rPr>
            </w:pPr>
            <w:r>
              <w:rPr>
                <w:rFonts w:hAnsiTheme="minorEastAsia" w:eastAsiaTheme="minorEastAsia"/>
                <w:color w:val="000000"/>
                <w:kern w:val="0"/>
                <w:szCs w:val="21"/>
              </w:rPr>
              <w:t>预期目标</w:t>
            </w: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CDB08">
            <w:pPr>
              <w:widowControl/>
              <w:jc w:val="center"/>
              <w:textAlignment w:val="center"/>
              <w:rPr>
                <w:rFonts w:eastAsiaTheme="minorEastAsia"/>
                <w:color w:val="000000"/>
                <w:szCs w:val="21"/>
              </w:rPr>
            </w:pPr>
            <w:r>
              <w:rPr>
                <w:rFonts w:hAnsiTheme="minorEastAsia" w:eastAsiaTheme="minorEastAsia"/>
                <w:color w:val="000000"/>
                <w:kern w:val="0"/>
                <w:szCs w:val="21"/>
              </w:rPr>
              <w:t>实际完成目标</w:t>
            </w:r>
          </w:p>
        </w:tc>
      </w:tr>
      <w:tr w14:paraId="3B216A33">
        <w:tblPrEx>
          <w:tblCellMar>
            <w:top w:w="0" w:type="dxa"/>
            <w:left w:w="0" w:type="dxa"/>
            <w:bottom w:w="0" w:type="dxa"/>
            <w:right w:w="0" w:type="dxa"/>
          </w:tblCellMar>
        </w:tblPrEx>
        <w:trPr>
          <w:trHeight w:val="146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4025A">
            <w:pPr>
              <w:jc w:val="center"/>
              <w:rPr>
                <w:rFonts w:eastAsiaTheme="minorEastAsia"/>
                <w:color w:val="000000"/>
                <w:szCs w:val="21"/>
              </w:rPr>
            </w:pP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78094">
            <w:pPr>
              <w:rPr>
                <w:rFonts w:eastAsiaTheme="minorEastAsia"/>
                <w:szCs w:val="21"/>
              </w:rPr>
            </w:pPr>
            <w:r>
              <w:rPr>
                <w:rFonts w:hAnsiTheme="minorEastAsia" w:eastAsiaTheme="minorEastAsia"/>
                <w:szCs w:val="21"/>
              </w:rPr>
              <w:t>为相关部门审批项目预算投资招标</w:t>
            </w:r>
            <w:r>
              <w:rPr>
                <w:rFonts w:eastAsiaTheme="minorEastAsia"/>
                <w:szCs w:val="21"/>
              </w:rPr>
              <w:t>(</w:t>
            </w:r>
            <w:r>
              <w:rPr>
                <w:rFonts w:hAnsiTheme="minorEastAsia" w:eastAsiaTheme="minorEastAsia"/>
                <w:szCs w:val="21"/>
              </w:rPr>
              <w:t>比选</w:t>
            </w:r>
            <w:r>
              <w:rPr>
                <w:rFonts w:eastAsiaTheme="minorEastAsia"/>
                <w:szCs w:val="21"/>
              </w:rPr>
              <w:t>)</w:t>
            </w:r>
            <w:r>
              <w:rPr>
                <w:rFonts w:hAnsiTheme="minorEastAsia" w:eastAsiaTheme="minorEastAsia"/>
                <w:szCs w:val="21"/>
              </w:rPr>
              <w:t>提供了依据，为政府投资节约资金。</w:t>
            </w:r>
          </w:p>
          <w:p w14:paraId="234C6FE6">
            <w:pPr>
              <w:widowControl/>
              <w:jc w:val="center"/>
              <w:textAlignment w:val="center"/>
              <w:rPr>
                <w:rFonts w:eastAsiaTheme="minorEastAsia"/>
                <w:color w:val="000000"/>
                <w:szCs w:val="21"/>
              </w:rPr>
            </w:pP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B2A85">
            <w:pPr>
              <w:rPr>
                <w:rFonts w:eastAsiaTheme="minorEastAsia"/>
                <w:szCs w:val="21"/>
              </w:rPr>
            </w:pPr>
            <w:r>
              <w:rPr>
                <w:rFonts w:hAnsiTheme="minorEastAsia" w:eastAsiaTheme="minorEastAsia"/>
                <w:szCs w:val="21"/>
              </w:rPr>
              <w:t>为相关部门审批项目预算投资招标</w:t>
            </w:r>
            <w:r>
              <w:rPr>
                <w:rFonts w:eastAsiaTheme="minorEastAsia"/>
                <w:szCs w:val="21"/>
              </w:rPr>
              <w:t>(</w:t>
            </w:r>
            <w:r>
              <w:rPr>
                <w:rFonts w:hAnsiTheme="minorEastAsia" w:eastAsiaTheme="minorEastAsia"/>
                <w:szCs w:val="21"/>
              </w:rPr>
              <w:t>比选</w:t>
            </w:r>
            <w:r>
              <w:rPr>
                <w:rFonts w:eastAsiaTheme="minorEastAsia"/>
                <w:szCs w:val="21"/>
              </w:rPr>
              <w:t>)</w:t>
            </w:r>
            <w:r>
              <w:rPr>
                <w:rFonts w:hAnsiTheme="minorEastAsia" w:eastAsiaTheme="minorEastAsia"/>
                <w:szCs w:val="21"/>
              </w:rPr>
              <w:t>提供了依据，为政府投资节约资金。</w:t>
            </w:r>
          </w:p>
          <w:p w14:paraId="646C8628">
            <w:pPr>
              <w:widowControl/>
              <w:jc w:val="center"/>
              <w:textAlignment w:val="center"/>
              <w:rPr>
                <w:rFonts w:eastAsiaTheme="minorEastAsia"/>
                <w:color w:val="000000"/>
                <w:szCs w:val="21"/>
              </w:rPr>
            </w:pPr>
          </w:p>
        </w:tc>
      </w:tr>
      <w:tr w14:paraId="2FE4B2DE">
        <w:tblPrEx>
          <w:tblCellMar>
            <w:top w:w="0" w:type="dxa"/>
            <w:left w:w="0" w:type="dxa"/>
            <w:bottom w:w="0" w:type="dxa"/>
            <w:right w:w="0" w:type="dxa"/>
          </w:tblCellMar>
        </w:tblPrEx>
        <w:trPr>
          <w:trHeight w:val="1064"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0A8EC54">
            <w:pPr>
              <w:widowControl/>
              <w:jc w:val="center"/>
              <w:textAlignment w:val="center"/>
              <w:rPr>
                <w:rFonts w:eastAsiaTheme="minorEastAsia"/>
                <w:color w:val="000000"/>
                <w:szCs w:val="21"/>
              </w:rPr>
            </w:pPr>
            <w:r>
              <w:rPr>
                <w:rFonts w:hAnsiTheme="minorEastAsia" w:eastAsiaTheme="minorEastAsia"/>
                <w:color w:val="000000"/>
                <w:szCs w:val="21"/>
              </w:rPr>
              <w:t>绩效指标完成情况</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67BCE">
            <w:pPr>
              <w:widowControl/>
              <w:jc w:val="center"/>
              <w:textAlignment w:val="center"/>
              <w:rPr>
                <w:rFonts w:eastAsiaTheme="minorEastAsia"/>
                <w:color w:val="000000"/>
                <w:szCs w:val="21"/>
              </w:rPr>
            </w:pPr>
            <w:r>
              <w:rPr>
                <w:rFonts w:hAnsiTheme="minorEastAsia" w:eastAsiaTheme="minorEastAsia"/>
                <w:color w:val="000000"/>
                <w:kern w:val="0"/>
                <w:szCs w:val="21"/>
              </w:rPr>
              <w:t>一级指标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4327D">
            <w:pPr>
              <w:widowControl/>
              <w:jc w:val="center"/>
              <w:textAlignment w:val="center"/>
              <w:rPr>
                <w:rFonts w:eastAsiaTheme="minorEastAsia"/>
                <w:color w:val="000000"/>
                <w:szCs w:val="21"/>
              </w:rPr>
            </w:pPr>
            <w:r>
              <w:rPr>
                <w:rFonts w:hAnsiTheme="minorEastAsia" w:eastAsiaTheme="minorEastAsia"/>
                <w:color w:val="000000"/>
                <w:kern w:val="0"/>
                <w:szCs w:val="21"/>
              </w:rPr>
              <w:t>二级指标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B15B5">
            <w:pPr>
              <w:widowControl/>
              <w:jc w:val="center"/>
              <w:textAlignment w:val="center"/>
              <w:rPr>
                <w:rFonts w:eastAsiaTheme="minorEastAsia"/>
                <w:color w:val="000000"/>
                <w:szCs w:val="21"/>
              </w:rPr>
            </w:pPr>
            <w:r>
              <w:rPr>
                <w:rFonts w:hAnsiTheme="minorEastAsia" w:eastAsiaTheme="minorEastAsia"/>
                <w:color w:val="000000"/>
                <w:kern w:val="0"/>
                <w:szCs w:val="21"/>
              </w:rPr>
              <w:t>三级指标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A4642">
            <w:pPr>
              <w:widowControl/>
              <w:jc w:val="center"/>
              <w:textAlignment w:val="center"/>
              <w:rPr>
                <w:rFonts w:eastAsiaTheme="minorEastAsia"/>
                <w:color w:val="000000"/>
                <w:szCs w:val="21"/>
              </w:rPr>
            </w:pPr>
            <w:r>
              <w:rPr>
                <w:rFonts w:hAnsiTheme="minorEastAsia" w:eastAsiaTheme="minorEastAsia"/>
                <w:color w:val="000000"/>
                <w:kern w:val="0"/>
                <w:szCs w:val="21"/>
              </w:rPr>
              <w:t>预期指标值</w:t>
            </w:r>
            <w:r>
              <w:rPr>
                <w:rFonts w:eastAsiaTheme="minorEastAsia"/>
                <w:color w:val="000000"/>
                <w:kern w:val="0"/>
                <w:szCs w:val="21"/>
              </w:rPr>
              <w:t>(</w:t>
            </w:r>
            <w:r>
              <w:rPr>
                <w:rFonts w:hAnsiTheme="minorEastAsia" w:eastAsiaTheme="minorEastAsia"/>
                <w:color w:val="000000"/>
                <w:kern w:val="0"/>
                <w:szCs w:val="21"/>
              </w:rPr>
              <w:t>包含数字及文字描述</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59FC9">
            <w:pPr>
              <w:widowControl/>
              <w:jc w:val="center"/>
              <w:textAlignment w:val="center"/>
              <w:rPr>
                <w:rFonts w:eastAsiaTheme="minorEastAsia"/>
                <w:color w:val="000000"/>
                <w:szCs w:val="21"/>
              </w:rPr>
            </w:pPr>
            <w:r>
              <w:rPr>
                <w:rFonts w:hAnsiTheme="minorEastAsia" w:eastAsiaTheme="minorEastAsia"/>
                <w:color w:val="000000"/>
                <w:kern w:val="0"/>
                <w:szCs w:val="21"/>
              </w:rPr>
              <w:t>实际完成指标值</w:t>
            </w:r>
            <w:r>
              <w:rPr>
                <w:rFonts w:eastAsiaTheme="minorEastAsia"/>
                <w:color w:val="000000"/>
                <w:kern w:val="0"/>
                <w:szCs w:val="21"/>
              </w:rPr>
              <w:t>(</w:t>
            </w:r>
            <w:r>
              <w:rPr>
                <w:rFonts w:hAnsiTheme="minorEastAsia" w:eastAsiaTheme="minorEastAsia"/>
                <w:color w:val="000000"/>
                <w:kern w:val="0"/>
                <w:szCs w:val="21"/>
              </w:rPr>
              <w:t>包含数字及文字描述</w:t>
            </w:r>
            <w:r>
              <w:rPr>
                <w:rFonts w:eastAsiaTheme="minorEastAsia"/>
                <w:color w:val="000000"/>
                <w:kern w:val="0"/>
                <w:szCs w:val="21"/>
              </w:rPr>
              <w:t>)</w:t>
            </w:r>
          </w:p>
        </w:tc>
      </w:tr>
      <w:tr w14:paraId="313CD078">
        <w:tblPrEx>
          <w:tblCellMar>
            <w:top w:w="0" w:type="dxa"/>
            <w:left w:w="0" w:type="dxa"/>
            <w:bottom w:w="0" w:type="dxa"/>
            <w:right w:w="0" w:type="dxa"/>
          </w:tblCellMar>
        </w:tblPrEx>
        <w:trPr>
          <w:trHeight w:val="54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409F4A3C">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6E3CB">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B656C">
            <w:pPr>
              <w:widowControl/>
              <w:jc w:val="center"/>
              <w:textAlignment w:val="center"/>
              <w:rPr>
                <w:rFonts w:eastAsiaTheme="minorEastAsia"/>
                <w:color w:val="000000"/>
                <w:szCs w:val="21"/>
              </w:rPr>
            </w:pPr>
            <w:r>
              <w:rPr>
                <w:rFonts w:hAnsiTheme="minorEastAsia" w:eastAsiaTheme="minorEastAsia"/>
                <w:color w:val="000000"/>
                <w:szCs w:val="21"/>
              </w:rPr>
              <w:t>数量指标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E2768">
            <w:pPr>
              <w:widowControl/>
              <w:jc w:val="center"/>
              <w:textAlignment w:val="center"/>
              <w:rPr>
                <w:rFonts w:eastAsiaTheme="minorEastAsia"/>
                <w:color w:val="000000"/>
                <w:szCs w:val="21"/>
              </w:rPr>
            </w:pPr>
            <w:r>
              <w:rPr>
                <w:rFonts w:hAnsiTheme="minorEastAsia" w:eastAsiaTheme="minorEastAsia"/>
                <w:szCs w:val="21"/>
              </w:rPr>
              <w:t>投资评审项目</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36C65">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100</w:t>
            </w:r>
            <w:r>
              <w:rPr>
                <w:rFonts w:hAnsiTheme="minorEastAsia" w:eastAsiaTheme="minorEastAsia"/>
                <w:color w:val="000000"/>
                <w:szCs w:val="21"/>
              </w:rPr>
              <w:t>个</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DD7DB">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年共评审项目</w:t>
            </w:r>
            <w:r>
              <w:rPr>
                <w:rFonts w:eastAsiaTheme="minorEastAsia"/>
                <w:color w:val="000000"/>
                <w:szCs w:val="21"/>
              </w:rPr>
              <w:t>149</w:t>
            </w:r>
            <w:r>
              <w:rPr>
                <w:rFonts w:hAnsiTheme="minorEastAsia" w:eastAsiaTheme="minorEastAsia"/>
                <w:color w:val="000000"/>
                <w:szCs w:val="21"/>
              </w:rPr>
              <w:t>个</w:t>
            </w:r>
          </w:p>
        </w:tc>
      </w:tr>
      <w:tr w14:paraId="4C7E17EE">
        <w:tblPrEx>
          <w:tblCellMar>
            <w:top w:w="0" w:type="dxa"/>
            <w:left w:w="0" w:type="dxa"/>
            <w:bottom w:w="0" w:type="dxa"/>
            <w:right w:w="0" w:type="dxa"/>
          </w:tblCellMar>
        </w:tblPrEx>
        <w:trPr>
          <w:trHeight w:val="528"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3A7CA872">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6AEA2">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11646">
            <w:pPr>
              <w:widowControl/>
              <w:jc w:val="center"/>
              <w:textAlignment w:val="center"/>
              <w:rPr>
                <w:rFonts w:eastAsiaTheme="minorEastAsia"/>
                <w:color w:val="000000"/>
                <w:szCs w:val="21"/>
              </w:rPr>
            </w:pPr>
            <w:r>
              <w:rPr>
                <w:rFonts w:hAnsiTheme="minorEastAsia" w:eastAsiaTheme="minorEastAsia"/>
                <w:color w:val="000000"/>
                <w:szCs w:val="21"/>
              </w:rPr>
              <w:t>时效指标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F866">
            <w:pPr>
              <w:widowControl/>
              <w:jc w:val="center"/>
              <w:textAlignment w:val="center"/>
              <w:rPr>
                <w:rFonts w:eastAsiaTheme="minorEastAsia"/>
                <w:color w:val="000000"/>
                <w:szCs w:val="21"/>
              </w:rPr>
            </w:pPr>
            <w:r>
              <w:rPr>
                <w:rFonts w:hAnsiTheme="minorEastAsia" w:eastAsiaTheme="minorEastAsia"/>
                <w:color w:val="000000"/>
                <w:szCs w:val="21"/>
              </w:rPr>
              <w:t>评审时间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7F9B4">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年全年</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44BD0">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年全年</w:t>
            </w:r>
          </w:p>
        </w:tc>
      </w:tr>
      <w:tr w14:paraId="37567D7A">
        <w:tblPrEx>
          <w:tblCellMar>
            <w:top w:w="0" w:type="dxa"/>
            <w:left w:w="0" w:type="dxa"/>
            <w:bottom w:w="0" w:type="dxa"/>
            <w:right w:w="0" w:type="dxa"/>
          </w:tblCellMar>
        </w:tblPrEx>
        <w:trPr>
          <w:trHeight w:val="79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77E0B3F0">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025F">
            <w:pPr>
              <w:widowControl/>
              <w:jc w:val="center"/>
              <w:textAlignment w:val="center"/>
              <w:rPr>
                <w:rFonts w:eastAsiaTheme="minorEastAsia"/>
                <w:color w:val="000000"/>
                <w:kern w:val="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E23B4">
            <w:pPr>
              <w:widowControl/>
              <w:jc w:val="center"/>
              <w:textAlignment w:val="center"/>
              <w:rPr>
                <w:rFonts w:eastAsiaTheme="minorEastAsia"/>
                <w:color w:val="000000"/>
                <w:szCs w:val="21"/>
              </w:rPr>
            </w:pPr>
            <w:r>
              <w:rPr>
                <w:rFonts w:hAnsiTheme="minorEastAsia" w:eastAsiaTheme="minorEastAsia"/>
                <w:color w:val="000000"/>
                <w:szCs w:val="21"/>
              </w:rPr>
              <w:t>成本指标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905D">
            <w:pPr>
              <w:widowControl/>
              <w:jc w:val="center"/>
              <w:textAlignment w:val="center"/>
              <w:rPr>
                <w:rFonts w:eastAsiaTheme="minorEastAsia"/>
                <w:color w:val="000000"/>
                <w:szCs w:val="21"/>
              </w:rPr>
            </w:pPr>
            <w:r>
              <w:rPr>
                <w:rFonts w:hAnsiTheme="minorEastAsia" w:eastAsiaTheme="minorEastAsia"/>
                <w:color w:val="000000"/>
                <w:szCs w:val="21"/>
              </w:rPr>
              <w:t>委托中介机构评审费用</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BE920">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F44FA">
            <w:pPr>
              <w:widowControl/>
              <w:jc w:val="center"/>
              <w:textAlignment w:val="center"/>
              <w:rPr>
                <w:rFonts w:eastAsiaTheme="minorEastAsia"/>
                <w:color w:val="000000"/>
                <w:szCs w:val="21"/>
              </w:rPr>
            </w:pPr>
            <w:r>
              <w:rPr>
                <w:rFonts w:hAnsiTheme="minorEastAsia" w:eastAsiaTheme="minorEastAsia"/>
                <w:color w:val="000000"/>
                <w:szCs w:val="21"/>
              </w:rPr>
              <w:t>支付</w:t>
            </w:r>
            <w:r>
              <w:rPr>
                <w:rFonts w:eastAsiaTheme="minorEastAsia"/>
                <w:color w:val="000000"/>
                <w:szCs w:val="21"/>
              </w:rPr>
              <w:t>396.36</w:t>
            </w:r>
            <w:r>
              <w:rPr>
                <w:rFonts w:hAnsiTheme="minorEastAsia" w:eastAsiaTheme="minorEastAsia"/>
                <w:color w:val="000000"/>
                <w:szCs w:val="21"/>
              </w:rPr>
              <w:t>万元</w:t>
            </w:r>
          </w:p>
        </w:tc>
      </w:tr>
      <w:tr w14:paraId="76211B3B">
        <w:tblPrEx>
          <w:tblCellMar>
            <w:top w:w="0" w:type="dxa"/>
            <w:left w:w="0" w:type="dxa"/>
            <w:bottom w:w="0" w:type="dxa"/>
            <w:right w:w="0" w:type="dxa"/>
          </w:tblCellMar>
        </w:tblPrEx>
        <w:trPr>
          <w:trHeight w:val="1925"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C99B050">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9DA9F">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3C107">
            <w:pPr>
              <w:widowControl/>
              <w:jc w:val="center"/>
              <w:textAlignment w:val="center"/>
              <w:rPr>
                <w:rFonts w:eastAsiaTheme="minorEastAsia"/>
                <w:color w:val="000000"/>
                <w:szCs w:val="21"/>
              </w:rPr>
            </w:pPr>
            <w:r>
              <w:rPr>
                <w:rFonts w:hAnsiTheme="minorEastAsia" w:eastAsiaTheme="minorEastAsia"/>
                <w:color w:val="000000"/>
                <w:szCs w:val="21"/>
              </w:rPr>
              <w:t>经济效益指标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2A11">
            <w:pPr>
              <w:widowControl/>
              <w:jc w:val="center"/>
              <w:textAlignment w:val="center"/>
              <w:rPr>
                <w:rFonts w:eastAsiaTheme="minorEastAsia"/>
                <w:color w:val="000000"/>
                <w:szCs w:val="21"/>
              </w:rPr>
            </w:pPr>
            <w:r>
              <w:rPr>
                <w:rFonts w:hAnsiTheme="minorEastAsia" w:eastAsiaTheme="minorEastAsia"/>
                <w:color w:val="000000"/>
                <w:szCs w:val="21"/>
              </w:rPr>
              <w:t>节约投资资金</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A15A6">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年评审项目</w:t>
            </w:r>
            <w:r>
              <w:rPr>
                <w:rFonts w:eastAsiaTheme="minorEastAsia"/>
                <w:color w:val="000000"/>
                <w:szCs w:val="21"/>
              </w:rPr>
              <w:t>149</w:t>
            </w:r>
            <w:r>
              <w:rPr>
                <w:rFonts w:hAnsiTheme="minorEastAsia" w:eastAsiaTheme="minorEastAsia"/>
                <w:color w:val="000000"/>
                <w:szCs w:val="21"/>
              </w:rPr>
              <w:t>个，总送审资金</w:t>
            </w:r>
            <w:r>
              <w:rPr>
                <w:rFonts w:eastAsiaTheme="minorEastAsia"/>
                <w:color w:val="000000"/>
                <w:szCs w:val="21"/>
              </w:rPr>
              <w:t>67765</w:t>
            </w:r>
            <w:r>
              <w:rPr>
                <w:rFonts w:hAnsiTheme="minorEastAsia" w:eastAsiaTheme="minorEastAsia"/>
                <w:color w:val="000000"/>
                <w:szCs w:val="21"/>
              </w:rPr>
              <w:t>万元，审定资金</w:t>
            </w:r>
            <w:r>
              <w:rPr>
                <w:rFonts w:eastAsiaTheme="minorEastAsia"/>
                <w:color w:val="000000"/>
                <w:szCs w:val="21"/>
              </w:rPr>
              <w:t>59670</w:t>
            </w:r>
            <w:r>
              <w:rPr>
                <w:rFonts w:hAnsiTheme="minorEastAsia" w:eastAsiaTheme="minorEastAsia"/>
                <w:color w:val="000000"/>
                <w:szCs w:val="21"/>
              </w:rPr>
              <w:t>万元，审减资金</w:t>
            </w:r>
            <w:r>
              <w:rPr>
                <w:rFonts w:eastAsiaTheme="minorEastAsia"/>
                <w:color w:val="000000"/>
                <w:szCs w:val="21"/>
              </w:rPr>
              <w:t>8095</w:t>
            </w:r>
            <w:r>
              <w:rPr>
                <w:rFonts w:hAnsiTheme="minorEastAsia" w:eastAsiaTheme="minorEastAsia"/>
                <w:color w:val="000000"/>
                <w:szCs w:val="21"/>
              </w:rPr>
              <w:t>万元，综合审减率</w:t>
            </w:r>
            <w:r>
              <w:rPr>
                <w:rFonts w:eastAsiaTheme="minorEastAsia"/>
                <w:color w:val="000000"/>
                <w:szCs w:val="21"/>
              </w:rPr>
              <w:t>9.69%</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BDE8E">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年评审项目</w:t>
            </w:r>
            <w:r>
              <w:rPr>
                <w:rFonts w:eastAsiaTheme="minorEastAsia"/>
                <w:color w:val="000000"/>
                <w:szCs w:val="21"/>
              </w:rPr>
              <w:t>149</w:t>
            </w:r>
            <w:r>
              <w:rPr>
                <w:rFonts w:hAnsiTheme="minorEastAsia" w:eastAsiaTheme="minorEastAsia"/>
                <w:color w:val="000000"/>
                <w:szCs w:val="21"/>
              </w:rPr>
              <w:t>个，总送审资金</w:t>
            </w:r>
            <w:r>
              <w:rPr>
                <w:rFonts w:eastAsiaTheme="minorEastAsia"/>
                <w:color w:val="000000"/>
                <w:szCs w:val="21"/>
              </w:rPr>
              <w:t>67765</w:t>
            </w:r>
            <w:r>
              <w:rPr>
                <w:rFonts w:hAnsiTheme="minorEastAsia" w:eastAsiaTheme="minorEastAsia"/>
                <w:color w:val="000000"/>
                <w:szCs w:val="21"/>
              </w:rPr>
              <w:t>万元，审定资金</w:t>
            </w:r>
            <w:r>
              <w:rPr>
                <w:rFonts w:eastAsiaTheme="minorEastAsia"/>
                <w:color w:val="000000"/>
                <w:szCs w:val="21"/>
              </w:rPr>
              <w:t>59670</w:t>
            </w:r>
            <w:r>
              <w:rPr>
                <w:rFonts w:hAnsiTheme="minorEastAsia" w:eastAsiaTheme="minorEastAsia"/>
                <w:color w:val="000000"/>
                <w:szCs w:val="21"/>
              </w:rPr>
              <w:t>万元，审减资金</w:t>
            </w:r>
            <w:r>
              <w:rPr>
                <w:rFonts w:eastAsiaTheme="minorEastAsia"/>
                <w:color w:val="000000"/>
                <w:szCs w:val="21"/>
              </w:rPr>
              <w:t>8095</w:t>
            </w:r>
            <w:r>
              <w:rPr>
                <w:rFonts w:hAnsiTheme="minorEastAsia" w:eastAsiaTheme="minorEastAsia"/>
                <w:color w:val="000000"/>
                <w:szCs w:val="21"/>
              </w:rPr>
              <w:t>万元，综合审减率</w:t>
            </w:r>
            <w:r>
              <w:rPr>
                <w:rFonts w:eastAsiaTheme="minorEastAsia"/>
                <w:color w:val="000000"/>
                <w:szCs w:val="21"/>
              </w:rPr>
              <w:t>9.69%%</w:t>
            </w:r>
          </w:p>
        </w:tc>
      </w:tr>
      <w:tr w14:paraId="15D0A4C2">
        <w:tblPrEx>
          <w:tblCellMar>
            <w:top w:w="0" w:type="dxa"/>
            <w:left w:w="0" w:type="dxa"/>
            <w:bottom w:w="0" w:type="dxa"/>
            <w:right w:w="0" w:type="dxa"/>
          </w:tblCellMar>
        </w:tblPrEx>
        <w:trPr>
          <w:trHeight w:val="1925" w:hRule="atLeast"/>
          <w:jc w:val="center"/>
        </w:trPr>
        <w:tc>
          <w:tcPr>
            <w:tcW w:w="582" w:type="dxa"/>
            <w:tcBorders>
              <w:left w:val="single" w:color="000000" w:sz="4" w:space="0"/>
              <w:right w:val="single" w:color="000000" w:sz="4" w:space="0"/>
            </w:tcBorders>
            <w:tcMar>
              <w:top w:w="15" w:type="dxa"/>
              <w:left w:w="15" w:type="dxa"/>
              <w:right w:w="15" w:type="dxa"/>
            </w:tcMar>
            <w:vAlign w:val="center"/>
          </w:tcPr>
          <w:p w14:paraId="36904B4F">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C11CF">
            <w:pPr>
              <w:widowControl/>
              <w:jc w:val="center"/>
              <w:textAlignment w:val="center"/>
              <w:rPr>
                <w:rFonts w:eastAsiaTheme="minorEastAsia"/>
                <w:color w:val="000000"/>
                <w:kern w:val="0"/>
                <w:szCs w:val="21"/>
              </w:rPr>
            </w:pPr>
            <w:r>
              <w:rPr>
                <w:rFonts w:hAnsiTheme="minorEastAsia" w:eastAsiaTheme="minorEastAsia"/>
                <w:color w:val="000000"/>
                <w:kern w:val="0"/>
                <w:sz w:val="18"/>
                <w:szCs w:val="18"/>
              </w:rPr>
              <w:t>满意度指标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44EFD">
            <w:pPr>
              <w:widowControl/>
              <w:jc w:val="center"/>
              <w:textAlignment w:val="center"/>
              <w:rPr>
                <w:rFonts w:eastAsiaTheme="minorEastAsia"/>
                <w:color w:val="000000"/>
                <w:szCs w:val="21"/>
              </w:rPr>
            </w:pPr>
            <w:r>
              <w:rPr>
                <w:rFonts w:hAnsiTheme="minorEastAsia" w:eastAsiaTheme="minorEastAsia"/>
                <w:color w:val="000000"/>
                <w:sz w:val="18"/>
                <w:szCs w:val="18"/>
              </w:rPr>
              <w:t>服务对象满意度</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DE7C9">
            <w:pPr>
              <w:widowControl/>
              <w:jc w:val="center"/>
              <w:textAlignment w:val="center"/>
              <w:rPr>
                <w:rFonts w:eastAsiaTheme="minorEastAsia"/>
                <w:color w:val="000000"/>
                <w:szCs w:val="21"/>
              </w:rPr>
            </w:pPr>
            <w:r>
              <w:rPr>
                <w:rFonts w:hAnsiTheme="minorEastAsia" w:eastAsiaTheme="minorEastAsia"/>
                <w:color w:val="000000"/>
                <w:szCs w:val="21"/>
              </w:rPr>
              <w:t>委托评审单位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761BB">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95%</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CC3E7">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95%</w:t>
            </w:r>
          </w:p>
        </w:tc>
      </w:tr>
    </w:tbl>
    <w:p w14:paraId="2DAE2211">
      <w:pPr>
        <w:pStyle w:val="6"/>
        <w:spacing w:before="93"/>
        <w:rPr>
          <w:lang w:val="zh-CN"/>
        </w:rPr>
      </w:pPr>
    </w:p>
    <w:tbl>
      <w:tblPr>
        <w:tblStyle w:val="16"/>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14:paraId="63516C98">
        <w:tblPrEx>
          <w:tblCellMar>
            <w:top w:w="0" w:type="dxa"/>
            <w:left w:w="108" w:type="dxa"/>
            <w:bottom w:w="0" w:type="dxa"/>
            <w:right w:w="108" w:type="dxa"/>
          </w:tblCellMar>
        </w:tblPrEx>
        <w:trPr>
          <w:trHeight w:val="675" w:hRule="atLeast"/>
        </w:trPr>
        <w:tc>
          <w:tcPr>
            <w:tcW w:w="236" w:type="dxa"/>
            <w:tcBorders>
              <w:top w:val="nil"/>
              <w:left w:val="nil"/>
              <w:bottom w:val="nil"/>
              <w:right w:val="nil"/>
            </w:tcBorders>
            <w:shd w:val="clear" w:color="auto" w:fill="auto"/>
            <w:vAlign w:val="center"/>
          </w:tcPr>
          <w:p w14:paraId="4196FA18">
            <w:pPr>
              <w:widowControl/>
              <w:jc w:val="center"/>
              <w:textAlignment w:val="center"/>
              <w:rPr>
                <w:rFonts w:ascii="宋体" w:hAnsi="宋体" w:cs="宋体"/>
                <w:b/>
                <w:kern w:val="0"/>
                <w:sz w:val="32"/>
                <w:szCs w:val="32"/>
              </w:rPr>
            </w:pPr>
          </w:p>
        </w:tc>
      </w:tr>
    </w:tbl>
    <w:p w14:paraId="1643D0E3">
      <w:pPr>
        <w:widowControl/>
        <w:jc w:val="center"/>
        <w:rPr>
          <w:rFonts w:ascii="黑体" w:hAnsi="黑体" w:eastAsia="黑体"/>
          <w:sz w:val="44"/>
          <w:szCs w:val="44"/>
        </w:rPr>
      </w:pPr>
      <w:bookmarkStart w:id="121" w:name="_Toc15396618"/>
      <w:bookmarkStart w:id="122" w:name="_Toc27923_WPSOffice_Level1"/>
    </w:p>
    <w:p w14:paraId="67025933">
      <w:pPr>
        <w:jc w:val="center"/>
        <w:rPr>
          <w:rFonts w:eastAsia="黑体"/>
          <w:sz w:val="44"/>
          <w:szCs w:val="44"/>
        </w:rPr>
      </w:pPr>
      <w:r>
        <w:rPr>
          <w:rFonts w:eastAsia="黑体"/>
          <w:sz w:val="44"/>
          <w:szCs w:val="44"/>
        </w:rPr>
        <w:t>第五部分 附表</w:t>
      </w:r>
      <w:bookmarkEnd w:id="89"/>
      <w:bookmarkEnd w:id="121"/>
      <w:bookmarkEnd w:id="122"/>
      <w:bookmarkStart w:id="123" w:name="_Toc15396619"/>
    </w:p>
    <w:p w14:paraId="4EFD981F">
      <w:pPr>
        <w:spacing w:line="760" w:lineRule="exact"/>
        <w:rPr>
          <w:rFonts w:eastAsia="仿宋_GB2312"/>
          <w:sz w:val="32"/>
          <w:szCs w:val="32"/>
        </w:rPr>
      </w:pPr>
      <w:bookmarkStart w:id="124" w:name="_Toc27298_WPSOffice_Level2"/>
    </w:p>
    <w:p w14:paraId="0A2599F2">
      <w:pPr>
        <w:spacing w:line="760" w:lineRule="exact"/>
        <w:rPr>
          <w:rFonts w:eastAsia="仿宋_GB2312"/>
          <w:sz w:val="32"/>
          <w:szCs w:val="32"/>
        </w:rPr>
      </w:pPr>
      <w:r>
        <w:rPr>
          <w:rFonts w:eastAsia="仿宋_GB2312"/>
          <w:sz w:val="32"/>
          <w:szCs w:val="32"/>
        </w:rPr>
        <w:t>一、收入支出决算总表</w:t>
      </w:r>
      <w:bookmarkEnd w:id="123"/>
      <w:bookmarkEnd w:id="124"/>
    </w:p>
    <w:p w14:paraId="0EE67218">
      <w:pPr>
        <w:spacing w:line="760" w:lineRule="exact"/>
        <w:rPr>
          <w:rFonts w:eastAsia="仿宋_GB2312"/>
          <w:sz w:val="32"/>
          <w:szCs w:val="32"/>
        </w:rPr>
      </w:pPr>
      <w:bookmarkStart w:id="125" w:name="_Toc15396620"/>
      <w:bookmarkStart w:id="126" w:name="_Toc2235_WPSOffice_Level2"/>
      <w:r>
        <w:rPr>
          <w:rFonts w:eastAsia="仿宋_GB2312"/>
          <w:sz w:val="32"/>
          <w:szCs w:val="32"/>
        </w:rPr>
        <w:t>二、收入决算表</w:t>
      </w:r>
      <w:bookmarkEnd w:id="125"/>
      <w:bookmarkEnd w:id="126"/>
    </w:p>
    <w:p w14:paraId="70E84E6F">
      <w:pPr>
        <w:spacing w:line="760" w:lineRule="exact"/>
        <w:rPr>
          <w:rFonts w:eastAsia="仿宋_GB2312"/>
          <w:sz w:val="32"/>
          <w:szCs w:val="32"/>
        </w:rPr>
      </w:pPr>
      <w:bookmarkStart w:id="127" w:name="_Toc31678_WPSOffice_Level2"/>
      <w:bookmarkStart w:id="128" w:name="_Toc15396621"/>
      <w:r>
        <w:rPr>
          <w:rFonts w:eastAsia="仿宋_GB2312"/>
          <w:sz w:val="32"/>
          <w:szCs w:val="32"/>
        </w:rPr>
        <w:t>三、支出决算表</w:t>
      </w:r>
      <w:bookmarkEnd w:id="127"/>
      <w:bookmarkEnd w:id="128"/>
    </w:p>
    <w:p w14:paraId="568F7583">
      <w:pPr>
        <w:spacing w:line="760" w:lineRule="exact"/>
        <w:rPr>
          <w:rFonts w:eastAsia="仿宋_GB2312"/>
          <w:sz w:val="32"/>
          <w:szCs w:val="32"/>
        </w:rPr>
      </w:pPr>
      <w:bookmarkStart w:id="129" w:name="_Toc15396622"/>
      <w:bookmarkStart w:id="130" w:name="_Toc8638_WPSOffice_Level2"/>
      <w:r>
        <w:rPr>
          <w:rFonts w:eastAsia="仿宋_GB2312"/>
          <w:sz w:val="32"/>
          <w:szCs w:val="32"/>
        </w:rPr>
        <w:t>四、财政拨款收入支出决算总表</w:t>
      </w:r>
      <w:bookmarkEnd w:id="129"/>
      <w:bookmarkEnd w:id="130"/>
    </w:p>
    <w:p w14:paraId="1721953A">
      <w:pPr>
        <w:spacing w:line="760" w:lineRule="exact"/>
        <w:rPr>
          <w:rFonts w:eastAsia="仿宋_GB2312"/>
          <w:sz w:val="32"/>
          <w:szCs w:val="32"/>
        </w:rPr>
      </w:pPr>
      <w:bookmarkStart w:id="131" w:name="_Toc15396623"/>
      <w:bookmarkStart w:id="132" w:name="_Toc15828_WPSOffice_Level2"/>
      <w:r>
        <w:rPr>
          <w:rFonts w:eastAsia="仿宋_GB2312"/>
          <w:sz w:val="32"/>
          <w:szCs w:val="32"/>
        </w:rPr>
        <w:t>五、财政拨款支出决算明细表</w:t>
      </w:r>
      <w:bookmarkEnd w:id="131"/>
      <w:bookmarkEnd w:id="132"/>
      <w:bookmarkStart w:id="133" w:name="_Toc15396624"/>
    </w:p>
    <w:p w14:paraId="3A49A34E">
      <w:pPr>
        <w:spacing w:line="760" w:lineRule="exact"/>
        <w:rPr>
          <w:rFonts w:eastAsia="仿宋_GB2312"/>
          <w:sz w:val="32"/>
          <w:szCs w:val="32"/>
        </w:rPr>
      </w:pPr>
      <w:bookmarkStart w:id="134" w:name="_Toc24002_WPSOffice_Level2"/>
      <w:r>
        <w:rPr>
          <w:rFonts w:eastAsia="仿宋_GB2312"/>
          <w:sz w:val="32"/>
          <w:szCs w:val="32"/>
        </w:rPr>
        <w:t>六、一般公共预算财政拨款支出决算表</w:t>
      </w:r>
      <w:bookmarkEnd w:id="133"/>
      <w:bookmarkEnd w:id="134"/>
    </w:p>
    <w:p w14:paraId="2A38668E">
      <w:pPr>
        <w:spacing w:line="760" w:lineRule="exact"/>
        <w:rPr>
          <w:rFonts w:eastAsia="仿宋_GB2312"/>
          <w:sz w:val="32"/>
          <w:szCs w:val="32"/>
        </w:rPr>
      </w:pPr>
      <w:bookmarkStart w:id="135" w:name="_Toc1557_WPSOffice_Level2"/>
      <w:bookmarkStart w:id="136" w:name="_Toc15396625"/>
      <w:r>
        <w:rPr>
          <w:rFonts w:eastAsia="仿宋_GB2312"/>
          <w:sz w:val="32"/>
          <w:szCs w:val="32"/>
        </w:rPr>
        <w:t>七、一般公共预算财政拨款支出决算明细表</w:t>
      </w:r>
      <w:bookmarkEnd w:id="135"/>
      <w:bookmarkEnd w:id="136"/>
    </w:p>
    <w:p w14:paraId="02562940">
      <w:pPr>
        <w:spacing w:line="760" w:lineRule="exact"/>
        <w:rPr>
          <w:rFonts w:eastAsia="仿宋_GB2312"/>
          <w:sz w:val="32"/>
          <w:szCs w:val="32"/>
        </w:rPr>
      </w:pPr>
      <w:bookmarkStart w:id="137" w:name="_Toc1720_WPSOffice_Level2"/>
      <w:bookmarkStart w:id="138" w:name="_Toc15396626"/>
      <w:r>
        <w:rPr>
          <w:rFonts w:eastAsia="仿宋_GB2312"/>
          <w:sz w:val="32"/>
          <w:szCs w:val="32"/>
        </w:rPr>
        <w:t>八、一般公共预算财政拨款基本支出决算表</w:t>
      </w:r>
      <w:bookmarkEnd w:id="137"/>
      <w:bookmarkEnd w:id="138"/>
    </w:p>
    <w:p w14:paraId="5FCA99AA">
      <w:pPr>
        <w:spacing w:line="760" w:lineRule="exact"/>
        <w:rPr>
          <w:rFonts w:eastAsia="仿宋_GB2312"/>
          <w:sz w:val="32"/>
          <w:szCs w:val="32"/>
        </w:rPr>
      </w:pPr>
      <w:bookmarkStart w:id="139" w:name="_Toc8745_WPSOffice_Level2"/>
      <w:bookmarkStart w:id="140" w:name="_Toc15396627"/>
      <w:r>
        <w:rPr>
          <w:rFonts w:eastAsia="仿宋_GB2312"/>
          <w:sz w:val="32"/>
          <w:szCs w:val="32"/>
        </w:rPr>
        <w:t>九、一般公共预算财政拨款项目支出决算表</w:t>
      </w:r>
      <w:bookmarkEnd w:id="139"/>
      <w:bookmarkEnd w:id="140"/>
    </w:p>
    <w:p w14:paraId="662449C2">
      <w:pPr>
        <w:spacing w:line="760" w:lineRule="exact"/>
        <w:rPr>
          <w:rFonts w:eastAsia="仿宋_GB2312"/>
          <w:sz w:val="32"/>
          <w:szCs w:val="32"/>
        </w:rPr>
      </w:pPr>
      <w:bookmarkStart w:id="141" w:name="_Toc15396628"/>
      <w:bookmarkStart w:id="142" w:name="_Toc6458_WPSOffice_Level2"/>
      <w:r>
        <w:rPr>
          <w:rFonts w:eastAsia="仿宋_GB2312"/>
          <w:sz w:val="32"/>
          <w:szCs w:val="32"/>
        </w:rPr>
        <w:t>十、一般公共预算财政拨款“三公”经费支出决算表</w:t>
      </w:r>
      <w:bookmarkEnd w:id="141"/>
      <w:bookmarkEnd w:id="142"/>
    </w:p>
    <w:p w14:paraId="51515F69">
      <w:pPr>
        <w:spacing w:line="760" w:lineRule="exact"/>
        <w:rPr>
          <w:rFonts w:eastAsia="仿宋_GB2312"/>
          <w:sz w:val="32"/>
          <w:szCs w:val="32"/>
        </w:rPr>
      </w:pPr>
      <w:bookmarkStart w:id="143" w:name="_Toc15396629"/>
      <w:bookmarkStart w:id="144" w:name="_Toc13198_WPSOffice_Level2"/>
      <w:r>
        <w:rPr>
          <w:rFonts w:eastAsia="仿宋_GB2312"/>
          <w:sz w:val="32"/>
          <w:szCs w:val="32"/>
        </w:rPr>
        <w:t>十一、政府性基金预算财政拨款收入支出决算表</w:t>
      </w:r>
      <w:bookmarkEnd w:id="143"/>
      <w:bookmarkEnd w:id="144"/>
    </w:p>
    <w:p w14:paraId="697A2081">
      <w:pPr>
        <w:spacing w:line="760" w:lineRule="exact"/>
        <w:rPr>
          <w:rFonts w:eastAsia="仿宋_GB2312"/>
          <w:sz w:val="32"/>
          <w:szCs w:val="32"/>
        </w:rPr>
      </w:pPr>
      <w:bookmarkStart w:id="145" w:name="_Toc15396630"/>
      <w:bookmarkStart w:id="146" w:name="_Toc4846_WPSOffice_Level2"/>
      <w:r>
        <w:rPr>
          <w:rFonts w:eastAsia="仿宋_GB2312"/>
          <w:sz w:val="32"/>
          <w:szCs w:val="32"/>
        </w:rPr>
        <w:t>十二、政府性基金预算财政拨款“三公”经费支出决算表</w:t>
      </w:r>
      <w:bookmarkEnd w:id="145"/>
      <w:bookmarkEnd w:id="146"/>
    </w:p>
    <w:p w14:paraId="52EF6706">
      <w:pPr>
        <w:spacing w:line="760" w:lineRule="exact"/>
        <w:rPr>
          <w:rFonts w:eastAsia="仿宋_GB2312"/>
          <w:sz w:val="32"/>
          <w:szCs w:val="32"/>
        </w:rPr>
      </w:pPr>
      <w:bookmarkStart w:id="147" w:name="_Toc8935_WPSOffice_Level2"/>
      <w:bookmarkStart w:id="148" w:name="_Toc15396631"/>
      <w:r>
        <w:rPr>
          <w:rFonts w:eastAsia="仿宋_GB2312"/>
          <w:sz w:val="32"/>
          <w:szCs w:val="32"/>
        </w:rPr>
        <w:t>十三、国有资本经营预算财政拨款收入支出决算表</w:t>
      </w:r>
      <w:bookmarkEnd w:id="147"/>
      <w:bookmarkEnd w:id="148"/>
    </w:p>
    <w:p w14:paraId="030DCF49">
      <w:pPr>
        <w:spacing w:line="760" w:lineRule="exact"/>
        <w:rPr>
          <w:rFonts w:eastAsia="仿宋_GB2312"/>
          <w:sz w:val="32"/>
          <w:szCs w:val="32"/>
        </w:rPr>
      </w:pPr>
      <w:bookmarkStart w:id="149" w:name="_Toc32031_WPSOffice_Level2"/>
      <w:r>
        <w:rPr>
          <w:rFonts w:eastAsia="仿宋_GB2312"/>
          <w:sz w:val="32"/>
          <w:szCs w:val="32"/>
        </w:rPr>
        <w:t>十四、国有资本经营预算财政拨款支出决算表</w:t>
      </w:r>
      <w:bookmarkEnd w:id="14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3209C3">
        <w:pPr>
          <w:pStyle w:val="10"/>
          <w:jc w:val="center"/>
        </w:pPr>
        <w:r>
          <w:fldChar w:fldCharType="begin"/>
        </w:r>
        <w:r>
          <w:instrText xml:space="preserve">PAGE   \* MERGEFORMAT</w:instrText>
        </w:r>
        <w:r>
          <w:fldChar w:fldCharType="separate"/>
        </w:r>
        <w:r>
          <w:rPr>
            <w:lang w:val="zh-CN"/>
          </w:rPr>
          <w:t>58</w:t>
        </w:r>
        <w:r>
          <w:rPr>
            <w:lang w:val="zh-CN"/>
          </w:rPr>
          <w:fldChar w:fldCharType="end"/>
        </w:r>
      </w:p>
    </w:sdtContent>
  </w:sdt>
  <w:p w14:paraId="79B89D1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9782">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68D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C93"/>
    <w:rsid w:val="000D1267"/>
    <w:rsid w:val="000D1D50"/>
    <w:rsid w:val="000D5782"/>
    <w:rsid w:val="000E6613"/>
    <w:rsid w:val="000E7119"/>
    <w:rsid w:val="00114E9B"/>
    <w:rsid w:val="00140F27"/>
    <w:rsid w:val="00142216"/>
    <w:rsid w:val="00144D6A"/>
    <w:rsid w:val="0014729F"/>
    <w:rsid w:val="00157BAB"/>
    <w:rsid w:val="001654D1"/>
    <w:rsid w:val="00174518"/>
    <w:rsid w:val="0018106D"/>
    <w:rsid w:val="001877A7"/>
    <w:rsid w:val="00191536"/>
    <w:rsid w:val="00196687"/>
    <w:rsid w:val="001A2E0C"/>
    <w:rsid w:val="001C0962"/>
    <w:rsid w:val="001D7531"/>
    <w:rsid w:val="001E737D"/>
    <w:rsid w:val="001F0592"/>
    <w:rsid w:val="001F7506"/>
    <w:rsid w:val="002006CD"/>
    <w:rsid w:val="00202B36"/>
    <w:rsid w:val="00204B7A"/>
    <w:rsid w:val="00204CDE"/>
    <w:rsid w:val="0021101A"/>
    <w:rsid w:val="00220536"/>
    <w:rsid w:val="0022595F"/>
    <w:rsid w:val="00232221"/>
    <w:rsid w:val="00235629"/>
    <w:rsid w:val="002466AE"/>
    <w:rsid w:val="00260C38"/>
    <w:rsid w:val="002616C0"/>
    <w:rsid w:val="00265372"/>
    <w:rsid w:val="002662AA"/>
    <w:rsid w:val="00271E45"/>
    <w:rsid w:val="00280496"/>
    <w:rsid w:val="00294DC9"/>
    <w:rsid w:val="00295495"/>
    <w:rsid w:val="002A31DE"/>
    <w:rsid w:val="002B2613"/>
    <w:rsid w:val="002D6D05"/>
    <w:rsid w:val="002F1818"/>
    <w:rsid w:val="002F567B"/>
    <w:rsid w:val="0031447A"/>
    <w:rsid w:val="0032008D"/>
    <w:rsid w:val="003216A9"/>
    <w:rsid w:val="00335A74"/>
    <w:rsid w:val="003619FC"/>
    <w:rsid w:val="0036561B"/>
    <w:rsid w:val="0037013F"/>
    <w:rsid w:val="00380C92"/>
    <w:rsid w:val="003A484F"/>
    <w:rsid w:val="003A4883"/>
    <w:rsid w:val="003B0BE0"/>
    <w:rsid w:val="003B0C1B"/>
    <w:rsid w:val="003B4F12"/>
    <w:rsid w:val="003B688C"/>
    <w:rsid w:val="003C0291"/>
    <w:rsid w:val="003C39AE"/>
    <w:rsid w:val="003C7B60"/>
    <w:rsid w:val="003D0C0F"/>
    <w:rsid w:val="003D1FB2"/>
    <w:rsid w:val="003D66DA"/>
    <w:rsid w:val="003E1310"/>
    <w:rsid w:val="003E6F55"/>
    <w:rsid w:val="00406254"/>
    <w:rsid w:val="00407C19"/>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C76C8"/>
    <w:rsid w:val="006F020C"/>
    <w:rsid w:val="007127B7"/>
    <w:rsid w:val="0071485B"/>
    <w:rsid w:val="0071798E"/>
    <w:rsid w:val="007416B6"/>
    <w:rsid w:val="00746694"/>
    <w:rsid w:val="00746F48"/>
    <w:rsid w:val="0075404D"/>
    <w:rsid w:val="0076182A"/>
    <w:rsid w:val="00767B7E"/>
    <w:rsid w:val="007770C3"/>
    <w:rsid w:val="00784D24"/>
    <w:rsid w:val="00785FBA"/>
    <w:rsid w:val="00786E4A"/>
    <w:rsid w:val="007875EB"/>
    <w:rsid w:val="0079426B"/>
    <w:rsid w:val="007A692D"/>
    <w:rsid w:val="007C3D08"/>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70CF"/>
    <w:rsid w:val="00850625"/>
    <w:rsid w:val="00853718"/>
    <w:rsid w:val="00855221"/>
    <w:rsid w:val="00860645"/>
    <w:rsid w:val="00871F71"/>
    <w:rsid w:val="00872FD8"/>
    <w:rsid w:val="00885AF4"/>
    <w:rsid w:val="008939CD"/>
    <w:rsid w:val="008A357B"/>
    <w:rsid w:val="008A6561"/>
    <w:rsid w:val="008A7D08"/>
    <w:rsid w:val="008B768C"/>
    <w:rsid w:val="008C4DB1"/>
    <w:rsid w:val="008C4EAF"/>
    <w:rsid w:val="008C5176"/>
    <w:rsid w:val="008C7FD0"/>
    <w:rsid w:val="008E1DE7"/>
    <w:rsid w:val="008E707C"/>
    <w:rsid w:val="008F0E3F"/>
    <w:rsid w:val="00900B08"/>
    <w:rsid w:val="00902155"/>
    <w:rsid w:val="00902FA3"/>
    <w:rsid w:val="009210EE"/>
    <w:rsid w:val="00923564"/>
    <w:rsid w:val="0092392E"/>
    <w:rsid w:val="00926C3D"/>
    <w:rsid w:val="009315F9"/>
    <w:rsid w:val="00933499"/>
    <w:rsid w:val="00935C98"/>
    <w:rsid w:val="00946945"/>
    <w:rsid w:val="00951248"/>
    <w:rsid w:val="0095152F"/>
    <w:rsid w:val="00954C49"/>
    <w:rsid w:val="00955E37"/>
    <w:rsid w:val="0097099F"/>
    <w:rsid w:val="00971997"/>
    <w:rsid w:val="00971FFC"/>
    <w:rsid w:val="00974CED"/>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89E"/>
    <w:rsid w:val="00A56DF2"/>
    <w:rsid w:val="00A56E6E"/>
    <w:rsid w:val="00A67AB5"/>
    <w:rsid w:val="00A733B2"/>
    <w:rsid w:val="00A741C2"/>
    <w:rsid w:val="00A81AE2"/>
    <w:rsid w:val="00A91760"/>
    <w:rsid w:val="00A93B00"/>
    <w:rsid w:val="00A93C21"/>
    <w:rsid w:val="00A956E0"/>
    <w:rsid w:val="00A96B60"/>
    <w:rsid w:val="00AA4AF0"/>
    <w:rsid w:val="00AB64C9"/>
    <w:rsid w:val="00AB6C03"/>
    <w:rsid w:val="00AC3C6A"/>
    <w:rsid w:val="00AD0C25"/>
    <w:rsid w:val="00AD5620"/>
    <w:rsid w:val="00AD656B"/>
    <w:rsid w:val="00AD7C1B"/>
    <w:rsid w:val="00AE16BA"/>
    <w:rsid w:val="00AE1EBE"/>
    <w:rsid w:val="00B03C9D"/>
    <w:rsid w:val="00B055AE"/>
    <w:rsid w:val="00B060AE"/>
    <w:rsid w:val="00B10517"/>
    <w:rsid w:val="00B14E76"/>
    <w:rsid w:val="00B161B8"/>
    <w:rsid w:val="00B1778A"/>
    <w:rsid w:val="00B2048C"/>
    <w:rsid w:val="00B310B9"/>
    <w:rsid w:val="00B35F3F"/>
    <w:rsid w:val="00B36CBB"/>
    <w:rsid w:val="00B425E0"/>
    <w:rsid w:val="00B43C31"/>
    <w:rsid w:val="00B440AA"/>
    <w:rsid w:val="00B44B70"/>
    <w:rsid w:val="00B53C56"/>
    <w:rsid w:val="00B54CCA"/>
    <w:rsid w:val="00B57DAF"/>
    <w:rsid w:val="00B714BE"/>
    <w:rsid w:val="00B77EA6"/>
    <w:rsid w:val="00B81598"/>
    <w:rsid w:val="00B841F1"/>
    <w:rsid w:val="00B944D6"/>
    <w:rsid w:val="00BB4DF0"/>
    <w:rsid w:val="00BC289F"/>
    <w:rsid w:val="00BC2D50"/>
    <w:rsid w:val="00BC5361"/>
    <w:rsid w:val="00BC5460"/>
    <w:rsid w:val="00BC6B50"/>
    <w:rsid w:val="00BD0E25"/>
    <w:rsid w:val="00BF5BD6"/>
    <w:rsid w:val="00C03E31"/>
    <w:rsid w:val="00C16898"/>
    <w:rsid w:val="00C22BD0"/>
    <w:rsid w:val="00C33926"/>
    <w:rsid w:val="00C33E72"/>
    <w:rsid w:val="00C354B2"/>
    <w:rsid w:val="00C35554"/>
    <w:rsid w:val="00C42709"/>
    <w:rsid w:val="00C533CC"/>
    <w:rsid w:val="00C55750"/>
    <w:rsid w:val="00C5751C"/>
    <w:rsid w:val="00C61BFC"/>
    <w:rsid w:val="00C62B85"/>
    <w:rsid w:val="00C65438"/>
    <w:rsid w:val="00C87FD8"/>
    <w:rsid w:val="00C91381"/>
    <w:rsid w:val="00C91CBB"/>
    <w:rsid w:val="00CB4E70"/>
    <w:rsid w:val="00CC09B6"/>
    <w:rsid w:val="00CC666F"/>
    <w:rsid w:val="00CD1E3F"/>
    <w:rsid w:val="00CE3FDA"/>
    <w:rsid w:val="00CE44F6"/>
    <w:rsid w:val="00CE49DA"/>
    <w:rsid w:val="00CE7B61"/>
    <w:rsid w:val="00D00095"/>
    <w:rsid w:val="00D114F0"/>
    <w:rsid w:val="00D20620"/>
    <w:rsid w:val="00D254F7"/>
    <w:rsid w:val="00D26091"/>
    <w:rsid w:val="00D2685C"/>
    <w:rsid w:val="00D34E7C"/>
    <w:rsid w:val="00D35489"/>
    <w:rsid w:val="00D36AFE"/>
    <w:rsid w:val="00D51276"/>
    <w:rsid w:val="00D54B53"/>
    <w:rsid w:val="00D7035F"/>
    <w:rsid w:val="00DA634F"/>
    <w:rsid w:val="00DA65AC"/>
    <w:rsid w:val="00DB1913"/>
    <w:rsid w:val="00DC410D"/>
    <w:rsid w:val="00DC5A81"/>
    <w:rsid w:val="00DC68CA"/>
    <w:rsid w:val="00DC7CBA"/>
    <w:rsid w:val="00DD1E92"/>
    <w:rsid w:val="00DD73B7"/>
    <w:rsid w:val="00DE2CC3"/>
    <w:rsid w:val="00DF28BC"/>
    <w:rsid w:val="00DF34B9"/>
    <w:rsid w:val="00E01053"/>
    <w:rsid w:val="00E07ACF"/>
    <w:rsid w:val="00E331A1"/>
    <w:rsid w:val="00E33202"/>
    <w:rsid w:val="00E336A9"/>
    <w:rsid w:val="00E4643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154"/>
    <w:rsid w:val="00F754A1"/>
    <w:rsid w:val="00F81FD9"/>
    <w:rsid w:val="00F841AA"/>
    <w:rsid w:val="00F84A94"/>
    <w:rsid w:val="00F87E96"/>
    <w:rsid w:val="00FA23E8"/>
    <w:rsid w:val="00FD3CC1"/>
    <w:rsid w:val="00FE5729"/>
    <w:rsid w:val="00FF1E02"/>
    <w:rsid w:val="00FF30B4"/>
    <w:rsid w:val="05777FD5"/>
    <w:rsid w:val="066E0107"/>
    <w:rsid w:val="07996F6E"/>
    <w:rsid w:val="0A2032A3"/>
    <w:rsid w:val="0A3173CB"/>
    <w:rsid w:val="0D362B3D"/>
    <w:rsid w:val="101860EC"/>
    <w:rsid w:val="10C055FF"/>
    <w:rsid w:val="118107EC"/>
    <w:rsid w:val="13D50BC4"/>
    <w:rsid w:val="16BB723D"/>
    <w:rsid w:val="170F76DE"/>
    <w:rsid w:val="1BE8440E"/>
    <w:rsid w:val="1D155CEE"/>
    <w:rsid w:val="23860B96"/>
    <w:rsid w:val="240371BF"/>
    <w:rsid w:val="266A7468"/>
    <w:rsid w:val="283B705A"/>
    <w:rsid w:val="29FD04D3"/>
    <w:rsid w:val="2C8A61B5"/>
    <w:rsid w:val="2CD32760"/>
    <w:rsid w:val="2DF04E50"/>
    <w:rsid w:val="319F7F4E"/>
    <w:rsid w:val="33F77C0F"/>
    <w:rsid w:val="36AA5135"/>
    <w:rsid w:val="37E16F03"/>
    <w:rsid w:val="3C035D77"/>
    <w:rsid w:val="3D98207C"/>
    <w:rsid w:val="42F73007"/>
    <w:rsid w:val="44E268DA"/>
    <w:rsid w:val="45B07249"/>
    <w:rsid w:val="48E01D68"/>
    <w:rsid w:val="491552D0"/>
    <w:rsid w:val="4A627F82"/>
    <w:rsid w:val="4B4F25DA"/>
    <w:rsid w:val="4BE068DB"/>
    <w:rsid w:val="4D577224"/>
    <w:rsid w:val="4E2D2F43"/>
    <w:rsid w:val="4EAB630A"/>
    <w:rsid w:val="4ECE2238"/>
    <w:rsid w:val="56105D44"/>
    <w:rsid w:val="589615F7"/>
    <w:rsid w:val="5AF92295"/>
    <w:rsid w:val="5CD71FC4"/>
    <w:rsid w:val="67C44FE1"/>
    <w:rsid w:val="6C4A05C8"/>
    <w:rsid w:val="6E7E3605"/>
    <w:rsid w:val="6ED53E64"/>
    <w:rsid w:val="6FF5CC65"/>
    <w:rsid w:val="715C0E4B"/>
    <w:rsid w:val="72734D90"/>
    <w:rsid w:val="73AD73D5"/>
    <w:rsid w:val="73B6EB34"/>
    <w:rsid w:val="78A0671A"/>
    <w:rsid w:val="79EE5BA4"/>
    <w:rsid w:val="7A894339"/>
    <w:rsid w:val="7AA22572"/>
    <w:rsid w:val="7D8548D7"/>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[2021决算公开图表.xls]Sheet1!$B$58:$C$58</c:f>
              <c:numCache>
                <c:formatCode>General</c:formatCode>
                <c:ptCount val="2"/>
                <c:pt idx="0">
                  <c:v>2020</c:v>
                </c:pt>
                <c:pt idx="1">
                  <c:v>2021</c:v>
                </c:pt>
              </c:numCache>
            </c:numRef>
          </c:cat>
          <c:val>
            <c:numRef>
              <c:f>[2021决算公开图表.xls]Sheet1!$B$59:$C$59</c:f>
              <c:numCache>
                <c:formatCode>General</c:formatCode>
                <c:ptCount val="2"/>
                <c:pt idx="0">
                  <c:v>1384.03</c:v>
                </c:pt>
                <c:pt idx="1">
                  <c:v>2023.66</c:v>
                </c:pt>
              </c:numCache>
            </c:numRef>
          </c:val>
        </c:ser>
        <c:dLbls>
          <c:showLegendKey val="0"/>
          <c:showVal val="1"/>
          <c:showCatName val="0"/>
          <c:showSerName val="0"/>
          <c:showPercent val="0"/>
          <c:showBubbleSize val="0"/>
        </c:dLbls>
        <c:gapWidth val="150"/>
        <c:axId val="121763328"/>
        <c:axId val="121764864"/>
      </c:barChart>
      <c:catAx>
        <c:axId val="121763328"/>
        <c:scaling>
          <c:orientation val="minMax"/>
        </c:scaling>
        <c:delete val="0"/>
        <c:axPos val="b"/>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121764864"/>
        <c:crosses val="autoZero"/>
        <c:auto val="1"/>
        <c:lblAlgn val="ctr"/>
        <c:lblOffset val="100"/>
        <c:noMultiLvlLbl val="0"/>
      </c:catAx>
      <c:valAx>
        <c:axId val="121764864"/>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121763328"/>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446331767256"/>
          <c:y val="0.507475083056478"/>
          <c:w val="0.198530297554512"/>
          <c:h val="0.13164451827242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44c0e49-d538-451a-90eb-e64abd8bfe2c}"/>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Pt>
            <c:idx val="5"/>
            <c:bubble3D val="0"/>
            <c:spPr>
              <a:solidFill>
                <a:srgbClr val="FF8080"/>
              </a:solidFill>
              <a:ln w="12700">
                <a:solidFill>
                  <a:srgbClr val="000000">
                    <a:alpha val="100000"/>
                  </a:srgbClr>
                </a:solidFill>
                <a:prstDash val="solid"/>
              </a:ln>
              <a:effectLst/>
            </c:spPr>
          </c:dPt>
          <c:dLbls>
            <c:dLbl>
              <c:idx val="0"/>
              <c:layout>
                <c:manualLayout>
                  <c:x val="-0.190744187484142"/>
                  <c:y val="-0.080902099775814"/>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1515.21</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98.19</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205760074367352"/>
                  <c:y val="0.136405998345324"/>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0</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0</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235641444179335"/>
                  <c:y val="0.117383297288537"/>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248401294820889"/>
                  <c:y val="0.23313780266468"/>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r>
                      <a:t>28, </a:t>
                    </a:r>
                    <a:r>
                      <a:rPr lang="en-US" altLang="zh-CN"/>
                      <a:t>1.81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[2021决算公开图表.xls]Sheet1!$C$3:$C$8</c:f>
              <c:numCache>
                <c:formatCode>General</c:formatCode>
                <c:ptCount val="6"/>
                <c:pt idx="0">
                  <c:v>1515.21</c:v>
                </c:pt>
                <c:pt idx="2">
                  <c:v>0</c:v>
                </c:pt>
                <c:pt idx="3">
                  <c:v>0</c:v>
                </c:pt>
                <c:pt idx="4">
                  <c:v>0</c:v>
                </c:pt>
                <c:pt idx="5">
                  <c:v>28</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[2021决算公开图表.xls]Sheet1!$D$3:$D$8</c:f>
              <c:numCache>
                <c:formatCode>0.00%</c:formatCode>
                <c:ptCount val="6"/>
                <c:pt idx="0">
                  <c:v>0.9819</c:v>
                </c:pt>
                <c:pt idx="2" c:formatCode="0%">
                  <c:v>0</c:v>
                </c:pt>
                <c:pt idx="3" c:formatCode="0%">
                  <c:v>0</c:v>
                </c:pt>
                <c:pt idx="4" c:formatCode="0%">
                  <c:v>0</c:v>
                </c:pt>
                <c:pt idx="5" c:formatCode="0%">
                  <c:v>0.0181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133311573235"/>
          <c:y val="0.147152844473626"/>
          <c:w val="0.33453787352328"/>
          <c:h val="0.74928774928774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a802fdd4-48c8-4ee5-bf86-ce995d1cbd1b}"/>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2"/>
              <c:layout>
                <c:manualLayout>
                  <c:x val="-0.103207810320781"/>
                  <c:y val="0"/>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[2021决算公开图表.xls]Sheet1!$C$34:$C$38</c:f>
              <c:numCache>
                <c:formatCode>General</c:formatCode>
                <c:ptCount val="5"/>
                <c:pt idx="0">
                  <c:v>1100.29</c:v>
                </c:pt>
                <c:pt idx="1">
                  <c:v>923.37</c:v>
                </c:pt>
                <c:pt idx="2">
                  <c:v>0</c:v>
                </c:pt>
                <c:pt idx="3">
                  <c:v>0</c:v>
                </c:pt>
                <c:pt idx="4">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[2021决算公开图表.xls]Sheet1!$D$34:$D$38</c:f>
              <c:numCache>
                <c:formatCode>0.00%</c:formatCode>
                <c:ptCount val="5"/>
                <c:pt idx="0">
                  <c:v>0.5437</c:v>
                </c:pt>
                <c:pt idx="1">
                  <c:v>0.4563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6955317355174"/>
          <c:y val="0.417464114832536"/>
          <c:w val="0.23726363964832"/>
          <c:h val="0.54976076555023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cb20053-ca18-4f22-89f1-5cfe09f40f2c}"/>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[2021决算公开图表.xls]Sheet1!$B$167:$C$167</c:f>
              <c:strCache>
                <c:ptCount val="2"/>
                <c:pt idx="0">
                  <c:v>2020年</c:v>
                </c:pt>
                <c:pt idx="1">
                  <c:v>2021年</c:v>
                </c:pt>
              </c:strCache>
            </c:strRef>
          </c:cat>
          <c:val>
            <c:numRef>
              <c:f>[2021决算公开图表.xls]Sheet1!$B$168:$C$168</c:f>
              <c:numCache>
                <c:formatCode>General</c:formatCode>
                <c:ptCount val="2"/>
                <c:pt idx="0">
                  <c:v>1384.03</c:v>
                </c:pt>
                <c:pt idx="1">
                  <c:v>1995.66</c:v>
                </c:pt>
              </c:numCache>
            </c:numRef>
          </c:val>
        </c:ser>
        <c:dLbls>
          <c:showLegendKey val="0"/>
          <c:showVal val="1"/>
          <c:showCatName val="0"/>
          <c:showSerName val="0"/>
          <c:showPercent val="0"/>
          <c:showBubbleSize val="0"/>
        </c:dLbls>
        <c:gapWidth val="150"/>
        <c:axId val="80331136"/>
        <c:axId val="80332672"/>
      </c:barChart>
      <c:catAx>
        <c:axId val="80331136"/>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332672"/>
        <c:crosses val="autoZero"/>
        <c:auto val="1"/>
        <c:lblAlgn val="ctr"/>
        <c:lblOffset val="100"/>
        <c:noMultiLvlLbl val="0"/>
      </c:catAx>
      <c:valAx>
        <c:axId val="8033267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331136"/>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458423716558"/>
          <c:y val="0.504281416338811"/>
          <c:w val="0.290551940226561"/>
          <c:h val="0.261513538532747"/>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ade42c4-8a14-46e1-8aca-e9b530e008a1}"/>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[2021决算公开图表.xls]Sheet1!$B$84:$C$84</c:f>
              <c:strCache>
                <c:ptCount val="2"/>
                <c:pt idx="0">
                  <c:v>2020年</c:v>
                </c:pt>
                <c:pt idx="1">
                  <c:v>2021年</c:v>
                </c:pt>
              </c:strCache>
            </c:strRef>
          </c:cat>
          <c:val>
            <c:numRef>
              <c:f>[2021决算公开图表.xls]Sheet1!$B$85:$C$85</c:f>
              <c:numCache>
                <c:formatCode>General</c:formatCode>
                <c:ptCount val="2"/>
                <c:pt idx="0">
                  <c:v>1384.03</c:v>
                </c:pt>
                <c:pt idx="1">
                  <c:v>1995.66</c:v>
                </c:pt>
              </c:numCache>
            </c:numRef>
          </c:val>
        </c:ser>
        <c:dLbls>
          <c:showLegendKey val="0"/>
          <c:showVal val="1"/>
          <c:showCatName val="0"/>
          <c:showSerName val="0"/>
          <c:showPercent val="0"/>
          <c:showBubbleSize val="0"/>
        </c:dLbls>
        <c:gapWidth val="150"/>
        <c:axId val="80557952"/>
        <c:axId val="80559488"/>
      </c:barChart>
      <c:catAx>
        <c:axId val="80557952"/>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559488"/>
        <c:crosses val="autoZero"/>
        <c:auto val="1"/>
        <c:lblAlgn val="ctr"/>
        <c:lblOffset val="100"/>
        <c:noMultiLvlLbl val="0"/>
      </c:catAx>
      <c:valAx>
        <c:axId val="80559488"/>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557952"/>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78713408023131"/>
          <c:y val="0.505763349800046"/>
          <c:w val="0.315263221298639"/>
          <c:h val="0.268407433545048"/>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90f74ef4-5827-4419-a7dc-e6b89e7d5416}"/>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1213656068234"/>
          <c:y val="0.0150384684711105"/>
        </c:manualLayout>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chemeClr val="accent2"/>
              </a:solidFill>
              <a:ln w="12700">
                <a:solidFill>
                  <a:srgbClr val="000000">
                    <a:alpha val="100000"/>
                  </a:srgbClr>
                </a:solidFill>
                <a:prstDash val="solid"/>
              </a:ln>
              <a:effectLst/>
            </c:spPr>
          </c:dPt>
          <c:dPt>
            <c:idx val="5"/>
            <c:bubble3D val="0"/>
            <c:spPr>
              <a:solidFill>
                <a:schemeClr val="accent6"/>
              </a:solidFill>
              <a:ln w="12700">
                <a:solidFill>
                  <a:srgbClr val="000000">
                    <a:alpha val="100000"/>
                  </a:srgbClr>
                </a:solidFill>
                <a:prstDash val="solid"/>
              </a:ln>
              <a:effectLst/>
            </c:spPr>
          </c:dPt>
          <c:dLbls>
            <c:dLbl>
              <c:idx val="1"/>
              <c:layout>
                <c:manualLayout>
                  <c:x val="-0.0453240191929316"/>
                  <c:y val="0.264323629181464"/>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32767999106188"/>
                  <c:y val="0.115058080159677"/>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188974314752653"/>
                  <c:y val="0.023698877302823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332505263817581"/>
                  <c:y val="0.10490775197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[2021决算公开图表.xls]Sheet1!$A$110:$A$115</c:f>
              <c:strCache>
                <c:ptCount val="6"/>
                <c:pt idx="0">
                  <c:v>一般公共服务支出</c:v>
                </c:pt>
                <c:pt idx="1">
                  <c:v>社会保障和就业支出</c:v>
                </c:pt>
                <c:pt idx="2">
                  <c:v>住房保障支出</c:v>
                </c:pt>
                <c:pt idx="3">
                  <c:v>农林水支出</c:v>
                </c:pt>
                <c:pt idx="4">
                  <c:v>卫生健康支出</c:v>
                </c:pt>
                <c:pt idx="5">
                  <c:v>其他支出</c:v>
                </c:pt>
              </c:strCache>
            </c:strRef>
          </c:cat>
          <c:val>
            <c:numRef>
              <c:f>[2021决算公开图表.xls]Sheet1!$B$110:$B$115</c:f>
              <c:numCache>
                <c:formatCode>General</c:formatCode>
                <c:ptCount val="6"/>
                <c:pt idx="0">
                  <c:v>1662.42</c:v>
                </c:pt>
                <c:pt idx="1">
                  <c:v>139.06</c:v>
                </c:pt>
                <c:pt idx="2">
                  <c:v>92.8</c:v>
                </c:pt>
                <c:pt idx="3">
                  <c:v>2</c:v>
                </c:pt>
                <c:pt idx="4">
                  <c:v>63.56</c:v>
                </c:pt>
                <c:pt idx="5">
                  <c:v>35.81</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993366"/>
              </a:solidFill>
              <a:ln w="12700">
                <a:solidFill>
                  <a:srgbClr val="000000"/>
                </a:solidFill>
                <a:prstDash val="solid"/>
              </a:ln>
              <a:effectLst/>
            </c:spPr>
          </c:dPt>
          <c:dPt>
            <c:idx val="5"/>
            <c:bubble3D val="0"/>
            <c:spPr>
              <a:solidFill>
                <a:srgbClr val="993366"/>
              </a:solidFill>
              <a:ln w="12700">
                <a:solidFill>
                  <a:srgbClr val="000000"/>
                </a:solidFill>
                <a:prstDash val="solid"/>
              </a:ln>
              <a:effectLst/>
            </c:spPr>
          </c:dPt>
          <c:dLbls>
            <c:delete val="1"/>
          </c:dLbls>
          <c:cat>
            <c:strRef>
              <c:f>[2021决算公开图表.xls]Sheet1!$A$110:$A$115</c:f>
              <c:strCache>
                <c:ptCount val="6"/>
                <c:pt idx="0">
                  <c:v>一般公共服务支出</c:v>
                </c:pt>
                <c:pt idx="1">
                  <c:v>社会保障和就业支出</c:v>
                </c:pt>
                <c:pt idx="2">
                  <c:v>住房保障支出</c:v>
                </c:pt>
                <c:pt idx="3">
                  <c:v>农林水支出</c:v>
                </c:pt>
                <c:pt idx="4">
                  <c:v>卫生健康支出</c:v>
                </c:pt>
                <c:pt idx="5">
                  <c:v>其他支出</c:v>
                </c:pt>
              </c:strCache>
            </c:strRef>
          </c:cat>
          <c:val>
            <c:numRef>
              <c:f>[2021决算公开图表.xls]Sheet1!$C$110:$C$115</c:f>
              <c:numCache>
                <c:formatCode>0.00%</c:formatCode>
                <c:ptCount val="6"/>
                <c:pt idx="0">
                  <c:v>0.8331</c:v>
                </c:pt>
                <c:pt idx="1">
                  <c:v>0.0697000000000001</c:v>
                </c:pt>
                <c:pt idx="2">
                  <c:v>0.0465</c:v>
                </c:pt>
                <c:pt idx="3">
                  <c:v>0.001</c:v>
                </c:pt>
                <c:pt idx="4">
                  <c:v>0.0318</c:v>
                </c:pt>
                <c:pt idx="5">
                  <c:v>0.0179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569482945643"/>
          <c:y val="0.308099627377917"/>
          <c:w val="0.238760997951067"/>
          <c:h val="0.644243969405766"/>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d169b4a-71e6-4230-a3bc-48a09149b40d}"/>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7</a:t>
            </a:r>
            <a:r>
              <a:rPr sz="1400" b="0" i="0" u="none" strike="noStrike" baseline="0">
                <a:solidFill>
                  <a:srgbClr val="000000"/>
                </a:solidFill>
                <a:latin typeface="宋体" panose="02010600030101010101" charset="-122"/>
                <a:ea typeface="宋体" panose="02010600030101010101" charset="-122"/>
                <a:cs typeface="宋体" panose="02010600030101010101" charset="-122"/>
              </a:rPr>
              <a:t>  “三公”经费财政拨款支出结构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67368596216539"/>
          <c:y val="0.0221606648199446"/>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Lbls>
            <c:dLbl>
              <c:idx val="0"/>
              <c:layout>
                <c:manualLayout>
                  <c:x val="-0.227634569659948"/>
                  <c:y val="0.2034862227516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45872001928408"/>
                  <c:y val="0.1146895273401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[2021决算公开图表.xls]Sheet1!$B$138:$B$140</c:f>
              <c:strCache>
                <c:ptCount val="3"/>
                <c:pt idx="0">
                  <c:v>因公出国（境）费支出</c:v>
                </c:pt>
                <c:pt idx="1">
                  <c:v>公务用车购置及运行维护费支出</c:v>
                </c:pt>
                <c:pt idx="2">
                  <c:v>公务接待费支出</c:v>
                </c:pt>
              </c:strCache>
            </c:strRef>
          </c:cat>
          <c:val>
            <c:numRef>
              <c:f>[2021决算公开图表.xls]Sheet1!$C$138:$C$140</c:f>
              <c:numCache>
                <c:formatCode>General</c:formatCode>
                <c:ptCount val="3"/>
                <c:pt idx="0">
                  <c:v>0</c:v>
                </c:pt>
                <c:pt idx="1">
                  <c:v>18</c:v>
                </c:pt>
                <c:pt idx="2">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Lbls>
            <c:delete val="1"/>
          </c:dLbls>
          <c:cat>
            <c:strRef>
              <c:f>[2021决算公开图表.xls]Sheet1!$B$138:$B$140</c:f>
              <c:strCache>
                <c:ptCount val="3"/>
                <c:pt idx="0">
                  <c:v>因公出国（境）费支出</c:v>
                </c:pt>
                <c:pt idx="1">
                  <c:v>公务用车购置及运行维护费支出</c:v>
                </c:pt>
                <c:pt idx="2">
                  <c:v>公务接待费支出</c:v>
                </c:pt>
              </c:strCache>
            </c:strRef>
          </c:cat>
          <c:val>
            <c:numRef>
              <c:f>[2021决算公开图表.xls]Sheet1!$D$138:$D$140</c:f>
              <c:numCache>
                <c:formatCode>General</c:formatCode>
                <c:ptCount val="3"/>
                <c:pt idx="0">
                  <c:v>0</c:v>
                </c:pt>
                <c:pt idx="1" c:formatCode="0%">
                  <c:v>1</c:v>
                </c:pt>
                <c:pt idx="2"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5538146317946"/>
          <c:y val="0.400602409638554"/>
          <c:w val="0.338556104616126"/>
          <c:h val="0.507645968489342"/>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194eac06-6320-4e17-856f-57f0012f8c38}"/>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59</Pages>
  <Words>534</Words>
  <Characters>574</Characters>
  <Lines>39</Lines>
  <Paragraphs>60</Paragraphs>
  <TotalTime>0</TotalTime>
  <ScaleCrop>false</ScaleCrop>
  <LinksUpToDate>false</LinksUpToDate>
  <CharactersWithSpaces>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川川</cp:lastModifiedBy>
  <cp:lastPrinted>2022-08-08T09:11:00Z</cp:lastPrinted>
  <dcterms:modified xsi:type="dcterms:W3CDTF">2025-01-15T09:22:35Z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eyJoZGlkIjoiZWIxNGMxNmU1OWJiYTg3Y2M2YzhkYjU1YjFiNTUxNzkiLCJ1c2VySWQiOiI1NDQ2NTQyNDcifQ==</vt:lpwstr>
  </property>
  <property fmtid="{D5CDD505-2E9C-101B-9397-08002B2CF9AE}" pid="4" name="ICV">
    <vt:lpwstr>FBF72B4BB2034737AE449473A59E20EC_12</vt:lpwstr>
  </property>
</Properties>
</file>