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0"/>
        <w:rPr>
          <w:rFonts w:ascii="方正小标宋简体" w:hAnsi="宋体" w:eastAsia="方正小标宋简体"/>
          <w:color w:val="000000"/>
          <w:sz w:val="72"/>
          <w:szCs w:val="72"/>
        </w:rPr>
      </w:pPr>
      <w:bookmarkStart w:id="0" w:name="_Toc15306267"/>
    </w:p>
    <w:p>
      <w:pPr>
        <w:pStyle w:val="14"/>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tabs>
          <w:tab w:val="left" w:pos="3369"/>
          <w:tab w:val="center" w:pos="4213"/>
        </w:tabs>
        <w:spacing w:line="360" w:lineRule="auto"/>
        <w:jc w:val="left"/>
        <w:outlineLvl w:val="0"/>
        <w:rPr>
          <w:rFonts w:ascii="方正小标宋简体" w:hAnsi="宋体" w:eastAsia="方正小标宋简体"/>
          <w:color w:val="000000"/>
          <w:sz w:val="72"/>
          <w:szCs w:val="72"/>
        </w:rPr>
      </w:pPr>
      <w:bookmarkStart w:id="1" w:name="_Toc15396475"/>
      <w:bookmarkStart w:id="2" w:name="_Toc52180062"/>
      <w:bookmarkStart w:id="3" w:name="_Toc15377425"/>
      <w:bookmarkStart w:id="4" w:name="_Toc15377193"/>
      <w:bookmarkStart w:id="5" w:name="_Toc15396597"/>
      <w:bookmarkStart w:id="6" w:name="_Toc15378441"/>
      <w:r>
        <w:rPr>
          <w:rFonts w:ascii="方正小标宋简体" w:hAnsi="宋体" w:eastAsia="方正小标宋简体"/>
          <w:color w:val="000000"/>
          <w:sz w:val="72"/>
          <w:szCs w:val="72"/>
        </w:rPr>
        <w:tab/>
      </w:r>
      <w:r>
        <w:rPr>
          <w:rFonts w:ascii="方正小标宋简体" w:hAnsi="宋体" w:eastAsia="方正小标宋简体"/>
          <w:color w:val="000000"/>
          <w:sz w:val="72"/>
          <w:szCs w:val="72"/>
        </w:rPr>
        <w:t>2021</w:t>
      </w:r>
      <w:r>
        <w:rPr>
          <w:rFonts w:ascii="方正小标宋简体" w:hAnsi="宋体" w:eastAsia="方正小标宋简体"/>
          <w:color w:val="000000"/>
          <w:sz w:val="72"/>
          <w:szCs w:val="72"/>
        </w:rPr>
        <w:tab/>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spacing w:line="360" w:lineRule="auto"/>
        <w:jc w:val="center"/>
        <w:outlineLvl w:val="0"/>
        <w:rPr>
          <w:rFonts w:hint="eastAsia" w:ascii="方正小标宋简体" w:hAnsi="宋体" w:eastAsia="方正小标宋简体"/>
          <w:color w:val="000000"/>
          <w:sz w:val="72"/>
          <w:szCs w:val="72"/>
          <w:lang w:val="en-US" w:eastAsia="zh-CN"/>
        </w:rPr>
      </w:pPr>
      <w:bookmarkStart w:id="7" w:name="_Toc15396476"/>
      <w:bookmarkStart w:id="8" w:name="_Toc15377194"/>
      <w:bookmarkStart w:id="9" w:name="_Toc15396598"/>
      <w:bookmarkStart w:id="10" w:name="_Toc52180063"/>
      <w:bookmarkStart w:id="11" w:name="_Toc15377426"/>
      <w:bookmarkStart w:id="12" w:name="_Toc15378442"/>
      <w:r>
        <w:rPr>
          <w:rFonts w:hint="eastAsia" w:ascii="方正小标宋简体" w:hAnsi="宋体" w:eastAsia="方正小标宋简体"/>
          <w:color w:val="000000"/>
          <w:sz w:val="72"/>
          <w:szCs w:val="72"/>
        </w:rPr>
        <w:t>盐边县</w:t>
      </w:r>
      <w:bookmarkEnd w:id="0"/>
      <w:bookmarkStart w:id="13" w:name="_Toc15306268"/>
      <w:r>
        <w:rPr>
          <w:rFonts w:hint="eastAsia" w:ascii="方正小标宋简体" w:hAnsi="宋体" w:eastAsia="方正小标宋简体"/>
          <w:color w:val="000000"/>
          <w:sz w:val="72"/>
          <w:szCs w:val="72"/>
        </w:rPr>
        <w:t>文化广播电视和旅游局部门决算</w:t>
      </w:r>
      <w:bookmarkEnd w:id="7"/>
      <w:bookmarkEnd w:id="8"/>
      <w:bookmarkEnd w:id="9"/>
      <w:bookmarkEnd w:id="10"/>
      <w:bookmarkEnd w:id="11"/>
      <w:bookmarkEnd w:id="12"/>
      <w:bookmarkEnd w:id="13"/>
      <w:r>
        <w:rPr>
          <w:rFonts w:hint="eastAsia" w:ascii="方正小标宋简体" w:hAnsi="宋体" w:eastAsia="方正小标宋简体"/>
          <w:color w:val="000000"/>
          <w:sz w:val="72"/>
          <w:szCs w:val="72"/>
          <w:lang w:val="en-US" w:eastAsia="zh-CN"/>
        </w:rPr>
        <w:t>(汇总）</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clear="all"/>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23"/>
      </w:pPr>
      <w:r>
        <w:rPr>
          <w:rFonts w:hint="eastAsia"/>
        </w:rPr>
        <w:t>公开时间：</w:t>
      </w:r>
      <w:r>
        <w:t xml:space="preserve">2022 </w:t>
      </w:r>
      <w:r>
        <w:rPr>
          <w:rFonts w:hint="eastAsia"/>
        </w:rPr>
        <w:t>年</w:t>
      </w:r>
      <w:r>
        <w:t>10</w:t>
      </w:r>
      <w:r>
        <w:rPr>
          <w:rFonts w:hint="eastAsia"/>
        </w:rPr>
        <w:t>月</w:t>
      </w:r>
      <w:r>
        <w:t>2</w:t>
      </w:r>
      <w:r>
        <w:rPr>
          <w:rFonts w:hint="eastAsia"/>
          <w:lang w:val="en-US" w:eastAsia="zh-CN"/>
        </w:rPr>
        <w:t>6</w:t>
      </w:r>
      <w:r>
        <w:rPr>
          <w:rFonts w:hint="eastAsia"/>
        </w:rPr>
        <w:t>日</w:t>
      </w:r>
    </w:p>
    <w:p>
      <w:pPr>
        <w:pStyle w:val="198"/>
        <w:spacing w:before="0" w:line="240" w:lineRule="auto"/>
        <w:rPr>
          <w:color w:val="auto"/>
        </w:rPr>
      </w:pPr>
      <w:r>
        <w:t xml:space="preserve"> </w:t>
      </w:r>
      <w:r>
        <w:fldChar w:fldCharType="begin"/>
      </w:r>
      <w:r>
        <w:instrText xml:space="preserve"> TOC \o "1-3" \h \z \u </w:instrText>
      </w:r>
      <w:r>
        <w:fldChar w:fldCharType="separate"/>
      </w:r>
      <w:r>
        <w:rPr>
          <w:color w:val="auto"/>
        </w:rPr>
        <w:fldChar w:fldCharType="begin"/>
      </w:r>
      <w:r>
        <w:rPr>
          <w:color w:val="auto"/>
        </w:rPr>
        <w:instrText xml:space="preserve"> TOC \o "1-3" \h \z \u </w:instrText>
      </w:r>
      <w:r>
        <w:rPr>
          <w:color w:val="auto"/>
        </w:rPr>
        <w:fldChar w:fldCharType="separate"/>
      </w:r>
    </w:p>
    <w:p>
      <w:pPr>
        <w:pStyle w:val="23"/>
        <w:rPr>
          <w:rFonts w:ascii="Calibri" w:hAnsi="Calibri" w:eastAsia="宋体"/>
          <w:sz w:val="21"/>
          <w:szCs w:val="22"/>
        </w:rPr>
      </w:pPr>
      <w:r>
        <w:fldChar w:fldCharType="begin"/>
      </w:r>
      <w:r>
        <w:instrText xml:space="preserve"> HYPERLINK \l "_Toc52180065" </w:instrText>
      </w:r>
      <w:r>
        <w:fldChar w:fldCharType="separate"/>
      </w:r>
      <w:r>
        <w:rPr>
          <w:rStyle w:val="37"/>
          <w:rFonts w:hint="eastAsia" w:ascii="黑体" w:hAnsi="黑体" w:eastAsia="黑体"/>
          <w:color w:val="auto"/>
        </w:rPr>
        <w:t>第一部分部门概况</w:t>
      </w:r>
      <w:r>
        <w:tab/>
      </w:r>
      <w:r>
        <w:fldChar w:fldCharType="begin"/>
      </w:r>
      <w:r>
        <w:instrText xml:space="preserve"> PAGEREF _Toc52180065 \h </w:instrText>
      </w:r>
      <w:r>
        <w:fldChar w:fldCharType="separate"/>
      </w:r>
      <w:r>
        <w:t>4</w:t>
      </w:r>
      <w:r>
        <w:fldChar w:fldCharType="end"/>
      </w:r>
      <w:r>
        <w:fldChar w:fldCharType="end"/>
      </w:r>
    </w:p>
    <w:p>
      <w:pPr>
        <w:pStyle w:val="29"/>
        <w:ind w:left="31680"/>
        <w:rPr>
          <w:rFonts w:ascii="Calibri" w:hAnsi="Calibri"/>
          <w:szCs w:val="22"/>
        </w:rPr>
      </w:pPr>
      <w:r>
        <w:fldChar w:fldCharType="begin"/>
      </w:r>
      <w:r>
        <w:instrText xml:space="preserve"> HYPERLINK \l "_Toc52180066" </w:instrText>
      </w:r>
      <w:r>
        <w:fldChar w:fldCharType="separate"/>
      </w:r>
      <w:r>
        <w:rPr>
          <w:rStyle w:val="37"/>
          <w:rFonts w:hint="eastAsia" w:ascii="黑体" w:hAnsi="黑体" w:eastAsia="黑体"/>
          <w:color w:val="auto"/>
        </w:rPr>
        <w:t>一、基本职能及主要工作</w:t>
      </w:r>
      <w:r>
        <w:tab/>
      </w:r>
      <w:r>
        <w:fldChar w:fldCharType="begin"/>
      </w:r>
      <w:r>
        <w:instrText xml:space="preserve"> PAGEREF _Toc52180066 \h </w:instrText>
      </w:r>
      <w:r>
        <w:fldChar w:fldCharType="separate"/>
      </w:r>
      <w:r>
        <w:t>4</w:t>
      </w:r>
      <w:r>
        <w:fldChar w:fldCharType="end"/>
      </w:r>
      <w:r>
        <w:fldChar w:fldCharType="end"/>
      </w:r>
    </w:p>
    <w:p>
      <w:pPr>
        <w:pStyle w:val="16"/>
        <w:ind w:left="31680"/>
        <w:rPr>
          <w:rFonts w:ascii="Calibri" w:hAnsi="Calibri"/>
          <w:szCs w:val="22"/>
        </w:rPr>
      </w:pPr>
      <w:r>
        <w:fldChar w:fldCharType="begin"/>
      </w:r>
      <w:r>
        <w:instrText xml:space="preserve"> HYPERLINK \l "_Toc52180067" </w:instrText>
      </w:r>
      <w:r>
        <w:fldChar w:fldCharType="separate"/>
      </w:r>
      <w:r>
        <w:rPr>
          <w:rStyle w:val="37"/>
          <w:rFonts w:hint="eastAsia" w:ascii="仿宋" w:hAnsi="仿宋" w:eastAsia="仿宋"/>
          <w:bCs/>
          <w:color w:val="auto"/>
        </w:rPr>
        <w:t>（一）主要职能</w:t>
      </w:r>
      <w:bookmarkStart w:id="124" w:name="_GoBack"/>
      <w:bookmarkEnd w:id="124"/>
      <w:r>
        <w:rPr>
          <w:rStyle w:val="37"/>
          <w:rFonts w:hint="eastAsia" w:ascii="仿宋" w:hAnsi="仿宋" w:eastAsia="仿宋"/>
          <w:bCs/>
          <w:color w:val="auto"/>
        </w:rPr>
        <w:t>。</w:t>
      </w:r>
      <w:r>
        <w:tab/>
      </w:r>
      <w:r>
        <w:fldChar w:fldCharType="begin"/>
      </w:r>
      <w:r>
        <w:instrText xml:space="preserve"> PAGEREF _Toc52180067 \h </w:instrText>
      </w:r>
      <w:r>
        <w:fldChar w:fldCharType="separate"/>
      </w:r>
      <w:r>
        <w:t>4</w:t>
      </w:r>
      <w:r>
        <w:fldChar w:fldCharType="end"/>
      </w:r>
      <w:r>
        <w:fldChar w:fldCharType="end"/>
      </w:r>
    </w:p>
    <w:p>
      <w:pPr>
        <w:pStyle w:val="16"/>
        <w:ind w:left="31680"/>
        <w:rPr>
          <w:rFonts w:ascii="Calibri" w:hAnsi="Calibri"/>
          <w:szCs w:val="22"/>
        </w:rPr>
      </w:pPr>
      <w:r>
        <w:fldChar w:fldCharType="begin"/>
      </w:r>
      <w:r>
        <w:instrText xml:space="preserve"> HYPERLINK \l "_Toc52180068" </w:instrText>
      </w:r>
      <w:r>
        <w:fldChar w:fldCharType="separate"/>
      </w:r>
      <w:r>
        <w:rPr>
          <w:rStyle w:val="37"/>
          <w:rFonts w:hint="eastAsia" w:ascii="仿宋" w:hAnsi="仿宋" w:eastAsia="仿宋"/>
          <w:bCs/>
          <w:color w:val="auto"/>
        </w:rPr>
        <w:t>（二）年重点工作完成情况。</w:t>
      </w:r>
      <w:r>
        <w:tab/>
      </w:r>
      <w:r>
        <w:fldChar w:fldCharType="begin"/>
      </w:r>
      <w:r>
        <w:instrText xml:space="preserve"> PAGEREF _Toc52180068 \h </w:instrText>
      </w:r>
      <w:r>
        <w:fldChar w:fldCharType="separate"/>
      </w:r>
      <w:r>
        <w:t>4</w:t>
      </w:r>
      <w:r>
        <w:fldChar w:fldCharType="end"/>
      </w:r>
      <w:r>
        <w:fldChar w:fldCharType="end"/>
      </w:r>
    </w:p>
    <w:p>
      <w:pPr>
        <w:pStyle w:val="29"/>
        <w:ind w:left="31680"/>
        <w:rPr>
          <w:rFonts w:ascii="Calibri" w:hAnsi="Calibri"/>
          <w:szCs w:val="22"/>
        </w:rPr>
      </w:pPr>
      <w:r>
        <w:fldChar w:fldCharType="begin"/>
      </w:r>
      <w:r>
        <w:instrText xml:space="preserve"> HYPERLINK \l "_Toc52180069" </w:instrText>
      </w:r>
      <w:r>
        <w:fldChar w:fldCharType="separate"/>
      </w:r>
      <w:r>
        <w:rPr>
          <w:rStyle w:val="37"/>
          <w:rFonts w:hint="eastAsia" w:ascii="黑体" w:eastAsia="黑体"/>
          <w:color w:val="auto"/>
        </w:rPr>
        <w:t>二、</w:t>
      </w:r>
      <w:r>
        <w:rPr>
          <w:rStyle w:val="37"/>
          <w:rFonts w:hint="eastAsia" w:ascii="黑体" w:hAnsi="黑体" w:eastAsia="黑体"/>
          <w:color w:val="auto"/>
        </w:rPr>
        <w:t>机构设置</w:t>
      </w:r>
      <w:r>
        <w:tab/>
      </w:r>
      <w:r>
        <w:t>8</w:t>
      </w:r>
      <w:r>
        <w:fldChar w:fldCharType="end"/>
      </w:r>
    </w:p>
    <w:p>
      <w:pPr>
        <w:pStyle w:val="16"/>
        <w:tabs>
          <w:tab w:val="left" w:pos="1470"/>
        </w:tabs>
        <w:ind w:left="31680"/>
        <w:rPr>
          <w:rFonts w:ascii="Calibri" w:hAnsi="Calibri"/>
          <w:szCs w:val="22"/>
        </w:rPr>
      </w:pPr>
      <w:r>
        <w:fldChar w:fldCharType="begin"/>
      </w:r>
      <w:r>
        <w:instrText xml:space="preserve"> HYPERLINK \l "_Toc52180070" </w:instrText>
      </w:r>
      <w:r>
        <w:fldChar w:fldCharType="separate"/>
      </w:r>
      <w:r>
        <w:rPr>
          <w:rStyle w:val="37"/>
          <w:rFonts w:ascii="仿宋" w:hAnsi="仿宋" w:eastAsia="仿宋"/>
          <w:color w:val="auto"/>
        </w:rPr>
        <w:t>1.</w:t>
      </w:r>
      <w:r>
        <w:rPr>
          <w:rFonts w:ascii="Calibri" w:hAnsi="Calibri"/>
          <w:szCs w:val="22"/>
        </w:rPr>
        <w:tab/>
      </w:r>
      <w:r>
        <w:rPr>
          <w:rStyle w:val="37"/>
          <w:rFonts w:hint="eastAsia" w:ascii="仿宋" w:hAnsi="仿宋" w:eastAsia="仿宋"/>
          <w:color w:val="auto"/>
        </w:rPr>
        <w:t>攀西大裂谷格萨拉生态旅游区管委会</w:t>
      </w:r>
      <w:r>
        <w:tab/>
      </w:r>
      <w:r>
        <w:t>8</w:t>
      </w:r>
      <w:r>
        <w:fldChar w:fldCharType="end"/>
      </w:r>
    </w:p>
    <w:p>
      <w:pPr>
        <w:pStyle w:val="16"/>
        <w:tabs>
          <w:tab w:val="left" w:pos="1470"/>
        </w:tabs>
        <w:ind w:left="31680"/>
      </w:pPr>
      <w:r>
        <w:fldChar w:fldCharType="begin"/>
      </w:r>
      <w:r>
        <w:instrText xml:space="preserve"> HYPERLINK \l "_Toc52180071" </w:instrText>
      </w:r>
      <w:r>
        <w:fldChar w:fldCharType="separate"/>
      </w:r>
      <w:r>
        <w:rPr>
          <w:rStyle w:val="37"/>
          <w:rFonts w:ascii="仿宋" w:hAnsi="仿宋" w:eastAsia="仿宋"/>
          <w:color w:val="auto"/>
        </w:rPr>
        <w:t>2.</w:t>
      </w:r>
      <w:r>
        <w:rPr>
          <w:rFonts w:ascii="Calibri" w:hAnsi="Calibri"/>
          <w:szCs w:val="22"/>
        </w:rPr>
        <w:tab/>
      </w:r>
      <w:r>
        <w:rPr>
          <w:rStyle w:val="37"/>
          <w:rFonts w:hint="eastAsia" w:ascii="仿宋" w:hAnsi="仿宋" w:eastAsia="仿宋"/>
          <w:color w:val="auto"/>
        </w:rPr>
        <w:t>盐边县文化和旅游服务中心</w:t>
      </w:r>
      <w:r>
        <w:tab/>
      </w:r>
      <w:r>
        <w:t>8</w:t>
      </w:r>
      <w:r>
        <w:fldChar w:fldCharType="end"/>
      </w:r>
    </w:p>
    <w:p>
      <w:pPr>
        <w:pStyle w:val="16"/>
        <w:tabs>
          <w:tab w:val="left" w:pos="1470"/>
        </w:tabs>
        <w:ind w:left="0" w:firstLine="840"/>
        <w:rPr>
          <w:rFonts w:hint="default" w:eastAsia="宋体"/>
          <w:lang w:val="en-US" w:eastAsia="zh-CN"/>
        </w:rPr>
      </w:pPr>
      <w:r>
        <w:fldChar w:fldCharType="begin"/>
      </w:r>
      <w:r>
        <w:instrText xml:space="preserve"> HYPERLINK \l "_Toc52180072" </w:instrText>
      </w:r>
      <w:r>
        <w:fldChar w:fldCharType="separate"/>
      </w:r>
      <w:r>
        <w:rPr>
          <w:rStyle w:val="37"/>
          <w:rFonts w:ascii="仿宋" w:hAnsi="仿宋" w:eastAsia="仿宋"/>
          <w:color w:val="auto"/>
        </w:rPr>
        <w:t>3.</w:t>
      </w:r>
      <w:r>
        <w:rPr>
          <w:rFonts w:ascii="Calibri" w:hAnsi="Calibri"/>
          <w:szCs w:val="22"/>
        </w:rPr>
        <w:tab/>
      </w:r>
      <w:r>
        <w:rPr>
          <w:rStyle w:val="37"/>
          <w:rFonts w:hint="eastAsia" w:ascii="仿宋" w:hAnsi="仿宋" w:eastAsia="仿宋"/>
          <w:color w:val="auto"/>
        </w:rPr>
        <w:t>盐边县文化和旅游执法大队</w:t>
      </w:r>
      <w:r>
        <w:tab/>
      </w:r>
      <w:r>
        <w:t>8</w:t>
      </w:r>
      <w:r>
        <w:fldChar w:fldCharType="end"/>
      </w:r>
    </w:p>
    <w:p>
      <w:pPr>
        <w:pStyle w:val="16"/>
        <w:tabs>
          <w:tab w:val="left" w:pos="1470"/>
        </w:tabs>
        <w:ind w:left="31680"/>
      </w:pPr>
      <w:r>
        <w:fldChar w:fldCharType="begin"/>
      </w:r>
      <w:r>
        <w:instrText xml:space="preserve"> HYPERLINK \l "_Toc52180072" </w:instrText>
      </w:r>
      <w:r>
        <w:fldChar w:fldCharType="separate"/>
      </w:r>
      <w:r>
        <w:rPr>
          <w:rStyle w:val="37"/>
          <w:rFonts w:hint="eastAsia" w:ascii="仿宋" w:hAnsi="仿宋" w:eastAsia="仿宋"/>
          <w:color w:val="auto"/>
          <w:lang w:val="en-US" w:eastAsia="zh-CN"/>
        </w:rPr>
        <w:t>4</w:t>
      </w:r>
      <w:r>
        <w:rPr>
          <w:rStyle w:val="37"/>
          <w:rFonts w:ascii="仿宋" w:hAnsi="仿宋" w:eastAsia="仿宋"/>
          <w:color w:val="auto"/>
        </w:rPr>
        <w:t>.</w:t>
      </w:r>
      <w:r>
        <w:rPr>
          <w:rFonts w:ascii="Calibri" w:hAnsi="Calibri"/>
          <w:szCs w:val="22"/>
        </w:rPr>
        <w:tab/>
      </w:r>
      <w:r>
        <w:rPr>
          <w:rStyle w:val="37"/>
          <w:rFonts w:hint="eastAsia" w:ascii="仿宋" w:hAnsi="仿宋" w:eastAsia="仿宋"/>
          <w:color w:val="auto"/>
        </w:rPr>
        <w:t>盐边县文化</w:t>
      </w:r>
      <w:r>
        <w:rPr>
          <w:rStyle w:val="37"/>
          <w:rFonts w:hint="eastAsia" w:ascii="仿宋" w:hAnsi="仿宋" w:eastAsia="仿宋"/>
          <w:color w:val="auto"/>
          <w:lang w:eastAsia="zh-CN"/>
        </w:rPr>
        <w:t>馆</w:t>
      </w:r>
      <w:r>
        <w:tab/>
      </w:r>
      <w:r>
        <w:t>8</w:t>
      </w:r>
      <w:r>
        <w:fldChar w:fldCharType="end"/>
      </w:r>
    </w:p>
    <w:p>
      <w:pPr>
        <w:pStyle w:val="23"/>
        <w:rPr>
          <w:rFonts w:ascii="Calibri" w:hAnsi="Calibri"/>
          <w:sz w:val="21"/>
          <w:szCs w:val="22"/>
        </w:rPr>
      </w:pPr>
      <w:r>
        <w:fldChar w:fldCharType="begin"/>
      </w:r>
      <w:r>
        <w:instrText xml:space="preserve"> HYPERLINK \l "_Toc52180073" </w:instrText>
      </w:r>
      <w:r>
        <w:fldChar w:fldCharType="separate"/>
      </w:r>
      <w:r>
        <w:rPr>
          <w:rStyle w:val="37"/>
          <w:rFonts w:hint="eastAsia" w:ascii="黑体" w:hAnsi="黑体" w:eastAsia="黑体"/>
          <w:color w:val="auto"/>
        </w:rPr>
        <w:t>第二部分年度部门决算情况说明</w:t>
      </w:r>
      <w:r>
        <w:tab/>
      </w:r>
      <w:r>
        <w:t>9</w:t>
      </w:r>
      <w:r>
        <w:fldChar w:fldCharType="end"/>
      </w:r>
    </w:p>
    <w:p>
      <w:pPr>
        <w:pStyle w:val="29"/>
        <w:tabs>
          <w:tab w:val="left" w:pos="1260"/>
        </w:tabs>
        <w:ind w:left="31680"/>
        <w:rPr>
          <w:rFonts w:ascii="Calibri" w:hAnsi="Calibri"/>
          <w:szCs w:val="22"/>
        </w:rPr>
      </w:pPr>
      <w:r>
        <w:fldChar w:fldCharType="begin"/>
      </w:r>
      <w:r>
        <w:instrText xml:space="preserve"> HYPERLINK \l "_Toc52180074" </w:instrText>
      </w:r>
      <w:r>
        <w:fldChar w:fldCharType="separate"/>
      </w:r>
      <w:r>
        <w:rPr>
          <w:rStyle w:val="37"/>
          <w:rFonts w:hint="eastAsia" w:ascii="黑体" w:hAnsi="黑体" w:eastAsia="黑体"/>
          <w:bCs/>
          <w:color w:val="auto"/>
        </w:rPr>
        <w:t>一、</w:t>
      </w:r>
      <w:r>
        <w:rPr>
          <w:rFonts w:ascii="Calibri" w:hAnsi="Calibri"/>
          <w:szCs w:val="22"/>
        </w:rPr>
        <w:tab/>
      </w:r>
      <w:r>
        <w:rPr>
          <w:rStyle w:val="37"/>
          <w:rFonts w:hint="eastAsia" w:ascii="黑体" w:hAnsi="黑体" w:eastAsia="黑体"/>
          <w:color w:val="auto"/>
        </w:rPr>
        <w:t>收</w:t>
      </w:r>
      <w:r>
        <w:rPr>
          <w:rStyle w:val="37"/>
          <w:rFonts w:hint="eastAsia" w:ascii="黑体" w:hAnsi="黑体" w:eastAsia="黑体"/>
          <w:bCs/>
          <w:color w:val="auto"/>
        </w:rPr>
        <w:t>入支出决算总体情况说明</w:t>
      </w:r>
      <w:r>
        <w:tab/>
      </w:r>
      <w:r>
        <w:t>9</w:t>
      </w:r>
      <w:r>
        <w:fldChar w:fldCharType="end"/>
      </w:r>
    </w:p>
    <w:p>
      <w:pPr>
        <w:pStyle w:val="29"/>
        <w:tabs>
          <w:tab w:val="left" w:pos="1260"/>
        </w:tabs>
        <w:ind w:left="31680"/>
        <w:rPr>
          <w:rFonts w:ascii="Calibri" w:hAnsi="Calibri"/>
          <w:szCs w:val="22"/>
        </w:rPr>
      </w:pPr>
      <w:r>
        <w:fldChar w:fldCharType="begin"/>
      </w:r>
      <w:r>
        <w:instrText xml:space="preserve"> HYPERLINK \l "_Toc52180075" </w:instrText>
      </w:r>
      <w:r>
        <w:fldChar w:fldCharType="separate"/>
      </w:r>
      <w:r>
        <w:rPr>
          <w:rStyle w:val="37"/>
          <w:rFonts w:hint="eastAsia" w:ascii="黑体" w:hAnsi="黑体" w:eastAsia="黑体"/>
          <w:bCs/>
          <w:color w:val="auto"/>
        </w:rPr>
        <w:t>二、</w:t>
      </w:r>
      <w:r>
        <w:rPr>
          <w:rFonts w:ascii="Calibri" w:hAnsi="Calibri"/>
          <w:szCs w:val="22"/>
        </w:rPr>
        <w:tab/>
      </w:r>
      <w:r>
        <w:rPr>
          <w:rStyle w:val="37"/>
          <w:rFonts w:hint="eastAsia" w:ascii="黑体" w:hAnsi="黑体" w:eastAsia="黑体"/>
          <w:color w:val="auto"/>
        </w:rPr>
        <w:t>收</w:t>
      </w:r>
      <w:r>
        <w:rPr>
          <w:rStyle w:val="37"/>
          <w:rFonts w:hint="eastAsia" w:ascii="黑体" w:hAnsi="黑体" w:eastAsia="黑体"/>
          <w:bCs/>
          <w:color w:val="auto"/>
        </w:rPr>
        <w:t>入决算情况说明</w:t>
      </w:r>
      <w:r>
        <w:tab/>
      </w:r>
      <w:r>
        <w:t>9</w:t>
      </w:r>
      <w:r>
        <w:fldChar w:fldCharType="end"/>
      </w:r>
    </w:p>
    <w:p>
      <w:pPr>
        <w:pStyle w:val="29"/>
        <w:tabs>
          <w:tab w:val="left" w:pos="1260"/>
        </w:tabs>
        <w:ind w:left="31680"/>
        <w:rPr>
          <w:rFonts w:ascii="Calibri" w:hAnsi="Calibri"/>
          <w:szCs w:val="22"/>
        </w:rPr>
      </w:pPr>
      <w:r>
        <w:fldChar w:fldCharType="begin"/>
      </w:r>
      <w:r>
        <w:instrText xml:space="preserve"> HYPERLINK \l "_Toc52180077" </w:instrText>
      </w:r>
      <w:r>
        <w:fldChar w:fldCharType="separate"/>
      </w:r>
      <w:r>
        <w:rPr>
          <w:rStyle w:val="37"/>
          <w:rFonts w:hint="eastAsia" w:ascii="黑体" w:hAnsi="黑体" w:eastAsia="黑体"/>
          <w:bCs/>
          <w:color w:val="auto"/>
        </w:rPr>
        <w:t>三、</w:t>
      </w:r>
      <w:r>
        <w:rPr>
          <w:rFonts w:ascii="Calibri" w:hAnsi="Calibri"/>
          <w:szCs w:val="22"/>
        </w:rPr>
        <w:tab/>
      </w:r>
      <w:r>
        <w:rPr>
          <w:rStyle w:val="37"/>
          <w:rFonts w:hint="eastAsia" w:ascii="黑体" w:hAnsi="黑体" w:eastAsia="黑体"/>
          <w:color w:val="auto"/>
        </w:rPr>
        <w:t>支</w:t>
      </w:r>
      <w:r>
        <w:rPr>
          <w:rStyle w:val="37"/>
          <w:rFonts w:hint="eastAsia" w:ascii="黑体" w:hAnsi="黑体" w:eastAsia="黑体"/>
          <w:bCs/>
          <w:color w:val="auto"/>
        </w:rPr>
        <w:t>出决算情况说明</w:t>
      </w:r>
      <w:r>
        <w:tab/>
      </w:r>
      <w:r>
        <w:t>10</w:t>
      </w:r>
      <w:r>
        <w:fldChar w:fldCharType="end"/>
      </w:r>
    </w:p>
    <w:p>
      <w:pPr>
        <w:pStyle w:val="29"/>
        <w:ind w:left="31680"/>
        <w:rPr>
          <w:rFonts w:ascii="Calibri" w:hAnsi="Calibri"/>
          <w:szCs w:val="22"/>
        </w:rPr>
      </w:pPr>
      <w:r>
        <w:fldChar w:fldCharType="begin"/>
      </w:r>
      <w:r>
        <w:instrText xml:space="preserve"> HYPERLINK \l "_Toc52180079" </w:instrText>
      </w:r>
      <w:r>
        <w:fldChar w:fldCharType="separate"/>
      </w:r>
      <w:r>
        <w:rPr>
          <w:rStyle w:val="37"/>
          <w:rFonts w:hint="eastAsia" w:ascii="黑体" w:hAnsi="黑体" w:eastAsia="黑体"/>
          <w:color w:val="auto"/>
        </w:rPr>
        <w:t>四、财</w:t>
      </w:r>
      <w:r>
        <w:rPr>
          <w:rStyle w:val="37"/>
          <w:rFonts w:hint="eastAsia" w:ascii="黑体" w:hAnsi="黑体" w:eastAsia="黑体"/>
          <w:bCs/>
          <w:color w:val="auto"/>
        </w:rPr>
        <w:t>政拨款收入支出决算总体情况说明</w:t>
      </w:r>
      <w:r>
        <w:tab/>
      </w:r>
      <w:r>
        <w:t>1</w:t>
      </w:r>
      <w:r>
        <w:fldChar w:fldCharType="end"/>
      </w:r>
      <w:r>
        <w:t>0</w:t>
      </w:r>
    </w:p>
    <w:p>
      <w:pPr>
        <w:pStyle w:val="29"/>
        <w:ind w:left="31680"/>
        <w:rPr>
          <w:rFonts w:ascii="Calibri" w:hAnsi="Calibri"/>
          <w:szCs w:val="22"/>
        </w:rPr>
      </w:pPr>
      <w:r>
        <w:fldChar w:fldCharType="begin"/>
      </w:r>
      <w:r>
        <w:instrText xml:space="preserve"> HYPERLINK \l "_Toc52180080" </w:instrText>
      </w:r>
      <w:r>
        <w:fldChar w:fldCharType="separate"/>
      </w:r>
      <w:r>
        <w:rPr>
          <w:rStyle w:val="37"/>
          <w:rFonts w:hint="eastAsia" w:ascii="黑体" w:hAnsi="黑体" w:eastAsia="黑体"/>
          <w:color w:val="auto"/>
        </w:rPr>
        <w:t>五、</w:t>
      </w:r>
      <w:r>
        <w:rPr>
          <w:rStyle w:val="37"/>
          <w:rFonts w:hint="eastAsia" w:ascii="黑体" w:hAnsi="黑体" w:eastAsia="黑体"/>
          <w:b/>
          <w:color w:val="auto"/>
        </w:rPr>
        <w:t>一</w:t>
      </w:r>
      <w:r>
        <w:rPr>
          <w:rStyle w:val="37"/>
          <w:rFonts w:hint="eastAsia" w:ascii="黑体" w:hAnsi="黑体" w:eastAsia="黑体"/>
          <w:bCs/>
          <w:color w:val="auto"/>
        </w:rPr>
        <w:t>般公共预算财政拨款支出决算情况说明</w:t>
      </w:r>
      <w:r>
        <w:tab/>
      </w:r>
      <w:r>
        <w:t>1</w:t>
      </w:r>
      <w:r>
        <w:fldChar w:fldCharType="end"/>
      </w:r>
      <w:r>
        <w:t>1</w:t>
      </w:r>
    </w:p>
    <w:p>
      <w:pPr>
        <w:pStyle w:val="29"/>
        <w:ind w:left="31680"/>
        <w:rPr>
          <w:rFonts w:hint="eastAsia" w:ascii="Calibri" w:hAnsi="Calibri" w:eastAsia="宋体"/>
          <w:szCs w:val="22"/>
          <w:lang w:eastAsia="zh-CN"/>
        </w:rPr>
      </w:pPr>
      <w:r>
        <w:fldChar w:fldCharType="begin"/>
      </w:r>
      <w:r>
        <w:instrText xml:space="preserve"> HYPERLINK \l "_Toc52180085" </w:instrText>
      </w:r>
      <w:r>
        <w:fldChar w:fldCharType="separate"/>
      </w:r>
      <w:r>
        <w:rPr>
          <w:rStyle w:val="37"/>
          <w:rFonts w:hint="eastAsia" w:ascii="黑体" w:eastAsia="黑体"/>
          <w:color w:val="auto"/>
          <w:u w:val="none"/>
        </w:rPr>
        <w:t>六</w:t>
      </w:r>
      <w:r>
        <w:rPr>
          <w:rStyle w:val="37"/>
          <w:rFonts w:hint="eastAsia" w:ascii="黑体" w:eastAsia="黑体"/>
          <w:b/>
          <w:color w:val="auto"/>
          <w:u w:val="none"/>
        </w:rPr>
        <w:t>、</w:t>
      </w:r>
      <w:r>
        <w:rPr>
          <w:rStyle w:val="37"/>
          <w:rFonts w:hint="eastAsia" w:ascii="黑体" w:hAnsi="黑体" w:eastAsia="黑体"/>
          <w:b/>
          <w:color w:val="auto"/>
          <w:u w:val="none"/>
        </w:rPr>
        <w:t>一</w:t>
      </w:r>
      <w:r>
        <w:rPr>
          <w:rStyle w:val="37"/>
          <w:rFonts w:hint="eastAsia" w:ascii="黑体" w:hAnsi="黑体" w:eastAsia="黑体"/>
          <w:bCs/>
          <w:color w:val="auto"/>
          <w:u w:val="none"/>
        </w:rPr>
        <w:t>般公共预算财政拨款基本支出决算情况说明</w:t>
      </w:r>
      <w:r>
        <w:tab/>
      </w:r>
      <w:r>
        <w:t>1</w:t>
      </w:r>
      <w:r>
        <w:fldChar w:fldCharType="end"/>
      </w:r>
      <w:r>
        <w:rPr>
          <w:rFonts w:hint="eastAsia"/>
          <w:lang w:val="en-US" w:eastAsia="zh-CN"/>
        </w:rPr>
        <w:t>5</w:t>
      </w:r>
    </w:p>
    <w:p>
      <w:pPr>
        <w:pStyle w:val="29"/>
        <w:ind w:left="31680"/>
        <w:rPr>
          <w:rFonts w:hint="eastAsia" w:ascii="Calibri" w:hAnsi="Calibri" w:eastAsia="宋体"/>
          <w:szCs w:val="22"/>
          <w:lang w:eastAsia="zh-CN"/>
        </w:rPr>
      </w:pPr>
      <w:r>
        <w:fldChar w:fldCharType="begin"/>
      </w:r>
      <w:r>
        <w:instrText xml:space="preserve"> HYPERLINK \l "_Toc52180086" </w:instrText>
      </w:r>
      <w:r>
        <w:fldChar w:fldCharType="separate"/>
      </w:r>
      <w:r>
        <w:rPr>
          <w:rStyle w:val="37"/>
          <w:rFonts w:hint="eastAsia" w:ascii="黑体" w:eastAsia="黑体"/>
          <w:color w:val="auto"/>
        </w:rPr>
        <w:t>七、</w:t>
      </w:r>
      <w:r>
        <w:rPr>
          <w:rStyle w:val="37"/>
          <w:rFonts w:hint="eastAsia" w:ascii="黑体" w:hAnsi="黑体" w:eastAsia="黑体"/>
          <w:b/>
          <w:bCs/>
          <w:color w:val="auto"/>
        </w:rPr>
        <w:t>“</w:t>
      </w:r>
      <w:r>
        <w:rPr>
          <w:rStyle w:val="37"/>
          <w:rFonts w:hint="eastAsia" w:ascii="黑体" w:hAnsi="黑体" w:eastAsia="黑体"/>
          <w:bCs/>
          <w:color w:val="auto"/>
        </w:rPr>
        <w:t>三公”经费财政拨款支出决算情况说明</w:t>
      </w:r>
      <w:r>
        <w:tab/>
      </w:r>
      <w:r>
        <w:t>1</w:t>
      </w:r>
      <w:r>
        <w:fldChar w:fldCharType="end"/>
      </w:r>
      <w:r>
        <w:rPr>
          <w:rFonts w:hint="eastAsia"/>
          <w:lang w:val="en-US" w:eastAsia="zh-CN"/>
        </w:rPr>
        <w:t>6</w:t>
      </w:r>
    </w:p>
    <w:p>
      <w:pPr>
        <w:pStyle w:val="16"/>
        <w:ind w:left="31680"/>
        <w:rPr>
          <w:rFonts w:ascii="Calibri" w:hAnsi="Calibri"/>
          <w:szCs w:val="22"/>
        </w:rPr>
      </w:pPr>
      <w:r>
        <w:fldChar w:fldCharType="begin"/>
      </w:r>
      <w:r>
        <w:instrText xml:space="preserve"> HYPERLINK \l "_Toc52180087" </w:instrText>
      </w:r>
      <w:r>
        <w:fldChar w:fldCharType="separate"/>
      </w:r>
      <w:r>
        <w:rPr>
          <w:rStyle w:val="37"/>
          <w:rFonts w:hint="eastAsia" w:ascii="仿宋" w:hAnsi="仿宋" w:eastAsia="仿宋"/>
          <w:b/>
          <w:color w:val="auto"/>
        </w:rPr>
        <w:t>（一）“三公”经费财政拨款支出决算总体情况说明</w:t>
      </w:r>
      <w:r>
        <w:tab/>
      </w:r>
      <w:r>
        <w:t>1</w:t>
      </w:r>
      <w:r>
        <w:rPr>
          <w:rFonts w:hint="eastAsia"/>
          <w:lang w:val="en-US" w:eastAsia="zh-CN"/>
        </w:rPr>
        <w:t>6</w:t>
      </w:r>
      <w:r>
        <w:fldChar w:fldCharType="end"/>
      </w:r>
    </w:p>
    <w:p>
      <w:pPr>
        <w:pStyle w:val="16"/>
        <w:ind w:left="31680"/>
        <w:rPr>
          <w:rFonts w:ascii="Calibri" w:hAnsi="Calibri"/>
          <w:szCs w:val="22"/>
        </w:rPr>
      </w:pPr>
      <w:r>
        <w:fldChar w:fldCharType="begin"/>
      </w:r>
      <w:r>
        <w:instrText xml:space="preserve"> HYPERLINK \l "_Toc52180088" </w:instrText>
      </w:r>
      <w:r>
        <w:fldChar w:fldCharType="separate"/>
      </w:r>
      <w:r>
        <w:rPr>
          <w:rStyle w:val="37"/>
          <w:rFonts w:hint="eastAsia" w:ascii="仿宋" w:hAnsi="仿宋" w:eastAsia="仿宋"/>
          <w:b/>
          <w:color w:val="auto"/>
        </w:rPr>
        <w:t>（二）“三公”经费财政拨款支出决算具体情况说明</w:t>
      </w:r>
      <w:r>
        <w:tab/>
      </w:r>
      <w:r>
        <w:t>1</w:t>
      </w:r>
      <w:r>
        <w:rPr>
          <w:rFonts w:hint="eastAsia"/>
          <w:lang w:val="en-US" w:eastAsia="zh-CN"/>
        </w:rPr>
        <w:t>6</w:t>
      </w:r>
      <w:r>
        <w:fldChar w:fldCharType="end"/>
      </w:r>
    </w:p>
    <w:p>
      <w:pPr>
        <w:pStyle w:val="29"/>
        <w:ind w:left="31680"/>
        <w:rPr>
          <w:rFonts w:ascii="Calibri" w:hAnsi="Calibri"/>
          <w:szCs w:val="22"/>
        </w:rPr>
      </w:pPr>
      <w:r>
        <w:fldChar w:fldCharType="begin"/>
      </w:r>
      <w:r>
        <w:instrText xml:space="preserve"> HYPERLINK \l "_Toc52180089" </w:instrText>
      </w:r>
      <w:r>
        <w:fldChar w:fldCharType="separate"/>
      </w:r>
      <w:r>
        <w:rPr>
          <w:rStyle w:val="37"/>
          <w:rFonts w:hint="eastAsia" w:ascii="黑体" w:eastAsia="黑体"/>
          <w:color w:val="auto"/>
        </w:rPr>
        <w:t>八、</w:t>
      </w:r>
      <w:r>
        <w:rPr>
          <w:rStyle w:val="37"/>
          <w:rFonts w:hint="eastAsia" w:ascii="黑体" w:hAnsi="黑体" w:eastAsia="黑体"/>
          <w:bCs/>
          <w:color w:val="auto"/>
        </w:rPr>
        <w:t>政府性基金预算支出决算情况说明</w:t>
      </w:r>
      <w:r>
        <w:tab/>
      </w:r>
      <w:r>
        <w:fldChar w:fldCharType="begin"/>
      </w:r>
      <w:r>
        <w:instrText xml:space="preserve"> PAGEREF _Toc52180089 \h </w:instrText>
      </w:r>
      <w:r>
        <w:fldChar w:fldCharType="separate"/>
      </w:r>
      <w:r>
        <w:t>17</w:t>
      </w:r>
      <w:r>
        <w:fldChar w:fldCharType="end"/>
      </w:r>
      <w:r>
        <w:fldChar w:fldCharType="end"/>
      </w:r>
    </w:p>
    <w:p>
      <w:pPr>
        <w:pStyle w:val="29"/>
        <w:ind w:left="31680"/>
        <w:rPr>
          <w:rFonts w:ascii="Calibri" w:hAnsi="Calibri"/>
          <w:szCs w:val="22"/>
        </w:rPr>
      </w:pPr>
      <w:r>
        <w:fldChar w:fldCharType="begin"/>
      </w:r>
      <w:r>
        <w:instrText xml:space="preserve"> HYPERLINK \l "_Toc52180090" </w:instrText>
      </w:r>
      <w:r>
        <w:fldChar w:fldCharType="separate"/>
      </w:r>
      <w:r>
        <w:rPr>
          <w:rStyle w:val="37"/>
          <w:rFonts w:hint="eastAsia" w:ascii="黑体" w:hAnsi="黑体" w:eastAsia="黑体"/>
          <w:bCs/>
          <w:color w:val="auto"/>
        </w:rPr>
        <w:t>九、国有资本经营预算支出决算情况说明</w:t>
      </w:r>
      <w:r>
        <w:tab/>
      </w:r>
      <w:r>
        <w:fldChar w:fldCharType="begin"/>
      </w:r>
      <w:r>
        <w:instrText xml:space="preserve"> PAGEREF _Toc52180090 \h </w:instrText>
      </w:r>
      <w:r>
        <w:fldChar w:fldCharType="separate"/>
      </w:r>
      <w:r>
        <w:t>1</w:t>
      </w:r>
      <w:r>
        <w:rPr>
          <w:rFonts w:hint="eastAsia"/>
          <w:lang w:val="en-US" w:eastAsia="zh-CN"/>
        </w:rPr>
        <w:t>8</w:t>
      </w:r>
      <w:r>
        <w:fldChar w:fldCharType="end"/>
      </w:r>
      <w:r>
        <w:fldChar w:fldCharType="end"/>
      </w:r>
    </w:p>
    <w:p>
      <w:pPr>
        <w:pStyle w:val="29"/>
        <w:ind w:left="31680"/>
        <w:rPr>
          <w:rFonts w:ascii="Calibri" w:hAnsi="Calibri"/>
          <w:szCs w:val="22"/>
        </w:rPr>
      </w:pPr>
      <w:r>
        <w:fldChar w:fldCharType="begin"/>
      </w:r>
      <w:r>
        <w:instrText xml:space="preserve"> HYPERLINK \l "_Toc52180091" </w:instrText>
      </w:r>
      <w:r>
        <w:fldChar w:fldCharType="separate"/>
      </w:r>
      <w:r>
        <w:rPr>
          <w:rStyle w:val="37"/>
          <w:rFonts w:hint="eastAsia" w:ascii="黑体" w:hAnsi="黑体" w:eastAsia="黑体"/>
          <w:color w:val="auto"/>
        </w:rPr>
        <w:t>十</w:t>
      </w:r>
      <w:r>
        <w:rPr>
          <w:rStyle w:val="37"/>
          <w:rFonts w:hint="eastAsia" w:ascii="黑体" w:hAnsi="黑体" w:eastAsia="黑体"/>
          <w:b/>
          <w:bCs/>
          <w:color w:val="auto"/>
        </w:rPr>
        <w:t>、</w:t>
      </w:r>
      <w:r>
        <w:rPr>
          <w:rStyle w:val="37"/>
          <w:rFonts w:hint="eastAsia" w:ascii="黑体" w:hAnsi="黑体" w:eastAsia="黑体"/>
          <w:bCs/>
          <w:color w:val="auto"/>
        </w:rPr>
        <w:t>其他重要事项的情况说明</w:t>
      </w:r>
      <w:r>
        <w:tab/>
      </w:r>
      <w:r>
        <w:fldChar w:fldCharType="begin"/>
      </w:r>
      <w:r>
        <w:instrText xml:space="preserve"> PAGEREF _Toc52180091 \h </w:instrText>
      </w:r>
      <w:r>
        <w:fldChar w:fldCharType="separate"/>
      </w:r>
      <w:r>
        <w:t>1</w:t>
      </w:r>
      <w:r>
        <w:rPr>
          <w:rFonts w:hint="eastAsia"/>
          <w:lang w:val="en-US" w:eastAsia="zh-CN"/>
        </w:rPr>
        <w:t>8</w:t>
      </w:r>
      <w:r>
        <w:fldChar w:fldCharType="end"/>
      </w:r>
      <w:r>
        <w:fldChar w:fldCharType="end"/>
      </w:r>
    </w:p>
    <w:p>
      <w:pPr>
        <w:pStyle w:val="23"/>
        <w:rPr>
          <w:rFonts w:ascii="Calibri" w:hAnsi="Calibri" w:eastAsia="宋体"/>
          <w:sz w:val="21"/>
          <w:szCs w:val="22"/>
        </w:rPr>
      </w:pPr>
      <w:r>
        <w:fldChar w:fldCharType="begin"/>
      </w:r>
      <w:r>
        <w:instrText xml:space="preserve"> HYPERLINK \l "_Toc52180096" </w:instrText>
      </w:r>
      <w:r>
        <w:fldChar w:fldCharType="separate"/>
      </w:r>
      <w:r>
        <w:rPr>
          <w:rStyle w:val="37"/>
          <w:rFonts w:hint="eastAsia" w:ascii="黑体" w:hAnsi="黑体" w:eastAsia="黑体"/>
          <w:bCs/>
          <w:color w:val="auto"/>
        </w:rPr>
        <w:t>第三部分</w:t>
      </w:r>
      <w:r>
        <w:rPr>
          <w:rStyle w:val="37"/>
          <w:rFonts w:hint="eastAsia" w:ascii="黑体" w:hAnsi="黑体" w:eastAsia="黑体"/>
          <w:color w:val="auto"/>
        </w:rPr>
        <w:t>名</w:t>
      </w:r>
      <w:r>
        <w:rPr>
          <w:rStyle w:val="37"/>
          <w:rFonts w:hint="eastAsia" w:ascii="黑体" w:hAnsi="黑体" w:eastAsia="黑体"/>
          <w:bCs/>
          <w:color w:val="auto"/>
        </w:rPr>
        <w:t>词解释</w:t>
      </w:r>
      <w:r>
        <w:tab/>
      </w:r>
      <w:r>
        <w:t>1</w:t>
      </w:r>
      <w:r>
        <w:rPr>
          <w:rFonts w:hint="eastAsia"/>
          <w:lang w:val="en-US" w:eastAsia="zh-CN"/>
        </w:rPr>
        <w:t>9</w:t>
      </w:r>
      <w:r>
        <w:fldChar w:fldCharType="end"/>
      </w:r>
    </w:p>
    <w:p>
      <w:pPr>
        <w:pStyle w:val="23"/>
        <w:rPr>
          <w:rFonts w:hint="eastAsia" w:eastAsia="仿宋"/>
          <w:lang w:eastAsia="zh-CN"/>
        </w:rPr>
      </w:pPr>
      <w:r>
        <w:fldChar w:fldCharType="begin"/>
      </w:r>
      <w:r>
        <w:instrText xml:space="preserve"> HYPERLINK \l "_Toc52180097" </w:instrText>
      </w:r>
      <w:r>
        <w:fldChar w:fldCharType="separate"/>
      </w:r>
      <w:r>
        <w:rPr>
          <w:rStyle w:val="37"/>
          <w:rFonts w:hint="eastAsia" w:ascii="黑体" w:hAnsi="黑体" w:eastAsia="黑体"/>
          <w:color w:val="auto"/>
        </w:rPr>
        <w:t>第</w:t>
      </w:r>
      <w:r>
        <w:rPr>
          <w:rStyle w:val="37"/>
          <w:rFonts w:hint="eastAsia" w:ascii="黑体" w:hAnsi="黑体" w:eastAsia="黑体"/>
          <w:bCs/>
          <w:color w:val="auto"/>
        </w:rPr>
        <w:t>四部分附件</w:t>
      </w:r>
      <w:r>
        <w:tab/>
      </w:r>
      <w:r>
        <w:t>2</w:t>
      </w:r>
      <w:r>
        <w:fldChar w:fldCharType="end"/>
      </w:r>
      <w:r>
        <w:rPr>
          <w:rFonts w:hint="eastAsia"/>
          <w:lang w:val="en-US" w:eastAsia="zh-CN"/>
        </w:rPr>
        <w:t>3</w:t>
      </w:r>
    </w:p>
    <w:p>
      <w:pPr>
        <w:pStyle w:val="23"/>
        <w:rPr>
          <w:rFonts w:ascii="Calibri" w:hAnsi="Calibri"/>
          <w:sz w:val="21"/>
          <w:szCs w:val="22"/>
        </w:rPr>
      </w:pPr>
      <w:r>
        <w:fldChar w:fldCharType="begin"/>
      </w:r>
      <w:r>
        <w:instrText xml:space="preserve"> HYPERLINK \l "_Toc52180099" </w:instrText>
      </w:r>
      <w:r>
        <w:fldChar w:fldCharType="separate"/>
      </w:r>
      <w:r>
        <w:rPr>
          <w:rStyle w:val="37"/>
          <w:rFonts w:hint="eastAsia" w:ascii="黑体" w:hAnsi="黑体" w:eastAsia="黑体"/>
          <w:color w:val="auto"/>
        </w:rPr>
        <w:t>第</w:t>
      </w:r>
      <w:r>
        <w:rPr>
          <w:rStyle w:val="37"/>
          <w:rFonts w:hint="eastAsia" w:ascii="黑体" w:hAnsi="黑体" w:eastAsia="黑体"/>
          <w:bCs/>
          <w:color w:val="auto"/>
        </w:rPr>
        <w:t>五部分附表</w:t>
      </w:r>
      <w:r>
        <w:tab/>
      </w:r>
      <w:r>
        <w:t>34</w:t>
      </w:r>
      <w:r>
        <w:fldChar w:fldCharType="end"/>
      </w:r>
    </w:p>
    <w:p>
      <w:pPr>
        <w:pStyle w:val="29"/>
        <w:ind w:left="31680"/>
        <w:rPr>
          <w:rFonts w:ascii="Calibri" w:hAnsi="Calibri"/>
          <w:szCs w:val="22"/>
        </w:rPr>
      </w:pPr>
      <w:r>
        <w:fldChar w:fldCharType="begin"/>
      </w:r>
      <w:r>
        <w:instrText xml:space="preserve"> HYPERLINK \l "_Toc52180100" </w:instrText>
      </w:r>
      <w:r>
        <w:fldChar w:fldCharType="separate"/>
      </w:r>
      <w:r>
        <w:rPr>
          <w:rStyle w:val="37"/>
          <w:rFonts w:hint="eastAsia" w:ascii="仿宋" w:hAnsi="仿宋" w:eastAsia="仿宋"/>
          <w:color w:val="auto"/>
        </w:rPr>
        <w:t>一、收入支出决算总表</w:t>
      </w:r>
      <w:r>
        <w:tab/>
      </w:r>
      <w:r>
        <w:t>34</w:t>
      </w:r>
      <w:r>
        <w:fldChar w:fldCharType="end"/>
      </w:r>
    </w:p>
    <w:p>
      <w:pPr>
        <w:pStyle w:val="29"/>
        <w:ind w:left="31680"/>
        <w:rPr>
          <w:rFonts w:ascii="Calibri" w:hAnsi="Calibri"/>
          <w:szCs w:val="22"/>
        </w:rPr>
      </w:pPr>
      <w:r>
        <w:fldChar w:fldCharType="begin"/>
      </w:r>
      <w:r>
        <w:instrText xml:space="preserve"> HYPERLINK \l "_Toc52180101" </w:instrText>
      </w:r>
      <w:r>
        <w:fldChar w:fldCharType="separate"/>
      </w:r>
      <w:r>
        <w:rPr>
          <w:rStyle w:val="37"/>
          <w:rFonts w:hint="eastAsia" w:ascii="仿宋" w:hAnsi="仿宋" w:eastAsia="仿宋"/>
          <w:color w:val="auto"/>
        </w:rPr>
        <w:t>二、收入决算表</w:t>
      </w:r>
      <w:r>
        <w:tab/>
      </w:r>
      <w:r>
        <w:t>34</w:t>
      </w:r>
      <w:r>
        <w:fldChar w:fldCharType="end"/>
      </w:r>
    </w:p>
    <w:p>
      <w:pPr>
        <w:pStyle w:val="29"/>
        <w:ind w:left="31680"/>
        <w:rPr>
          <w:rFonts w:ascii="Calibri" w:hAnsi="Calibri"/>
          <w:szCs w:val="22"/>
        </w:rPr>
      </w:pPr>
      <w:r>
        <w:fldChar w:fldCharType="begin"/>
      </w:r>
      <w:r>
        <w:instrText xml:space="preserve"> HYPERLINK \l "_Toc52180102" </w:instrText>
      </w:r>
      <w:r>
        <w:fldChar w:fldCharType="separate"/>
      </w:r>
      <w:r>
        <w:rPr>
          <w:rStyle w:val="37"/>
          <w:rFonts w:hint="eastAsia" w:ascii="仿宋" w:hAnsi="仿宋" w:eastAsia="仿宋"/>
          <w:color w:val="auto"/>
        </w:rPr>
        <w:t>三、支出决算表</w:t>
      </w:r>
      <w:r>
        <w:tab/>
      </w:r>
      <w:r>
        <w:t>34</w:t>
      </w:r>
      <w:r>
        <w:fldChar w:fldCharType="end"/>
      </w:r>
    </w:p>
    <w:p>
      <w:pPr>
        <w:pStyle w:val="29"/>
        <w:ind w:left="31680"/>
        <w:rPr>
          <w:rFonts w:ascii="Calibri" w:hAnsi="Calibri"/>
          <w:szCs w:val="22"/>
        </w:rPr>
      </w:pPr>
      <w:r>
        <w:fldChar w:fldCharType="begin"/>
      </w:r>
      <w:r>
        <w:instrText xml:space="preserve"> HYPERLINK \l "_Toc52180103" </w:instrText>
      </w:r>
      <w:r>
        <w:fldChar w:fldCharType="separate"/>
      </w:r>
      <w:r>
        <w:rPr>
          <w:rStyle w:val="37"/>
          <w:rFonts w:hint="eastAsia" w:ascii="仿宋" w:hAnsi="仿宋" w:eastAsia="仿宋"/>
          <w:color w:val="auto"/>
        </w:rPr>
        <w:t>四、财政拨款收入支出决算总表</w:t>
      </w:r>
      <w:r>
        <w:tab/>
      </w:r>
      <w:r>
        <w:t>34</w:t>
      </w:r>
      <w:r>
        <w:fldChar w:fldCharType="end"/>
      </w:r>
    </w:p>
    <w:p>
      <w:pPr>
        <w:pStyle w:val="29"/>
        <w:ind w:left="31680"/>
        <w:rPr>
          <w:rFonts w:ascii="Calibri" w:hAnsi="Calibri"/>
          <w:szCs w:val="22"/>
        </w:rPr>
      </w:pPr>
      <w:r>
        <w:fldChar w:fldCharType="begin"/>
      </w:r>
      <w:r>
        <w:instrText xml:space="preserve"> HYPERLINK \l "_Toc52180104" </w:instrText>
      </w:r>
      <w:r>
        <w:fldChar w:fldCharType="separate"/>
      </w:r>
      <w:r>
        <w:rPr>
          <w:rStyle w:val="37"/>
          <w:rFonts w:hint="eastAsia" w:ascii="仿宋" w:hAnsi="仿宋" w:eastAsia="仿宋"/>
          <w:color w:val="auto"/>
        </w:rPr>
        <w:t>五、财政拨款支出决算明细表</w:t>
      </w:r>
      <w:r>
        <w:tab/>
      </w:r>
      <w:r>
        <w:t>34</w:t>
      </w:r>
      <w:r>
        <w:fldChar w:fldCharType="end"/>
      </w:r>
    </w:p>
    <w:p>
      <w:pPr>
        <w:pStyle w:val="29"/>
        <w:ind w:left="31680"/>
        <w:rPr>
          <w:rFonts w:ascii="Calibri" w:hAnsi="Calibri"/>
          <w:szCs w:val="22"/>
        </w:rPr>
      </w:pPr>
      <w:r>
        <w:fldChar w:fldCharType="begin"/>
      </w:r>
      <w:r>
        <w:instrText xml:space="preserve"> HYPERLINK \l "_Toc52180105" </w:instrText>
      </w:r>
      <w:r>
        <w:fldChar w:fldCharType="separate"/>
      </w:r>
      <w:r>
        <w:rPr>
          <w:rStyle w:val="37"/>
          <w:rFonts w:hint="eastAsia" w:ascii="仿宋" w:hAnsi="仿宋" w:eastAsia="仿宋"/>
          <w:color w:val="auto"/>
        </w:rPr>
        <w:t>六、一般公共预算财政拨款支出决算表</w:t>
      </w:r>
      <w:r>
        <w:tab/>
      </w:r>
      <w:r>
        <w:t>3</w:t>
      </w:r>
      <w:r>
        <w:fldChar w:fldCharType="end"/>
      </w:r>
      <w:r>
        <w:t>4</w:t>
      </w:r>
    </w:p>
    <w:p>
      <w:pPr>
        <w:pStyle w:val="29"/>
        <w:ind w:left="31680"/>
        <w:rPr>
          <w:rFonts w:ascii="Calibri" w:hAnsi="Calibri"/>
          <w:szCs w:val="22"/>
        </w:rPr>
      </w:pPr>
      <w:r>
        <w:fldChar w:fldCharType="begin"/>
      </w:r>
      <w:r>
        <w:instrText xml:space="preserve"> HYPERLINK \l "_Toc52180106" </w:instrText>
      </w:r>
      <w:r>
        <w:fldChar w:fldCharType="separate"/>
      </w:r>
      <w:r>
        <w:rPr>
          <w:rStyle w:val="37"/>
          <w:rFonts w:hint="eastAsia" w:ascii="仿宋" w:hAnsi="仿宋" w:eastAsia="仿宋"/>
          <w:color w:val="auto"/>
        </w:rPr>
        <w:t>七、一般公共预算财政拨款支出决算明细表</w:t>
      </w:r>
      <w:r>
        <w:tab/>
      </w:r>
      <w:r>
        <w:t>3</w:t>
      </w:r>
      <w:r>
        <w:fldChar w:fldCharType="end"/>
      </w:r>
      <w:r>
        <w:t>4</w:t>
      </w:r>
    </w:p>
    <w:p>
      <w:pPr>
        <w:pStyle w:val="29"/>
        <w:ind w:left="31680"/>
        <w:rPr>
          <w:rFonts w:ascii="Calibri" w:hAnsi="Calibri"/>
          <w:szCs w:val="22"/>
        </w:rPr>
      </w:pPr>
      <w:r>
        <w:fldChar w:fldCharType="begin"/>
      </w:r>
      <w:r>
        <w:instrText xml:space="preserve"> HYPERLINK \l "_Toc52180107" </w:instrText>
      </w:r>
      <w:r>
        <w:fldChar w:fldCharType="separate"/>
      </w:r>
      <w:r>
        <w:rPr>
          <w:rStyle w:val="37"/>
          <w:rFonts w:hint="eastAsia" w:ascii="仿宋" w:hAnsi="仿宋" w:eastAsia="仿宋"/>
          <w:color w:val="auto"/>
        </w:rPr>
        <w:t>八、一般公共预算财政拨款基本支出决算表</w:t>
      </w:r>
      <w:r>
        <w:tab/>
      </w:r>
      <w:r>
        <w:t>3</w:t>
      </w:r>
      <w:r>
        <w:fldChar w:fldCharType="end"/>
      </w:r>
      <w:r>
        <w:t>4</w:t>
      </w:r>
    </w:p>
    <w:p>
      <w:pPr>
        <w:pStyle w:val="29"/>
        <w:ind w:left="31680"/>
        <w:rPr>
          <w:rFonts w:ascii="Calibri" w:hAnsi="Calibri"/>
          <w:szCs w:val="22"/>
        </w:rPr>
      </w:pPr>
      <w:r>
        <w:fldChar w:fldCharType="begin"/>
      </w:r>
      <w:r>
        <w:instrText xml:space="preserve"> HYPERLINK \l "_Toc52180108" </w:instrText>
      </w:r>
      <w:r>
        <w:fldChar w:fldCharType="separate"/>
      </w:r>
      <w:r>
        <w:rPr>
          <w:rStyle w:val="37"/>
          <w:rFonts w:hint="eastAsia" w:ascii="仿宋" w:hAnsi="仿宋" w:eastAsia="仿宋"/>
          <w:color w:val="auto"/>
        </w:rPr>
        <w:t>九、一般公共预算财政拨款项目支出决算表</w:t>
      </w:r>
      <w:r>
        <w:tab/>
      </w:r>
      <w:r>
        <w:t>3</w:t>
      </w:r>
      <w:r>
        <w:fldChar w:fldCharType="end"/>
      </w:r>
      <w:r>
        <w:t>4</w:t>
      </w:r>
    </w:p>
    <w:p>
      <w:pPr>
        <w:pStyle w:val="29"/>
        <w:ind w:left="31680"/>
        <w:rPr>
          <w:rFonts w:ascii="Calibri" w:hAnsi="Calibri"/>
          <w:szCs w:val="22"/>
        </w:rPr>
      </w:pPr>
      <w:r>
        <w:fldChar w:fldCharType="begin"/>
      </w:r>
      <w:r>
        <w:instrText xml:space="preserve"> HYPERLINK \l "_Toc52180109" </w:instrText>
      </w:r>
      <w:r>
        <w:fldChar w:fldCharType="separate"/>
      </w:r>
      <w:r>
        <w:rPr>
          <w:rStyle w:val="37"/>
          <w:rFonts w:hint="eastAsia" w:ascii="仿宋" w:hAnsi="仿宋" w:eastAsia="仿宋"/>
          <w:color w:val="auto"/>
        </w:rPr>
        <w:t>十、一般公共预算财政拨款“三公”经费支出决算表</w:t>
      </w:r>
      <w:r>
        <w:tab/>
      </w:r>
      <w:r>
        <w:t>3</w:t>
      </w:r>
      <w:r>
        <w:fldChar w:fldCharType="end"/>
      </w:r>
      <w:r>
        <w:t>4</w:t>
      </w:r>
    </w:p>
    <w:p>
      <w:pPr>
        <w:pStyle w:val="29"/>
        <w:ind w:left="31680"/>
        <w:rPr>
          <w:rFonts w:ascii="Calibri" w:hAnsi="Calibri"/>
          <w:szCs w:val="22"/>
        </w:rPr>
      </w:pPr>
      <w:r>
        <w:fldChar w:fldCharType="begin"/>
      </w:r>
      <w:r>
        <w:instrText xml:space="preserve"> HYPERLINK \l "_Toc52180110" </w:instrText>
      </w:r>
      <w:r>
        <w:fldChar w:fldCharType="separate"/>
      </w:r>
      <w:r>
        <w:rPr>
          <w:rStyle w:val="37"/>
          <w:rFonts w:hint="eastAsia" w:ascii="仿宋" w:hAnsi="仿宋" w:eastAsia="仿宋"/>
          <w:color w:val="auto"/>
        </w:rPr>
        <w:t>十一、政府性基金预算财政拨款收入支出决算表</w:t>
      </w:r>
      <w:r>
        <w:tab/>
      </w:r>
      <w:r>
        <w:t>3</w:t>
      </w:r>
      <w:r>
        <w:fldChar w:fldCharType="end"/>
      </w:r>
      <w:r>
        <w:t>4</w:t>
      </w:r>
    </w:p>
    <w:p>
      <w:pPr>
        <w:pStyle w:val="29"/>
        <w:ind w:left="31680"/>
        <w:rPr>
          <w:rFonts w:ascii="Calibri" w:hAnsi="Calibri"/>
          <w:szCs w:val="22"/>
        </w:rPr>
      </w:pPr>
      <w:r>
        <w:fldChar w:fldCharType="begin"/>
      </w:r>
      <w:r>
        <w:instrText xml:space="preserve"> HYPERLINK \l "_Toc52180111" </w:instrText>
      </w:r>
      <w:r>
        <w:fldChar w:fldCharType="separate"/>
      </w:r>
      <w:r>
        <w:rPr>
          <w:rStyle w:val="37"/>
          <w:rFonts w:hint="eastAsia" w:ascii="仿宋" w:hAnsi="仿宋" w:eastAsia="仿宋"/>
          <w:color w:val="auto"/>
        </w:rPr>
        <w:t>十二、政府性基金预算财政拨款“三公”经费支出决算表</w:t>
      </w:r>
      <w:r>
        <w:tab/>
      </w:r>
      <w:r>
        <w:t>3</w:t>
      </w:r>
      <w:r>
        <w:fldChar w:fldCharType="end"/>
      </w:r>
      <w:r>
        <w:t>4</w:t>
      </w:r>
    </w:p>
    <w:p>
      <w:pPr>
        <w:pStyle w:val="29"/>
        <w:ind w:left="31680"/>
      </w:pPr>
      <w:r>
        <w:fldChar w:fldCharType="begin"/>
      </w:r>
      <w:r>
        <w:instrText xml:space="preserve"> HYPERLINK \l "_Toc52180112" </w:instrText>
      </w:r>
      <w:r>
        <w:fldChar w:fldCharType="separate"/>
      </w:r>
      <w:r>
        <w:rPr>
          <w:rStyle w:val="37"/>
          <w:rFonts w:hint="eastAsia" w:ascii="仿宋" w:hAnsi="仿宋" w:eastAsia="仿宋"/>
          <w:color w:val="auto"/>
        </w:rPr>
        <w:t>十三、国有资本经营预算财政拨款收入支出决算表</w:t>
      </w:r>
      <w:r>
        <w:tab/>
      </w:r>
      <w:r>
        <w:t>3</w:t>
      </w:r>
      <w:r>
        <w:fldChar w:fldCharType="end"/>
      </w:r>
      <w:r>
        <w:t>4</w:t>
      </w:r>
    </w:p>
    <w:p>
      <w:pPr>
        <w:ind w:firstLine="420"/>
        <w:rPr>
          <w:rStyle w:val="37"/>
          <w:rFonts w:hint="eastAsia" w:ascii="仿宋" w:hAnsi="仿宋" w:eastAsia="仿宋"/>
          <w:color w:val="auto"/>
          <w:sz w:val="21"/>
          <w:szCs w:val="24"/>
          <w:lang w:val="en-US" w:eastAsia="zh-CN" w:bidi="ar-SA"/>
        </w:rPr>
      </w:pPr>
      <w:r>
        <w:rPr>
          <w:rStyle w:val="37"/>
          <w:rFonts w:hint="eastAsia" w:ascii="仿宋" w:hAnsi="仿宋" w:eastAsia="仿宋"/>
          <w:color w:val="auto"/>
        </w:rPr>
        <w:t>十四</w:t>
      </w:r>
      <w:r>
        <w:rPr>
          <w:rStyle w:val="37"/>
          <w:rFonts w:hint="eastAsia" w:ascii="仿宋" w:hAnsi="仿宋" w:eastAsia="仿宋"/>
          <w:color w:val="auto"/>
          <w:sz w:val="21"/>
          <w:szCs w:val="24"/>
          <w:lang w:val="en-US" w:eastAsia="zh-CN" w:bidi="ar-SA"/>
        </w:rPr>
        <w:t>、国有资本经营预算财政拨款支出决算表.................................34</w:t>
      </w:r>
    </w:p>
    <w:p>
      <w:pPr>
        <w:pStyle w:val="198"/>
        <w:spacing w:before="0" w:line="240" w:lineRule="auto"/>
        <w:rPr>
          <w:rFonts w:ascii="Calibri" w:hAnsi="Calibri"/>
          <w:szCs w:val="22"/>
        </w:rPr>
      </w:pPr>
      <w:r>
        <w:rPr>
          <w:color w:val="auto"/>
        </w:rPr>
        <w:fldChar w:fldCharType="end"/>
      </w:r>
    </w:p>
    <w:p>
      <w:pPr>
        <w:pStyle w:val="198"/>
        <w:spacing w:before="0" w:line="240" w:lineRule="auto"/>
      </w:pPr>
      <w:r>
        <w:fldChar w:fldCharType="end"/>
      </w:r>
      <w:bookmarkStart w:id="14" w:name="_Toc52180065"/>
      <w:bookmarkStart w:id="15" w:name="_Toc15396599"/>
      <w:bookmarkStart w:id="16" w:name="_Toc15377196"/>
    </w:p>
    <w:p/>
    <w:p/>
    <w:p/>
    <w:p/>
    <w:p/>
    <w:p/>
    <w:p/>
    <w:p/>
    <w:p>
      <w:pPr>
        <w:rPr>
          <w:rFonts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2860"/>
        <w:rPr>
          <w:rFonts w:hint="eastAsia" w:ascii="黑体" w:hAnsi="黑体" w:eastAsia="黑体"/>
          <w:sz w:val="44"/>
          <w:szCs w:val="44"/>
        </w:rPr>
      </w:pPr>
    </w:p>
    <w:p>
      <w:pPr>
        <w:ind w:firstLine="3080"/>
        <w:rPr>
          <w:rStyle w:val="183"/>
          <w:rFonts w:ascii="黑体" w:hAnsi="黑体" w:eastAsia="黑体"/>
          <w:bCs w:val="0"/>
        </w:rPr>
      </w:pPr>
      <w:r>
        <w:rPr>
          <w:rFonts w:hint="eastAsia" w:ascii="黑体" w:hAnsi="黑体" w:eastAsia="黑体"/>
          <w:sz w:val="44"/>
          <w:szCs w:val="44"/>
        </w:rPr>
        <w:t>第一部分</w:t>
      </w:r>
      <w:r>
        <w:rPr>
          <w:rStyle w:val="183"/>
          <w:rFonts w:hint="eastAsia" w:ascii="黑体" w:hAnsi="黑体" w:eastAsia="黑体"/>
          <w:b w:val="0"/>
          <w:bCs w:val="0"/>
        </w:rPr>
        <w:t>部门概况</w:t>
      </w:r>
      <w:bookmarkEnd w:id="14"/>
      <w:bookmarkEnd w:id="15"/>
      <w:bookmarkEnd w:id="16"/>
    </w:p>
    <w:p>
      <w:pPr>
        <w:pStyle w:val="4"/>
        <w:ind w:firstLine="790"/>
      </w:pPr>
      <w:bookmarkStart w:id="17" w:name="_Toc52180066"/>
      <w:bookmarkStart w:id="18" w:name="_Toc15377197"/>
      <w:bookmarkStart w:id="19" w:name="_Toc15396600"/>
      <w:r>
        <w:rPr>
          <w:rFonts w:hint="eastAsia"/>
        </w:rPr>
        <w:t>一、</w:t>
      </w:r>
      <w:bookmarkEnd w:id="17"/>
      <w:bookmarkEnd w:id="18"/>
      <w:bookmarkEnd w:id="19"/>
      <w:bookmarkStart w:id="20" w:name="_Toc15377198"/>
      <w:bookmarkStart w:id="21" w:name="_Toc52180067"/>
      <w:bookmarkStart w:id="22" w:name="_Toc15378445"/>
      <w:r>
        <w:rPr>
          <w:rFonts w:hint="eastAsia"/>
        </w:rPr>
        <w:t>基本职能及主要工作</w:t>
      </w:r>
      <w:bookmarkEnd w:id="20"/>
      <w:bookmarkEnd w:id="21"/>
      <w:bookmarkEnd w:id="22"/>
      <w:bookmarkStart w:id="23" w:name="_Toc15378446"/>
      <w:bookmarkStart w:id="24" w:name="_Toc52180068"/>
      <w:bookmarkStart w:id="25" w:name="_Toc15377199"/>
    </w:p>
    <w:p>
      <w:pPr>
        <w:pStyle w:val="4"/>
        <w:ind w:firstLine="630"/>
        <w:rPr>
          <w:rFonts w:ascii="仿宋_GB2312" w:eastAsia="仿宋_GB2312"/>
          <w:color w:val="000000"/>
        </w:rPr>
      </w:pPr>
      <w:r>
        <w:rPr>
          <w:rFonts w:hint="eastAsia" w:ascii="仿宋_GB2312" w:eastAsia="仿宋_GB2312"/>
          <w:color w:val="000000"/>
        </w:rPr>
        <w:t>（一）主要职能。</w:t>
      </w:r>
    </w:p>
    <w:p>
      <w:pPr>
        <w:pStyle w:val="4"/>
        <w:ind w:firstLine="627"/>
        <w:rPr>
          <w:b w:val="0"/>
        </w:rPr>
      </w:pPr>
      <w:r>
        <w:rPr>
          <w:rFonts w:hint="eastAsia" w:ascii="仿宋_GB2312" w:eastAsia="仿宋_GB2312"/>
          <w:b w:val="0"/>
          <w:color w:val="000000"/>
        </w:rPr>
        <w:t>组织推动全县文化、广播电视和旅游业发展，拟定发展规划并组织实施，推进文化广播电视和旅游体制机制改革，推进文化广播电视和旅游融合发展；指导、管理全县文化、广播电视和旅游发展领域的公共服务体系建设；组织、指导、管理全县文化、广播电视和旅游基础设施重大工程设施建设，组织全县文化广播电视和旅游宣传推广，促进文化广播电视和旅游产业对外合作与市场推广，制定旅游市场开发战略并组织实施，推进全域旅游；</w:t>
      </w:r>
      <w:r>
        <w:rPr>
          <w:rFonts w:hint="eastAsia" w:ascii="仿宋_GB2312" w:hAnsi="宋体" w:eastAsia="仿宋_GB2312"/>
          <w:b w:val="0"/>
          <w:color w:val="000000"/>
        </w:rPr>
        <w:t>指导、管理县级公共文化设施；</w:t>
      </w:r>
      <w:r>
        <w:rPr>
          <w:rFonts w:hint="eastAsia" w:ascii="仿宋_GB2312" w:eastAsia="仿宋_GB2312"/>
          <w:b w:val="0"/>
          <w:color w:val="000000"/>
        </w:rPr>
        <w:t>组织、指导开展社会群众文化活动。依法管理社会文化和旅游市场。负责文化旅游市场领域综合行政执法工作，组织查处全县性、跨区域文化、文物、广播电视、旅游等市场的违法行为，开展扫黄打非集中行动，维护市场秩序。</w:t>
      </w:r>
      <w:r>
        <w:rPr>
          <w:rFonts w:hint="eastAsia" w:ascii="仿宋_GB2312" w:hAnsi="宋体" w:eastAsia="仿宋_GB2312"/>
          <w:b w:val="0"/>
          <w:color w:val="000000"/>
        </w:rPr>
        <w:t>负责全县广播电视与新媒体新技术新业态融合发展，推进“三网融合”。负责广播电视节目传输覆盖、监测和安全播出的监督管理，指导、推进应急广播电视体系</w:t>
      </w:r>
      <w:r>
        <w:rPr>
          <w:rFonts w:hint="eastAsia" w:ascii="仿宋_GB2312" w:eastAsia="仿宋_GB2312"/>
          <w:b w:val="0"/>
        </w:rPr>
        <w:t>。</w:t>
      </w:r>
    </w:p>
    <w:p>
      <w:pPr>
        <w:pStyle w:val="2"/>
        <w:spacing w:before="93" w:line="600" w:lineRule="exact"/>
        <w:ind w:firstLine="675"/>
        <w:outlineLvl w:val="2"/>
        <w:rPr>
          <w:rFonts w:hAnsi="仿宋"/>
          <w:b/>
          <w:bCs/>
          <w:color w:val="000000"/>
          <w:sz w:val="32"/>
          <w:szCs w:val="32"/>
        </w:rPr>
      </w:pPr>
      <w:r>
        <w:rPr>
          <w:rFonts w:hint="eastAsia" w:hAnsi="仿宋"/>
          <w:b/>
          <w:bCs/>
          <w:color w:val="000000"/>
          <w:sz w:val="32"/>
          <w:szCs w:val="32"/>
        </w:rPr>
        <w:t>（二）</w:t>
      </w:r>
      <w:r>
        <w:rPr>
          <w:rFonts w:hAnsi="仿宋"/>
          <w:b/>
          <w:bCs/>
          <w:color w:val="000000"/>
          <w:sz w:val="32"/>
          <w:szCs w:val="32"/>
        </w:rPr>
        <w:t>2021</w:t>
      </w:r>
      <w:r>
        <w:rPr>
          <w:rFonts w:hint="eastAsia" w:hAnsi="仿宋"/>
          <w:b/>
          <w:bCs/>
          <w:color w:val="000000"/>
          <w:sz w:val="32"/>
          <w:szCs w:val="32"/>
        </w:rPr>
        <w:t>年重点工作完成情况。</w:t>
      </w:r>
      <w:bookmarkEnd w:id="23"/>
      <w:bookmarkEnd w:id="24"/>
      <w:bookmarkEnd w:id="25"/>
    </w:p>
    <w:p>
      <w:pPr>
        <w:ind w:firstLine="640"/>
        <w:rPr>
          <w:rFonts w:ascii="仿宋_GB2312" w:hAnsi="宋体" w:eastAsia="仿宋_GB2312"/>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继续推进天府旅游名县候选县和全域旅游示范区创建工作，于</w:t>
      </w:r>
      <w:r>
        <w:rPr>
          <w:rFonts w:ascii="仿宋_GB2312" w:hAnsi="宋体" w:eastAsia="仿宋_GB2312"/>
          <w:color w:val="000000"/>
          <w:sz w:val="32"/>
          <w:szCs w:val="32"/>
        </w:rPr>
        <w:t>2021</w:t>
      </w:r>
      <w:r>
        <w:rPr>
          <w:rFonts w:hint="eastAsia" w:ascii="仿宋_GB2312" w:hAnsi="宋体" w:eastAsia="仿宋_GB2312"/>
          <w:color w:val="000000"/>
          <w:sz w:val="32"/>
          <w:szCs w:val="32"/>
        </w:rPr>
        <w:t>年</w:t>
      </w:r>
      <w:r>
        <w:rPr>
          <w:rFonts w:ascii="仿宋_GB2312" w:hAnsi="宋体" w:eastAsia="仿宋_GB2312"/>
          <w:color w:val="000000"/>
          <w:sz w:val="32"/>
          <w:szCs w:val="32"/>
        </w:rPr>
        <w:t>7</w:t>
      </w:r>
      <w:r>
        <w:rPr>
          <w:rFonts w:hint="eastAsia" w:ascii="仿宋_GB2312" w:hAnsi="宋体" w:eastAsia="仿宋_GB2312"/>
          <w:color w:val="000000"/>
          <w:sz w:val="32"/>
          <w:szCs w:val="32"/>
        </w:rPr>
        <w:t>月</w:t>
      </w:r>
      <w:r>
        <w:rPr>
          <w:rFonts w:ascii="仿宋_GB2312" w:hAnsi="宋体" w:eastAsia="仿宋_GB2312"/>
          <w:color w:val="000000"/>
          <w:sz w:val="32"/>
          <w:szCs w:val="32"/>
        </w:rPr>
        <w:t>23</w:t>
      </w:r>
      <w:r>
        <w:rPr>
          <w:rFonts w:hint="eastAsia" w:ascii="仿宋_GB2312" w:hAnsi="宋体" w:eastAsia="仿宋_GB2312"/>
          <w:color w:val="000000"/>
          <w:sz w:val="32"/>
          <w:szCs w:val="32"/>
        </w:rPr>
        <w:t>日开展了第三批天府旅游名县候选县竞争性陈述，完成了《盐边县全域旅游发展规划》、《康养</w:t>
      </w:r>
      <w:r>
        <w:rPr>
          <w:rFonts w:ascii="仿宋_GB2312" w:hAnsi="宋体" w:eastAsia="仿宋_GB2312"/>
          <w:color w:val="000000"/>
          <w:sz w:val="32"/>
          <w:szCs w:val="32"/>
        </w:rPr>
        <w:t>+</w:t>
      </w:r>
      <w:r>
        <w:rPr>
          <w:rFonts w:hint="eastAsia" w:ascii="仿宋_GB2312" w:hAnsi="宋体" w:eastAsia="仿宋_GB2312"/>
          <w:color w:val="000000"/>
          <w:sz w:val="32"/>
          <w:szCs w:val="32"/>
        </w:rPr>
        <w:t>旅游产业发展规划》初稿。</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color w:val="000000"/>
          <w:sz w:val="32"/>
          <w:szCs w:val="32"/>
        </w:rPr>
        <w:t>有序推进昔格达村、古德村、大笮风旅游基地创建，完成创建资料申报。</w:t>
      </w:r>
      <w:r>
        <w:rPr>
          <w:rFonts w:hint="eastAsia" w:ascii="仿宋_GB2312" w:hAnsi="宋体" w:eastAsia="仿宋_GB2312"/>
          <w:sz w:val="32"/>
          <w:szCs w:val="32"/>
        </w:rPr>
        <w:t>加快红格国际运动康养·温泉度假区、中国二滩森林康养旅游度假区项目建设，</w:t>
      </w:r>
      <w:r>
        <w:rPr>
          <w:rFonts w:hint="eastAsia" w:ascii="仿宋_GB2312" w:hAnsi="宋体" w:eastAsia="仿宋_GB2312"/>
          <w:color w:val="000000"/>
          <w:sz w:val="32"/>
          <w:szCs w:val="32"/>
        </w:rPr>
        <w:t>推进康养旅居点中民宿、乡村酒店建设和改造提升</w:t>
      </w:r>
      <w:r>
        <w:rPr>
          <w:rFonts w:hint="eastAsia" w:ascii="仿宋_GB2312" w:hAnsi="宋体" w:eastAsia="仿宋_GB2312"/>
          <w:sz w:val="32"/>
          <w:szCs w:val="32"/>
        </w:rPr>
        <w:t>。</w:t>
      </w:r>
    </w:p>
    <w:p>
      <w:pPr>
        <w:ind w:firstLine="640"/>
        <w:rPr>
          <w:rFonts w:ascii="仿宋_GB2312" w:hAnsi="宋体" w:eastAsia="仿宋_GB2312"/>
          <w:color w:val="000000"/>
          <w:sz w:val="32"/>
          <w:szCs w:val="32"/>
        </w:rPr>
      </w:pPr>
      <w:r>
        <w:rPr>
          <w:rFonts w:ascii="仿宋_GB2312" w:hAnsi="宋体" w:eastAsia="仿宋_GB2312"/>
          <w:sz w:val="32"/>
          <w:szCs w:val="32"/>
        </w:rPr>
        <w:t>3.</w:t>
      </w:r>
      <w:r>
        <w:rPr>
          <w:rFonts w:hint="eastAsia" w:ascii="仿宋_GB2312" w:hAnsi="宋体" w:eastAsia="仿宋_GB2312"/>
          <w:color w:val="000000"/>
          <w:sz w:val="32"/>
          <w:szCs w:val="32"/>
        </w:rPr>
        <w:t>持续提升公共文化及服务建设。督促指导乡（镇）综合文化站、村（社区）综合文化服务中心开展公共文化服务工作，确保正常运行。新建</w:t>
      </w:r>
      <w:r>
        <w:rPr>
          <w:rFonts w:ascii="仿宋_GB2312" w:hAnsi="宋体" w:eastAsia="仿宋_GB2312"/>
          <w:color w:val="000000"/>
          <w:sz w:val="32"/>
          <w:szCs w:val="32"/>
        </w:rPr>
        <w:t>5</w:t>
      </w:r>
      <w:r>
        <w:rPr>
          <w:rFonts w:hint="eastAsia" w:ascii="仿宋_GB2312" w:hAnsi="宋体" w:eastAsia="仿宋_GB2312"/>
          <w:color w:val="000000"/>
          <w:sz w:val="32"/>
          <w:szCs w:val="32"/>
        </w:rPr>
        <w:t>个流动农家书屋“</w:t>
      </w:r>
      <w:r>
        <w:rPr>
          <w:rFonts w:hint="eastAsia" w:ascii="仿宋_GB2312" w:hAnsi="宋体" w:eastAsia="仿宋_GB2312"/>
          <w:color w:val="000000"/>
          <w:sz w:val="32"/>
          <w:szCs w:val="32"/>
          <w:shd w:val="clear" w:color="auto" w:fill="FFFFFF"/>
        </w:rPr>
        <w:t>笮悦慧</w:t>
      </w:r>
      <w:r>
        <w:rPr>
          <w:rFonts w:hint="eastAsia" w:ascii="仿宋_GB2312" w:hAnsi="宋体" w:eastAsia="仿宋_GB2312"/>
          <w:color w:val="000000"/>
          <w:sz w:val="32"/>
          <w:szCs w:val="32"/>
        </w:rPr>
        <w:t>”，对昔格达村“惜书堂”农家书屋进行城市书屋示范打造。</w:t>
      </w:r>
    </w:p>
    <w:p>
      <w:pPr>
        <w:ind w:firstLine="480"/>
        <w:rPr>
          <w:rFonts w:ascii="仿宋_GB2312" w:hAnsi="宋体" w:eastAsia="仿宋_GB2312"/>
          <w:color w:val="000000"/>
          <w:sz w:val="32"/>
          <w:szCs w:val="32"/>
        </w:rPr>
      </w:pPr>
      <w:r>
        <w:rPr>
          <w:rFonts w:ascii="仿宋_GB2312" w:hAnsi="宋体" w:eastAsia="仿宋_GB2312"/>
          <w:color w:val="000000"/>
          <w:sz w:val="32"/>
          <w:szCs w:val="32"/>
        </w:rPr>
        <w:t>4.</w:t>
      </w:r>
      <w:r>
        <w:rPr>
          <w:rFonts w:hint="eastAsia" w:ascii="仿宋_GB2312" w:hAnsi="宋体" w:eastAsia="仿宋_GB2312"/>
          <w:color w:val="000000"/>
          <w:sz w:val="32"/>
          <w:szCs w:val="32"/>
        </w:rPr>
        <w:t>积极推进全省</w:t>
      </w:r>
      <w:r>
        <w:rPr>
          <w:rFonts w:ascii="仿宋_GB2312" w:hAnsi="宋体" w:eastAsia="仿宋_GB2312"/>
          <w:color w:val="000000"/>
          <w:sz w:val="32"/>
          <w:szCs w:val="32"/>
        </w:rPr>
        <w:t>30</w:t>
      </w:r>
      <w:r>
        <w:rPr>
          <w:rFonts w:hint="eastAsia" w:ascii="仿宋_GB2312" w:hAnsi="宋体" w:eastAsia="仿宋_GB2312"/>
          <w:color w:val="000000"/>
          <w:sz w:val="32"/>
          <w:szCs w:val="32"/>
        </w:rPr>
        <w:t>件民生实事广播电视运行维护，</w:t>
      </w:r>
      <w:r>
        <w:rPr>
          <w:rFonts w:hint="eastAsia" w:ascii="仿宋_GB2312" w:hAnsi="宋体" w:eastAsia="仿宋_GB2312"/>
          <w:bCs/>
          <w:color w:val="000000"/>
          <w:sz w:val="32"/>
          <w:szCs w:val="32"/>
        </w:rPr>
        <w:t>确保全县广播“村村响”电视“户户通”升级后正常运行</w:t>
      </w:r>
      <w:r>
        <w:rPr>
          <w:rFonts w:hint="eastAsia" w:ascii="仿宋_GB2312" w:hAnsi="宋体" w:eastAsia="仿宋_GB2312"/>
          <w:color w:val="000000"/>
          <w:sz w:val="32"/>
          <w:szCs w:val="32"/>
        </w:rPr>
        <w:t>。新建二滩柏枝码头旅游厕所、金河村旅游厕所，完成红格昔格达游客中心旅游厕所并对外开放。</w:t>
      </w:r>
    </w:p>
    <w:p>
      <w:pPr>
        <w:ind w:firstLine="640"/>
        <w:rPr>
          <w:rFonts w:ascii="仿宋_GB2312" w:hAnsi="宋体" w:eastAsia="仿宋_GB2312"/>
          <w:color w:val="000000"/>
          <w:sz w:val="32"/>
          <w:szCs w:val="32"/>
        </w:rPr>
      </w:pPr>
      <w:r>
        <w:rPr>
          <w:rFonts w:ascii="仿宋_GB2312" w:hAnsi="宋体" w:eastAsia="仿宋_GB2312"/>
          <w:color w:val="000000"/>
          <w:sz w:val="32"/>
          <w:szCs w:val="32"/>
        </w:rPr>
        <w:t>5.</w:t>
      </w:r>
      <w:r>
        <w:rPr>
          <w:rFonts w:hint="eastAsia" w:ascii="仿宋_GB2312" w:hAnsi="宋体" w:eastAsia="仿宋_GB2312"/>
          <w:color w:val="000000"/>
          <w:sz w:val="32"/>
          <w:szCs w:val="32"/>
        </w:rPr>
        <w:t>加强艺术创作，创新非遗传承，深入开展庆祝中国共产党成立</w:t>
      </w:r>
      <w:r>
        <w:rPr>
          <w:rFonts w:ascii="仿宋_GB2312" w:hAnsi="宋体" w:eastAsia="仿宋_GB2312"/>
          <w:color w:val="000000"/>
          <w:sz w:val="32"/>
          <w:szCs w:val="32"/>
        </w:rPr>
        <w:t>100</w:t>
      </w:r>
      <w:r>
        <w:rPr>
          <w:rFonts w:hint="eastAsia" w:ascii="仿宋_GB2312" w:hAnsi="宋体" w:eastAsia="仿宋_GB2312"/>
          <w:color w:val="000000"/>
          <w:sz w:val="32"/>
          <w:szCs w:val="32"/>
        </w:rPr>
        <w:t>周年群众文化系列等活动。创作出《金芒果》、《水墨二滩》、《盐边村寨情歌多》、《你有一个“土”的名字》、《一杯桑葚酒醉我一千年》和《蜀云谣》等</w:t>
      </w:r>
      <w:r>
        <w:rPr>
          <w:rFonts w:ascii="仿宋_GB2312" w:hAnsi="宋体" w:eastAsia="仿宋_GB2312"/>
          <w:color w:val="000000"/>
          <w:sz w:val="32"/>
          <w:szCs w:val="32"/>
        </w:rPr>
        <w:t>10</w:t>
      </w:r>
      <w:r>
        <w:rPr>
          <w:rFonts w:hint="eastAsia" w:ascii="仿宋_GB2312" w:hAnsi="宋体" w:eastAsia="仿宋_GB2312"/>
          <w:color w:val="000000"/>
          <w:sz w:val="32"/>
          <w:szCs w:val="32"/>
        </w:rPr>
        <w:t>余首歌曲；积极组织开展傈僳族阔时节、苗族绷鼓节等少数民族节庆活动，精心组织举办庆祝中国共产党成立</w:t>
      </w:r>
      <w:r>
        <w:rPr>
          <w:rFonts w:ascii="仿宋_GB2312" w:hAnsi="宋体" w:eastAsia="仿宋_GB2312"/>
          <w:color w:val="000000"/>
          <w:sz w:val="32"/>
          <w:szCs w:val="32"/>
        </w:rPr>
        <w:t>100</w:t>
      </w:r>
      <w:r>
        <w:rPr>
          <w:rFonts w:hint="eastAsia" w:ascii="仿宋_GB2312" w:hAnsi="宋体" w:eastAsia="仿宋_GB2312"/>
          <w:color w:val="000000"/>
          <w:sz w:val="32"/>
          <w:szCs w:val="32"/>
        </w:rPr>
        <w:t>周年系列文化活动，</w:t>
      </w:r>
      <w:r>
        <w:rPr>
          <w:rFonts w:hint="eastAsia" w:ascii="仿宋_GB2312" w:hAnsi="宋体" w:eastAsia="仿宋_GB2312"/>
          <w:bCs/>
          <w:color w:val="000000"/>
          <w:sz w:val="32"/>
          <w:szCs w:val="32"/>
        </w:rPr>
        <w:t>积极筹备滋味盐边</w:t>
      </w:r>
      <w:r>
        <w:rPr>
          <w:rFonts w:ascii="仿宋_GB2312" w:hAnsi="宋体" w:eastAsia="仿宋_GB2312"/>
          <w:bCs/>
          <w:color w:val="000000"/>
          <w:sz w:val="32"/>
          <w:szCs w:val="32"/>
        </w:rPr>
        <w:t>.2021</w:t>
      </w:r>
      <w:r>
        <w:rPr>
          <w:rFonts w:hint="eastAsia" w:ascii="仿宋_GB2312" w:hAnsi="宋体" w:eastAsia="仿宋_GB2312"/>
          <w:bCs/>
          <w:color w:val="000000"/>
          <w:sz w:val="32"/>
          <w:szCs w:val="32"/>
        </w:rPr>
        <w:t>年盐边美食节及盐边春晚</w:t>
      </w:r>
      <w:r>
        <w:rPr>
          <w:rFonts w:hint="eastAsia" w:ascii="仿宋_GB2312" w:hAnsi="宋体" w:eastAsia="仿宋_GB2312"/>
          <w:color w:val="000000"/>
          <w:sz w:val="32"/>
          <w:szCs w:val="32"/>
        </w:rPr>
        <w:t>；组织笮山锅庄传承人在社区文化广场、学校开展传承，参加“百绣百年颂党恩”首届川渝非遗绣活大赛喜获铜奖。</w:t>
      </w:r>
      <w:r>
        <w:rPr>
          <w:rFonts w:hint="eastAsia" w:ascii="仿宋_GB2312" w:hAnsi="宋体" w:eastAsia="仿宋_GB2312"/>
          <w:sz w:val="32"/>
          <w:szCs w:val="32"/>
        </w:rPr>
        <w:t>盐边县谷万里以“傈僳族婚礼”获评第七批省级非物质文化遗产代表性传承人（民俗类）</w:t>
      </w:r>
      <w:r>
        <w:rPr>
          <w:rFonts w:ascii="仿宋_GB2312" w:hAnsi="宋体" w:eastAsia="仿宋_GB2312"/>
          <w:sz w:val="32"/>
          <w:szCs w:val="32"/>
        </w:rPr>
        <w:t>,</w:t>
      </w:r>
      <w:r>
        <w:rPr>
          <w:rFonts w:hint="eastAsia" w:ascii="仿宋_GB2312" w:hAnsi="宋体" w:eastAsia="仿宋_GB2312"/>
          <w:sz w:val="32"/>
          <w:szCs w:val="32"/>
        </w:rPr>
        <w:t>盐边县侯兴友以“苗族斗釜歌”获评第七批省级非物质文化遗产代表性传承人。</w:t>
      </w:r>
    </w:p>
    <w:p>
      <w:pPr>
        <w:ind w:firstLine="640"/>
        <w:rPr>
          <w:rFonts w:ascii="仿宋_GB2312" w:hAnsi="宋体" w:eastAsia="仿宋_GB2312"/>
          <w:color w:val="000000"/>
          <w:sz w:val="32"/>
          <w:szCs w:val="32"/>
        </w:rPr>
      </w:pPr>
      <w:r>
        <w:rPr>
          <w:rFonts w:ascii="仿宋_GB2312" w:hAnsi="宋体" w:eastAsia="仿宋_GB2312"/>
          <w:color w:val="000000"/>
          <w:sz w:val="32"/>
          <w:szCs w:val="32"/>
        </w:rPr>
        <w:t>6.</w:t>
      </w:r>
      <w:r>
        <w:rPr>
          <w:rFonts w:hint="eastAsia" w:ascii="仿宋_GB2312" w:hAnsi="宋体" w:eastAsia="仿宋_GB2312"/>
          <w:color w:val="000000"/>
          <w:sz w:val="32"/>
          <w:szCs w:val="32"/>
        </w:rPr>
        <w:t>创新宣传营销方式，做好招商引资工作。</w:t>
      </w:r>
      <w:r>
        <w:rPr>
          <w:rFonts w:hint="eastAsia" w:ascii="仿宋_GB2312" w:hAnsi="宋体" w:eastAsia="仿宋_GB2312"/>
          <w:bCs/>
          <w:color w:val="000000"/>
          <w:sz w:val="32"/>
          <w:szCs w:val="32"/>
        </w:rPr>
        <w:t>一是</w:t>
      </w:r>
      <w:r>
        <w:rPr>
          <w:rFonts w:hint="eastAsia" w:ascii="仿宋_GB2312" w:hAnsi="宋体" w:eastAsia="仿宋_GB2312"/>
          <w:color w:val="000000"/>
          <w:sz w:val="32"/>
          <w:szCs w:val="32"/>
        </w:rPr>
        <w:t>与移动盐边分公司签订大数据营销、彩信营销合作协议，全年向进入盐边县域内的游客发送宣传短信</w:t>
      </w:r>
      <w:r>
        <w:rPr>
          <w:rFonts w:ascii="仿宋_GB2312" w:hAnsi="宋体" w:eastAsia="仿宋_GB2312"/>
          <w:color w:val="000000"/>
          <w:sz w:val="32"/>
          <w:szCs w:val="32"/>
        </w:rPr>
        <w:t>125</w:t>
      </w:r>
      <w:r>
        <w:rPr>
          <w:rFonts w:hint="eastAsia" w:ascii="仿宋_GB2312" w:hAnsi="宋体" w:eastAsia="仿宋_GB2312"/>
          <w:color w:val="000000"/>
          <w:sz w:val="32"/>
          <w:szCs w:val="32"/>
        </w:rPr>
        <w:t>万余条，彩信</w:t>
      </w:r>
      <w:r>
        <w:rPr>
          <w:rFonts w:ascii="仿宋_GB2312" w:hAnsi="宋体" w:eastAsia="仿宋_GB2312"/>
          <w:color w:val="000000"/>
          <w:sz w:val="32"/>
          <w:szCs w:val="32"/>
        </w:rPr>
        <w:t>66</w:t>
      </w:r>
      <w:r>
        <w:rPr>
          <w:rFonts w:hint="eastAsia" w:ascii="仿宋_GB2312" w:hAnsi="宋体" w:eastAsia="仿宋_GB2312"/>
          <w:color w:val="000000"/>
          <w:sz w:val="32"/>
          <w:szCs w:val="32"/>
        </w:rPr>
        <w:t>万余条。</w:t>
      </w:r>
      <w:r>
        <w:rPr>
          <w:rFonts w:hint="eastAsia" w:ascii="仿宋_GB2312" w:hAnsi="宋体" w:eastAsia="仿宋_GB2312"/>
          <w:bCs/>
          <w:color w:val="000000"/>
          <w:sz w:val="32"/>
          <w:szCs w:val="32"/>
        </w:rPr>
        <w:t>二是</w:t>
      </w:r>
      <w:r>
        <w:rPr>
          <w:rFonts w:hint="eastAsia" w:ascii="仿宋_GB2312" w:hAnsi="宋体" w:eastAsia="仿宋_GB2312"/>
          <w:color w:val="000000"/>
          <w:sz w:val="32"/>
          <w:szCs w:val="32"/>
        </w:rPr>
        <w:t>到省文旅厅“智游天府”平台直播红格省级旅游度假区；参加成都至攀枝花“熊猫专列”首发仪式，邀请“小红书”网红打卡宣传昔格达、太阳湖等景区景点。</w:t>
      </w:r>
      <w:r>
        <w:rPr>
          <w:rFonts w:hint="eastAsia" w:ascii="仿宋_GB2312" w:hAnsi="宋体" w:eastAsia="仿宋_GB2312"/>
          <w:bCs/>
          <w:color w:val="000000"/>
          <w:sz w:val="32"/>
          <w:szCs w:val="32"/>
        </w:rPr>
        <w:t>三是</w:t>
      </w:r>
      <w:r>
        <w:rPr>
          <w:rFonts w:hint="eastAsia" w:ascii="仿宋_GB2312" w:hAnsi="宋体" w:eastAsia="仿宋_GB2312"/>
          <w:color w:val="000000"/>
          <w:sz w:val="32"/>
          <w:szCs w:val="32"/>
        </w:rPr>
        <w:t>打造“盐边味道”品牌，设计“盐边味道”</w:t>
      </w:r>
      <w:r>
        <w:rPr>
          <w:rFonts w:ascii="仿宋_GB2312" w:hAnsi="宋体" w:eastAsia="仿宋_GB2312"/>
          <w:color w:val="000000"/>
          <w:sz w:val="32"/>
          <w:szCs w:val="32"/>
        </w:rPr>
        <w:t>logo</w:t>
      </w:r>
      <w:r>
        <w:rPr>
          <w:rFonts w:hint="eastAsia" w:ascii="仿宋_GB2312" w:hAnsi="宋体" w:eastAsia="仿宋_GB2312"/>
          <w:color w:val="000000"/>
          <w:sz w:val="32"/>
          <w:szCs w:val="32"/>
        </w:rPr>
        <w:t>，进行首批盐边餐饮名店提升改造，推出</w:t>
      </w:r>
      <w:r>
        <w:rPr>
          <w:rFonts w:ascii="仿宋_GB2312" w:hAnsi="宋体" w:eastAsia="仿宋_GB2312"/>
          <w:color w:val="000000"/>
          <w:sz w:val="32"/>
          <w:szCs w:val="32"/>
        </w:rPr>
        <w:t>4</w:t>
      </w:r>
      <w:r>
        <w:rPr>
          <w:rFonts w:hint="eastAsia" w:ascii="仿宋_GB2312" w:hAnsi="宋体" w:eastAsia="仿宋_GB2312"/>
          <w:color w:val="000000"/>
          <w:sz w:val="32"/>
          <w:szCs w:val="32"/>
        </w:rPr>
        <w:t>条美食体验线路，并通过攀枝花手机台等线上平台及相关线下平台进行宣传推介；塑造“文创”品牌，积极开发营销个性化“伴手礼”。五是精心组织攀枝花市第三届清凉夏季暨“寻觅山水，滋味盐边”活动启动仪式及</w:t>
      </w:r>
      <w:r>
        <w:rPr>
          <w:rFonts w:hint="eastAsia" w:ascii="仿宋_GB2312" w:hAnsi="宋体" w:eastAsia="仿宋_GB2312"/>
          <w:bCs/>
          <w:color w:val="000000"/>
          <w:sz w:val="32"/>
          <w:szCs w:val="32"/>
        </w:rPr>
        <w:t>“寻觅山水滋味盐边”城市品牌推介活动，完成</w:t>
      </w:r>
      <w:r>
        <w:rPr>
          <w:rFonts w:hint="eastAsia" w:ascii="仿宋_GB2312" w:hAnsi="宋体" w:eastAsia="仿宋_GB2312"/>
          <w:color w:val="000000"/>
          <w:sz w:val="32"/>
          <w:szCs w:val="32"/>
        </w:rPr>
        <w:t>《盐边旅游指南》《红格手绘地图》的编印。六是接待港中旅集团、成都文旅集团等</w:t>
      </w:r>
      <w:r>
        <w:rPr>
          <w:rFonts w:ascii="仿宋_GB2312" w:hAnsi="宋体" w:eastAsia="仿宋_GB2312"/>
          <w:color w:val="000000"/>
          <w:sz w:val="32"/>
          <w:szCs w:val="32"/>
        </w:rPr>
        <w:t>16</w:t>
      </w:r>
      <w:r>
        <w:rPr>
          <w:rFonts w:hint="eastAsia" w:ascii="仿宋_GB2312" w:hAnsi="宋体" w:eastAsia="仿宋_GB2312"/>
          <w:color w:val="000000"/>
          <w:sz w:val="32"/>
          <w:szCs w:val="32"/>
        </w:rPr>
        <w:t>批次考察团。</w:t>
      </w:r>
    </w:p>
    <w:p>
      <w:pPr>
        <w:ind w:firstLine="640"/>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强化文旅市场监督管理。截止</w:t>
      </w:r>
      <w:r>
        <w:rPr>
          <w:rFonts w:ascii="仿宋_GB2312" w:hAnsi="宋体" w:eastAsia="仿宋_GB2312"/>
          <w:sz w:val="32"/>
          <w:szCs w:val="32"/>
        </w:rPr>
        <w:t>12</w:t>
      </w:r>
      <w:r>
        <w:rPr>
          <w:rFonts w:hint="eastAsia" w:ascii="仿宋_GB2312" w:hAnsi="宋体" w:eastAsia="仿宋_GB2312"/>
          <w:sz w:val="32"/>
          <w:szCs w:val="32"/>
        </w:rPr>
        <w:t>月，文化市场执法大队参加开展联合执法检查</w:t>
      </w:r>
      <w:r>
        <w:rPr>
          <w:rFonts w:ascii="仿宋_GB2312" w:hAnsi="宋体" w:eastAsia="仿宋_GB2312"/>
          <w:sz w:val="32"/>
          <w:szCs w:val="32"/>
        </w:rPr>
        <w:t>7</w:t>
      </w:r>
      <w:r>
        <w:rPr>
          <w:rFonts w:hint="eastAsia" w:ascii="仿宋_GB2312" w:hAnsi="宋体" w:eastAsia="仿宋_GB2312"/>
          <w:sz w:val="32"/>
          <w:szCs w:val="32"/>
        </w:rPr>
        <w:t>次，开展专项检查</w:t>
      </w:r>
      <w:r>
        <w:rPr>
          <w:rFonts w:ascii="仿宋_GB2312" w:hAnsi="宋体" w:eastAsia="仿宋_GB2312"/>
          <w:sz w:val="32"/>
          <w:szCs w:val="32"/>
        </w:rPr>
        <w:t>1</w:t>
      </w:r>
      <w:r>
        <w:rPr>
          <w:rFonts w:hint="eastAsia" w:ascii="仿宋_GB2312" w:hAnsi="宋体" w:eastAsia="仿宋_GB2312"/>
          <w:sz w:val="32"/>
          <w:szCs w:val="32"/>
        </w:rPr>
        <w:t>次，接受省文旅厅执法专项检查</w:t>
      </w:r>
      <w:r>
        <w:rPr>
          <w:rFonts w:ascii="仿宋_GB2312" w:hAnsi="宋体" w:eastAsia="仿宋_GB2312"/>
          <w:sz w:val="32"/>
          <w:szCs w:val="32"/>
        </w:rPr>
        <w:t>2</w:t>
      </w:r>
      <w:r>
        <w:rPr>
          <w:rFonts w:hint="eastAsia" w:ascii="仿宋_GB2312" w:hAnsi="宋体" w:eastAsia="仿宋_GB2312"/>
          <w:sz w:val="32"/>
          <w:szCs w:val="32"/>
        </w:rPr>
        <w:t>次。执法队出动执法人员</w:t>
      </w:r>
      <w:r>
        <w:rPr>
          <w:rFonts w:ascii="仿宋_GB2312" w:hAnsi="宋体" w:eastAsia="仿宋_GB2312"/>
          <w:sz w:val="32"/>
          <w:szCs w:val="32"/>
        </w:rPr>
        <w:t>1020</w:t>
      </w:r>
      <w:r>
        <w:rPr>
          <w:rFonts w:hint="eastAsia" w:ascii="仿宋_GB2312" w:hAnsi="宋体" w:eastAsia="仿宋_GB2312"/>
          <w:sz w:val="32"/>
          <w:szCs w:val="32"/>
        </w:rPr>
        <w:t>人次，检查文旅企业</w:t>
      </w:r>
      <w:r>
        <w:rPr>
          <w:rFonts w:ascii="仿宋_GB2312" w:hAnsi="宋体" w:eastAsia="仿宋_GB2312"/>
          <w:sz w:val="32"/>
          <w:szCs w:val="32"/>
        </w:rPr>
        <w:t>340</w:t>
      </w:r>
      <w:r>
        <w:rPr>
          <w:rFonts w:hint="eastAsia" w:ascii="仿宋_GB2312" w:hAnsi="宋体" w:eastAsia="仿宋_GB2312"/>
          <w:sz w:val="32"/>
          <w:szCs w:val="32"/>
        </w:rPr>
        <w:t>家次，检查共发现问题</w:t>
      </w:r>
      <w:r>
        <w:rPr>
          <w:rFonts w:ascii="仿宋_GB2312" w:hAnsi="宋体" w:eastAsia="仿宋_GB2312"/>
          <w:sz w:val="32"/>
          <w:szCs w:val="32"/>
        </w:rPr>
        <w:t>10</w:t>
      </w:r>
      <w:r>
        <w:rPr>
          <w:rFonts w:hint="eastAsia" w:ascii="仿宋_GB2312" w:hAnsi="宋体" w:eastAsia="仿宋_GB2312"/>
          <w:sz w:val="32"/>
          <w:szCs w:val="32"/>
        </w:rPr>
        <w:t>个，提出整改意见</w:t>
      </w:r>
      <w:r>
        <w:rPr>
          <w:rFonts w:ascii="仿宋_GB2312" w:hAnsi="宋体" w:eastAsia="仿宋_GB2312"/>
          <w:sz w:val="32"/>
          <w:szCs w:val="32"/>
        </w:rPr>
        <w:t>10</w:t>
      </w:r>
      <w:r>
        <w:rPr>
          <w:rFonts w:hint="eastAsia" w:ascii="仿宋_GB2312" w:hAnsi="宋体" w:eastAsia="仿宋_GB2312"/>
          <w:sz w:val="32"/>
          <w:szCs w:val="32"/>
        </w:rPr>
        <w:t>条，下发整改通知书</w:t>
      </w:r>
      <w:r>
        <w:rPr>
          <w:rFonts w:ascii="仿宋_GB2312" w:hAnsi="宋体" w:eastAsia="仿宋_GB2312"/>
          <w:sz w:val="32"/>
          <w:szCs w:val="32"/>
        </w:rPr>
        <w:t>4</w:t>
      </w:r>
      <w:r>
        <w:rPr>
          <w:rFonts w:hint="eastAsia" w:ascii="仿宋_GB2312" w:hAnsi="宋体" w:eastAsia="仿宋_GB2312"/>
          <w:sz w:val="32"/>
          <w:szCs w:val="32"/>
        </w:rPr>
        <w:t>条，实施行政处罚</w:t>
      </w:r>
      <w:r>
        <w:rPr>
          <w:rFonts w:ascii="仿宋_GB2312" w:hAnsi="宋体" w:eastAsia="仿宋_GB2312"/>
          <w:sz w:val="32"/>
          <w:szCs w:val="32"/>
        </w:rPr>
        <w:t>2</w:t>
      </w:r>
      <w:r>
        <w:rPr>
          <w:rFonts w:hint="eastAsia" w:ascii="仿宋_GB2312" w:hAnsi="宋体" w:eastAsia="仿宋_GB2312"/>
          <w:sz w:val="32"/>
          <w:szCs w:val="32"/>
        </w:rPr>
        <w:t>起。办理信访、举报</w:t>
      </w:r>
      <w:r>
        <w:rPr>
          <w:rFonts w:ascii="仿宋_GB2312" w:hAnsi="宋体" w:eastAsia="仿宋_GB2312"/>
          <w:sz w:val="32"/>
          <w:szCs w:val="32"/>
        </w:rPr>
        <w:t>6</w:t>
      </w:r>
      <w:r>
        <w:rPr>
          <w:rFonts w:hint="eastAsia" w:ascii="仿宋_GB2312" w:hAnsi="宋体" w:eastAsia="仿宋_GB2312"/>
          <w:sz w:val="32"/>
          <w:szCs w:val="32"/>
        </w:rPr>
        <w:t>起。全面完成了</w:t>
      </w:r>
      <w:r>
        <w:rPr>
          <w:rFonts w:ascii="仿宋_GB2312" w:hAnsi="宋体" w:eastAsia="仿宋_GB2312"/>
          <w:sz w:val="32"/>
          <w:szCs w:val="32"/>
        </w:rPr>
        <w:t>2021</w:t>
      </w:r>
      <w:r>
        <w:rPr>
          <w:rFonts w:hint="eastAsia" w:ascii="仿宋_GB2312" w:hAnsi="宋体" w:eastAsia="仿宋_GB2312"/>
          <w:sz w:val="32"/>
          <w:szCs w:val="32"/>
        </w:rPr>
        <w:t>年“保考禁噪”工作任务。</w:t>
      </w:r>
    </w:p>
    <w:p>
      <w:pPr>
        <w:ind w:firstLine="640"/>
        <w:rPr>
          <w:rFonts w:ascii="仿宋_GB2312" w:hAnsi="宋体" w:eastAsia="仿宋_GB2312"/>
          <w:sz w:val="32"/>
          <w:szCs w:val="32"/>
        </w:rPr>
      </w:pPr>
      <w:r>
        <w:rPr>
          <w:rFonts w:ascii="仿宋_GB2312" w:hAnsi="宋体" w:eastAsia="仿宋_GB2312"/>
          <w:sz w:val="32"/>
          <w:szCs w:val="32"/>
        </w:rPr>
        <w:t xml:space="preserve">8. </w:t>
      </w:r>
      <w:r>
        <w:rPr>
          <w:rFonts w:hint="eastAsia" w:ascii="仿宋_GB2312" w:hAnsi="宋体" w:eastAsia="仿宋_GB2312"/>
          <w:sz w:val="32"/>
          <w:szCs w:val="32"/>
        </w:rPr>
        <w:t>深入开展送文化下乡活动。根据农村群众精神文化需求，坚持以文化人、以文育人的原则，创作群众喜闻乐见的文艺节目，</w:t>
      </w:r>
      <w:r>
        <w:rPr>
          <w:rFonts w:ascii="仿宋_GB2312" w:hAnsi="宋体" w:eastAsia="仿宋_GB2312"/>
          <w:sz w:val="32"/>
          <w:szCs w:val="32"/>
        </w:rPr>
        <w:t>2021</w:t>
      </w:r>
      <w:r>
        <w:rPr>
          <w:rFonts w:hint="eastAsia" w:ascii="仿宋_GB2312" w:hAnsi="宋体" w:eastAsia="仿宋_GB2312"/>
          <w:sz w:val="32"/>
          <w:szCs w:val="32"/>
        </w:rPr>
        <w:t>年全年到乡镇开展送文化下乡和三下乡活动</w:t>
      </w:r>
      <w:r>
        <w:rPr>
          <w:rFonts w:ascii="仿宋_GB2312" w:hAnsi="宋体" w:eastAsia="仿宋_GB2312"/>
          <w:sz w:val="32"/>
          <w:szCs w:val="32"/>
        </w:rPr>
        <w:t>45</w:t>
      </w:r>
      <w:r>
        <w:rPr>
          <w:rFonts w:hint="eastAsia" w:ascii="仿宋_GB2312" w:hAnsi="宋体" w:eastAsia="仿宋_GB2312"/>
          <w:sz w:val="32"/>
          <w:szCs w:val="32"/>
        </w:rPr>
        <w:t>场，对农村文艺爱好者进行文艺辅导，全年服务群众</w:t>
      </w:r>
      <w:r>
        <w:rPr>
          <w:rFonts w:ascii="仿宋_GB2312" w:hAnsi="宋体" w:eastAsia="仿宋_GB2312"/>
          <w:sz w:val="32"/>
          <w:szCs w:val="32"/>
        </w:rPr>
        <w:t>22000</w:t>
      </w:r>
      <w:r>
        <w:rPr>
          <w:rFonts w:hint="eastAsia" w:ascii="仿宋_GB2312" w:hAnsi="宋体" w:eastAsia="仿宋_GB2312"/>
          <w:sz w:val="32"/>
          <w:szCs w:val="32"/>
        </w:rPr>
        <w:t>余人次。</w:t>
      </w:r>
    </w:p>
    <w:p>
      <w:pPr>
        <w:ind w:firstLine="640"/>
        <w:jc w:val="left"/>
        <w:rPr>
          <w:rFonts w:ascii="仿宋_GB2312" w:hAnsi="宋体" w:eastAsia="仿宋_GB2312"/>
          <w:sz w:val="32"/>
          <w:szCs w:val="32"/>
        </w:rPr>
      </w:pPr>
      <w:r>
        <w:rPr>
          <w:rFonts w:ascii="仿宋_GB2312" w:hAnsi="宋体" w:eastAsia="仿宋_GB2312"/>
          <w:sz w:val="32"/>
          <w:szCs w:val="32"/>
        </w:rPr>
        <w:t>9</w:t>
      </w:r>
      <w:r>
        <w:rPr>
          <w:rFonts w:hint="eastAsia" w:ascii="仿宋_GB2312" w:hAnsi="宋体" w:eastAsia="仿宋_GB2312"/>
          <w:sz w:val="32"/>
          <w:szCs w:val="32"/>
        </w:rPr>
        <w:t>、完成四川省第</w:t>
      </w:r>
      <w:r>
        <w:rPr>
          <w:rFonts w:ascii="仿宋_GB2312" w:hAnsi="宋体" w:eastAsia="仿宋_GB2312"/>
          <w:sz w:val="32"/>
          <w:szCs w:val="32"/>
        </w:rPr>
        <w:t>3</w:t>
      </w: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批非遗图典编写工作（盐边</w:t>
      </w:r>
      <w:r>
        <w:rPr>
          <w:rFonts w:ascii="仿宋_GB2312" w:hAnsi="宋体" w:eastAsia="仿宋_GB2312"/>
          <w:sz w:val="32"/>
          <w:szCs w:val="32"/>
        </w:rPr>
        <w:t>5</w:t>
      </w:r>
      <w:r>
        <w:rPr>
          <w:rFonts w:hint="eastAsia" w:ascii="仿宋_GB2312" w:hAnsi="宋体" w:eastAsia="仿宋_GB2312"/>
          <w:sz w:val="32"/>
          <w:szCs w:val="32"/>
        </w:rPr>
        <w:t>项）。组织县级及以上代表性传承人参加盐边县</w:t>
      </w:r>
      <w:r>
        <w:rPr>
          <w:rFonts w:ascii="仿宋_GB2312" w:hAnsi="宋体" w:eastAsia="仿宋_GB2312"/>
          <w:sz w:val="32"/>
          <w:szCs w:val="32"/>
        </w:rPr>
        <w:t>2021</w:t>
      </w:r>
      <w:r>
        <w:rPr>
          <w:rFonts w:hint="eastAsia" w:ascii="仿宋_GB2312" w:hAnsi="宋体" w:eastAsia="仿宋_GB2312"/>
          <w:sz w:val="32"/>
          <w:szCs w:val="32"/>
        </w:rPr>
        <w:t>年基层文化专干培训。组织和推荐“攀乡旗舰店”和“攀枝花笮山若水国胜茶”两家网店参加第二届“四川非遗购物节”参加电商网络平台销售活动。拍摄和推荐“盐边油底肉制作技艺”和“浑浆豆花制作技艺”两个市级非遗项目视频作为天府旅游美食参加“云游四川·非遗影像展”。录制笮山锅庄项目党员传承人沙陇“百年百技艺心向党”宣传视频。</w:t>
      </w:r>
    </w:p>
    <w:p>
      <w:pPr>
        <w:jc w:val="left"/>
        <w:rPr>
          <w:rFonts w:ascii="仿宋_GB2312" w:hAnsi="宋体" w:eastAsia="仿宋_GB2312"/>
          <w:sz w:val="32"/>
          <w:szCs w:val="32"/>
        </w:rPr>
      </w:pPr>
      <w:r>
        <w:rPr>
          <w:rFonts w:ascii="仿宋_GB2312" w:hAnsi="宋体" w:eastAsia="仿宋_GB2312"/>
          <w:sz w:val="32"/>
          <w:szCs w:val="32"/>
        </w:rPr>
        <w:t xml:space="preserve">    10. </w:t>
      </w:r>
      <w:r>
        <w:rPr>
          <w:rFonts w:hint="eastAsia" w:ascii="仿宋_GB2312" w:hAnsi="宋体" w:eastAsia="仿宋_GB2312"/>
          <w:sz w:val="32"/>
          <w:szCs w:val="32"/>
        </w:rPr>
        <w:t>加强免费开放服务。盐边县文化馆每天免费开放，图书馆除周二闭馆外，每天免费向公众开放，每周开放时间不少于</w:t>
      </w:r>
      <w:r>
        <w:rPr>
          <w:rFonts w:ascii="仿宋_GB2312" w:hAnsi="宋体" w:eastAsia="仿宋_GB2312"/>
          <w:sz w:val="32"/>
          <w:szCs w:val="32"/>
        </w:rPr>
        <w:t>60</w:t>
      </w:r>
      <w:r>
        <w:rPr>
          <w:rFonts w:hint="eastAsia" w:ascii="仿宋_GB2312" w:hAnsi="宋体" w:eastAsia="仿宋_GB2312"/>
          <w:sz w:val="32"/>
          <w:szCs w:val="32"/>
        </w:rPr>
        <w:t>小时，节假日实施错时延时开放。下半年因疫情原因对开放时间进行了调整，对进馆人员进行管控。</w:t>
      </w:r>
    </w:p>
    <w:p>
      <w:pPr>
        <w:ind w:firstLine="640"/>
        <w:jc w:val="left"/>
        <w:rPr>
          <w:rFonts w:ascii="仿宋_GB2312" w:hAnsi="宋体" w:eastAsia="仿宋_GB2312"/>
          <w:sz w:val="32"/>
          <w:szCs w:val="32"/>
        </w:rPr>
      </w:pPr>
      <w:r>
        <w:rPr>
          <w:rFonts w:ascii="仿宋_GB2312" w:hAnsi="宋体" w:eastAsia="仿宋_GB2312"/>
          <w:sz w:val="32"/>
          <w:szCs w:val="32"/>
        </w:rPr>
        <w:t>11.</w:t>
      </w:r>
      <w:r>
        <w:rPr>
          <w:rFonts w:hint="eastAsia" w:ascii="仿宋_GB2312" w:hAnsi="宋体" w:eastAsia="仿宋_GB2312"/>
          <w:sz w:val="32"/>
          <w:szCs w:val="32"/>
        </w:rPr>
        <w:t>继续推进总分馆制建设。</w:t>
      </w:r>
      <w:r>
        <w:rPr>
          <w:rFonts w:ascii="仿宋_GB2312" w:hAnsi="宋体" w:eastAsia="仿宋_GB2312"/>
          <w:sz w:val="32"/>
          <w:szCs w:val="32"/>
        </w:rPr>
        <w:t>2021</w:t>
      </w:r>
      <w:r>
        <w:rPr>
          <w:rFonts w:hint="eastAsia" w:ascii="仿宋_GB2312" w:hAnsi="宋体" w:eastAsia="仿宋_GB2312"/>
          <w:sz w:val="32"/>
          <w:szCs w:val="32"/>
        </w:rPr>
        <w:t>年，盐边县图书馆新建</w:t>
      </w:r>
      <w:r>
        <w:rPr>
          <w:rFonts w:ascii="仿宋_GB2312" w:hAnsi="宋体" w:eastAsia="仿宋_GB2312"/>
          <w:sz w:val="32"/>
          <w:szCs w:val="32"/>
        </w:rPr>
        <w:t>12</w:t>
      </w:r>
      <w:r>
        <w:rPr>
          <w:rFonts w:hint="eastAsia" w:ascii="仿宋_GB2312" w:hAnsi="宋体" w:eastAsia="仿宋_GB2312"/>
          <w:sz w:val="32"/>
          <w:szCs w:val="32"/>
        </w:rPr>
        <w:t>个分馆，</w:t>
      </w:r>
      <w:r>
        <w:rPr>
          <w:rFonts w:hint="eastAsia" w:ascii="仿宋_GB2312" w:hAnsi="宋体" w:eastAsia="仿宋_GB2312"/>
          <w:sz w:val="32"/>
          <w:szCs w:val="32"/>
          <w:lang w:eastAsia="zh-CN"/>
        </w:rPr>
        <w:t>截至目前</w:t>
      </w:r>
      <w:r>
        <w:rPr>
          <w:rFonts w:hint="eastAsia" w:ascii="仿宋_GB2312" w:hAnsi="宋体" w:eastAsia="仿宋_GB2312"/>
          <w:sz w:val="32"/>
          <w:szCs w:val="32"/>
        </w:rPr>
        <w:t>，已建成图书馆分馆</w:t>
      </w:r>
      <w:r>
        <w:rPr>
          <w:rFonts w:ascii="仿宋_GB2312" w:hAnsi="宋体" w:eastAsia="仿宋_GB2312"/>
          <w:sz w:val="32"/>
          <w:szCs w:val="32"/>
        </w:rPr>
        <w:t>17</w:t>
      </w:r>
      <w:r>
        <w:rPr>
          <w:rFonts w:hint="eastAsia" w:ascii="仿宋_GB2312" w:hAnsi="宋体" w:eastAsia="仿宋_GB2312"/>
          <w:sz w:val="32"/>
          <w:szCs w:val="32"/>
        </w:rPr>
        <w:t>个，实现了图书馆乡镇分馆全覆盖建设。县图书馆不定期对分馆进行业务指导，开展辅导培训。</w:t>
      </w:r>
    </w:p>
    <w:p>
      <w:pPr>
        <w:pStyle w:val="4"/>
        <w:ind w:firstLine="480"/>
        <w:rPr>
          <w:rStyle w:val="184"/>
          <w:b/>
          <w:bCs/>
        </w:rPr>
      </w:pPr>
      <w:r>
        <w:rPr>
          <w:rFonts w:hint="eastAsia" w:ascii="黑体" w:eastAsia="黑体"/>
          <w:b w:val="0"/>
          <w:color w:val="000000"/>
        </w:rPr>
        <w:t>二、</w:t>
      </w:r>
      <w:r>
        <w:rPr>
          <w:rFonts w:hint="eastAsia" w:ascii="黑体" w:hAnsi="黑体" w:eastAsia="黑体"/>
          <w:b w:val="0"/>
          <w:color w:val="000000"/>
        </w:rPr>
        <w:t>机</w:t>
      </w:r>
      <w:r>
        <w:rPr>
          <w:rStyle w:val="184"/>
          <w:rFonts w:hint="eastAsia" w:ascii="黑体" w:hAnsi="黑体" w:eastAsia="黑体"/>
          <w:b/>
          <w:bCs/>
        </w:rPr>
        <w:t>构设置</w:t>
      </w:r>
    </w:p>
    <w:p>
      <w:pPr>
        <w:pStyle w:val="2"/>
        <w:spacing w:before="93" w:line="600" w:lineRule="exact"/>
        <w:ind w:firstLine="480"/>
        <w:rPr>
          <w:color w:val="000000"/>
        </w:rPr>
      </w:pPr>
      <w:r>
        <w:rPr>
          <w:rFonts w:hint="eastAsia"/>
          <w:color w:val="000000"/>
          <w:sz w:val="32"/>
          <w:szCs w:val="32"/>
        </w:rPr>
        <w:t>文广旅局下属二级单位</w:t>
      </w:r>
      <w:r>
        <w:rPr>
          <w:color w:val="000000"/>
          <w:sz w:val="32"/>
          <w:szCs w:val="32"/>
        </w:rPr>
        <w:t>2</w:t>
      </w:r>
      <w:r>
        <w:rPr>
          <w:rFonts w:hint="eastAsia"/>
          <w:color w:val="000000"/>
          <w:sz w:val="32"/>
          <w:szCs w:val="32"/>
        </w:rPr>
        <w:t>个，其他事业单位</w:t>
      </w:r>
      <w:r>
        <w:rPr>
          <w:color w:val="000000"/>
          <w:sz w:val="32"/>
          <w:szCs w:val="32"/>
        </w:rPr>
        <w:t>2</w:t>
      </w:r>
      <w:r>
        <w:rPr>
          <w:rFonts w:hint="eastAsia"/>
          <w:color w:val="000000"/>
          <w:sz w:val="32"/>
          <w:szCs w:val="32"/>
        </w:rPr>
        <w:t>个。盐边县文化广播电视和旅游局属于县政府工作部门，为正科级。下设县文化馆、县文化市场综合执法大队</w:t>
      </w:r>
      <w:r>
        <w:rPr>
          <w:color w:val="000000"/>
          <w:sz w:val="32"/>
          <w:szCs w:val="32"/>
        </w:rPr>
        <w:t>2</w:t>
      </w:r>
      <w:r>
        <w:rPr>
          <w:rFonts w:hint="eastAsia"/>
          <w:color w:val="000000"/>
          <w:sz w:val="32"/>
          <w:szCs w:val="32"/>
        </w:rPr>
        <w:t>个事业单位，其中文化馆为财政独立核算。县文广旅局与攀西大裂谷</w:t>
      </w:r>
      <w:r>
        <w:rPr>
          <w:rFonts w:hint="eastAsia" w:hAnsi="仿宋"/>
          <w:color w:val="000000"/>
          <w:sz w:val="32"/>
          <w:szCs w:val="32"/>
        </w:rPr>
        <w:t>格萨拉生态旅游区管理委员会</w:t>
      </w:r>
      <w:r>
        <w:rPr>
          <w:rFonts w:hint="eastAsia"/>
          <w:color w:val="000000"/>
          <w:sz w:val="32"/>
          <w:szCs w:val="32"/>
        </w:rPr>
        <w:t>、盐边县文化和旅游公共服务中心合署办公。</w:t>
      </w:r>
    </w:p>
    <w:p>
      <w:pPr>
        <w:pStyle w:val="2"/>
        <w:spacing w:before="93" w:line="600" w:lineRule="exact"/>
        <w:ind w:firstLine="480"/>
        <w:rPr>
          <w:rFonts w:hAnsi="仿宋"/>
          <w:color w:val="000000"/>
          <w:sz w:val="32"/>
          <w:szCs w:val="32"/>
        </w:rPr>
      </w:pPr>
      <w:r>
        <w:rPr>
          <w:rFonts w:hint="eastAsia" w:hAnsi="仿宋"/>
          <w:color w:val="000000"/>
          <w:sz w:val="32"/>
          <w:szCs w:val="32"/>
        </w:rPr>
        <w:t>入县文广旅局年度部门决算编制范围的预算单位包括：</w:t>
      </w:r>
    </w:p>
    <w:p>
      <w:pPr>
        <w:pStyle w:val="2"/>
        <w:numPr>
          <w:ilvl w:val="0"/>
          <w:numId w:val="1"/>
        </w:numPr>
        <w:spacing w:before="93" w:line="600" w:lineRule="exact"/>
        <w:ind w:left="1152"/>
        <w:outlineLvl w:val="2"/>
        <w:rPr>
          <w:rFonts w:hAnsi="仿宋"/>
          <w:color w:val="000000"/>
          <w:sz w:val="32"/>
          <w:szCs w:val="32"/>
        </w:rPr>
      </w:pPr>
      <w:r>
        <w:rPr>
          <w:rFonts w:hint="eastAsia" w:hAnsi="仿宋"/>
          <w:color w:val="000000"/>
          <w:sz w:val="32"/>
          <w:szCs w:val="32"/>
        </w:rPr>
        <w:t>攀西大裂谷格萨拉生态旅游区管理委员会</w:t>
      </w:r>
    </w:p>
    <w:p>
      <w:pPr>
        <w:pStyle w:val="2"/>
        <w:numPr>
          <w:ilvl w:val="0"/>
          <w:numId w:val="1"/>
        </w:numPr>
        <w:spacing w:before="93" w:line="600" w:lineRule="exact"/>
        <w:ind w:left="1152"/>
        <w:outlineLvl w:val="2"/>
        <w:rPr>
          <w:rFonts w:hAnsi="仿宋"/>
          <w:color w:val="000000"/>
          <w:sz w:val="32"/>
          <w:szCs w:val="32"/>
        </w:rPr>
      </w:pPr>
      <w:bookmarkStart w:id="26" w:name="_Toc52180071"/>
      <w:bookmarkStart w:id="27" w:name="_Toc15377433"/>
      <w:bookmarkStart w:id="28" w:name="OLE_LINK3"/>
      <w:bookmarkStart w:id="29" w:name="_Toc15377202"/>
      <w:bookmarkStart w:id="30" w:name="_Toc15306276"/>
      <w:bookmarkStart w:id="31" w:name="_Toc15378449"/>
      <w:r>
        <w:rPr>
          <w:rFonts w:hint="eastAsia"/>
          <w:color w:val="000000"/>
          <w:sz w:val="32"/>
          <w:szCs w:val="32"/>
        </w:rPr>
        <w:t>盐边县文化和旅游公共服务中心</w:t>
      </w:r>
      <w:bookmarkEnd w:id="26"/>
      <w:bookmarkEnd w:id="27"/>
      <w:bookmarkEnd w:id="28"/>
      <w:bookmarkEnd w:id="29"/>
      <w:bookmarkEnd w:id="30"/>
      <w:bookmarkEnd w:id="31"/>
    </w:p>
    <w:p>
      <w:pPr>
        <w:pStyle w:val="2"/>
        <w:numPr>
          <w:ilvl w:val="0"/>
          <w:numId w:val="1"/>
        </w:numPr>
        <w:spacing w:before="93" w:line="600" w:lineRule="exact"/>
        <w:ind w:left="1152"/>
        <w:outlineLvl w:val="2"/>
        <w:rPr>
          <w:rFonts w:hAnsi="仿宋"/>
          <w:sz w:val="32"/>
          <w:szCs w:val="32"/>
        </w:rPr>
      </w:pPr>
      <w:r>
        <w:rPr>
          <w:rFonts w:hint="eastAsia"/>
          <w:sz w:val="32"/>
          <w:szCs w:val="32"/>
        </w:rPr>
        <w:t>盐边县文化市场综合执法大队</w:t>
      </w:r>
    </w:p>
    <w:p>
      <w:pPr>
        <w:pStyle w:val="2"/>
        <w:numPr>
          <w:ilvl w:val="0"/>
          <w:numId w:val="1"/>
        </w:numPr>
        <w:spacing w:before="93" w:line="600" w:lineRule="exact"/>
        <w:outlineLvl w:val="2"/>
        <w:rPr>
          <w:sz w:val="32"/>
          <w:szCs w:val="32"/>
        </w:rPr>
      </w:pPr>
      <w:r>
        <w:rPr>
          <w:rFonts w:hint="eastAsia"/>
          <w:sz w:val="32"/>
          <w:szCs w:val="32"/>
        </w:rPr>
        <w:t>盐边县文化馆</w:t>
      </w:r>
      <w:bookmarkStart w:id="32" w:name="_Toc15377204"/>
      <w:bookmarkStart w:id="33" w:name="_Toc15396602"/>
      <w:bookmarkStart w:id="34" w:name="_Toc52180073"/>
    </w:p>
    <w:p>
      <w:pPr>
        <w:ind w:left="735"/>
      </w:pPr>
    </w:p>
    <w:p>
      <w:pPr>
        <w:pStyle w:val="14"/>
      </w:pPr>
    </w:p>
    <w:p/>
    <w:p>
      <w:pPr>
        <w:pStyle w:val="14"/>
      </w:pPr>
    </w:p>
    <w:p/>
    <w:p>
      <w:pPr>
        <w:pStyle w:val="14"/>
      </w:pPr>
    </w:p>
    <w:p/>
    <w:p>
      <w:pPr>
        <w:pStyle w:val="3"/>
        <w:ind w:right="440"/>
        <w:jc w:val="center"/>
        <w:rPr>
          <w:rStyle w:val="183"/>
          <w:rFonts w:ascii="黑体" w:hAnsi="黑体" w:eastAsia="黑体"/>
          <w:b w:val="0"/>
          <w:bCs w:val="0"/>
        </w:rPr>
      </w:pPr>
      <w:r>
        <w:rPr>
          <w:rFonts w:hint="eastAsia" w:ascii="黑体" w:hAnsi="黑体" w:eastAsia="黑体"/>
          <w:b w:val="0"/>
          <w:color w:val="000000"/>
        </w:rPr>
        <w:t>第二部分</w:t>
      </w:r>
      <w:r>
        <w:rPr>
          <w:rFonts w:ascii="黑体" w:hAnsi="黑体" w:eastAsia="黑体"/>
          <w:b w:val="0"/>
          <w:color w:val="000000"/>
        </w:rPr>
        <w:t xml:space="preserve"> 2021</w:t>
      </w:r>
      <w:r>
        <w:rPr>
          <w:rStyle w:val="183"/>
          <w:rFonts w:hint="eastAsia" w:ascii="黑体" w:hAnsi="黑体" w:eastAsia="黑体"/>
          <w:b w:val="0"/>
          <w:bCs w:val="0"/>
        </w:rPr>
        <w:t>年度部门决算情况说明</w:t>
      </w:r>
      <w:bookmarkEnd w:id="32"/>
      <w:bookmarkEnd w:id="33"/>
      <w:bookmarkEnd w:id="34"/>
    </w:p>
    <w:p/>
    <w:p>
      <w:pPr>
        <w:pStyle w:val="196"/>
        <w:numPr>
          <w:ilvl w:val="0"/>
          <w:numId w:val="2"/>
        </w:numPr>
        <w:spacing w:line="600" w:lineRule="exact"/>
        <w:outlineLvl w:val="1"/>
        <w:rPr>
          <w:rStyle w:val="184"/>
          <w:rFonts w:ascii="黑体" w:hAnsi="黑体" w:eastAsia="黑体"/>
          <w:b w:val="0"/>
        </w:rPr>
      </w:pPr>
      <w:bookmarkStart w:id="35" w:name="_Toc15377205"/>
      <w:bookmarkStart w:id="36" w:name="_Toc52180074"/>
      <w:bookmarkStart w:id="37" w:name="_Toc15396603"/>
      <w:r>
        <w:rPr>
          <w:rFonts w:hint="eastAsia" w:ascii="黑体" w:hAnsi="黑体" w:eastAsia="黑体"/>
          <w:color w:val="000000"/>
          <w:sz w:val="32"/>
          <w:szCs w:val="32"/>
        </w:rPr>
        <w:t>收</w:t>
      </w:r>
      <w:r>
        <w:rPr>
          <w:rStyle w:val="184"/>
          <w:rFonts w:hint="eastAsia" w:ascii="黑体" w:hAnsi="黑体" w:eastAsia="黑体"/>
          <w:b w:val="0"/>
        </w:rPr>
        <w:t>入支出决算总体情况说明</w:t>
      </w:r>
      <w:bookmarkEnd w:id="35"/>
      <w:bookmarkEnd w:id="36"/>
      <w:bookmarkEnd w:id="37"/>
    </w:p>
    <w:p>
      <w:pPr>
        <w:spacing w:line="520" w:lineRule="exact"/>
        <w:ind w:firstLine="800"/>
        <w:rPr>
          <w:rFonts w:ascii="仿宋_GB2312" w:hAnsi="宋体" w:eastAsia="仿宋_GB2312"/>
          <w:sz w:val="32"/>
          <w:szCs w:val="32"/>
        </w:rPr>
      </w:pPr>
      <w:r>
        <w:rPr>
          <w:rFonts w:ascii="仿宋_GB2312" w:eastAsia="仿宋_GB2312"/>
          <w:color w:val="000000"/>
          <w:sz w:val="32"/>
          <w:szCs w:val="32"/>
        </w:rPr>
        <w:t>2021</w:t>
      </w:r>
      <w:r>
        <w:rPr>
          <w:rFonts w:hint="eastAsia" w:ascii="仿宋_GB2312" w:eastAsia="仿宋_GB2312"/>
          <w:color w:val="000000"/>
          <w:sz w:val="32"/>
          <w:szCs w:val="32"/>
        </w:rPr>
        <w:t>年度收入总计</w:t>
      </w:r>
      <w:r>
        <w:rPr>
          <w:rFonts w:ascii="仿宋_GB2312" w:eastAsia="仿宋_GB2312"/>
          <w:color w:val="000000"/>
          <w:sz w:val="32"/>
          <w:szCs w:val="32"/>
        </w:rPr>
        <w:t>7806.8</w:t>
      </w:r>
      <w:r>
        <w:rPr>
          <w:rFonts w:hint="eastAsia" w:ascii="仿宋_GB2312" w:eastAsia="仿宋_GB2312"/>
          <w:color w:val="000000"/>
          <w:sz w:val="32"/>
          <w:szCs w:val="32"/>
        </w:rPr>
        <w:t>万元，与</w:t>
      </w:r>
      <w:r>
        <w:rPr>
          <w:rFonts w:ascii="仿宋_GB2312" w:eastAsia="仿宋_GB2312"/>
          <w:color w:val="000000"/>
          <w:sz w:val="32"/>
          <w:szCs w:val="32"/>
        </w:rPr>
        <w:t xml:space="preserve"> 2020</w:t>
      </w:r>
      <w:r>
        <w:rPr>
          <w:rFonts w:hint="eastAsia" w:ascii="仿宋_GB2312" w:eastAsia="仿宋_GB2312"/>
          <w:color w:val="000000"/>
          <w:sz w:val="32"/>
          <w:szCs w:val="32"/>
        </w:rPr>
        <w:t>年收入总计</w:t>
      </w:r>
      <w:r>
        <w:rPr>
          <w:rFonts w:ascii="仿宋_GB2312" w:eastAsia="仿宋_GB2312"/>
          <w:color w:val="000000"/>
          <w:sz w:val="32"/>
          <w:szCs w:val="32"/>
        </w:rPr>
        <w:t>4261.64</w:t>
      </w:r>
      <w:r>
        <w:rPr>
          <w:rFonts w:hint="eastAsia" w:ascii="仿宋_GB2312" w:eastAsia="仿宋_GB2312"/>
          <w:color w:val="000000"/>
          <w:sz w:val="32"/>
          <w:szCs w:val="32"/>
        </w:rPr>
        <w:t>万元相比，收入总计增加</w:t>
      </w:r>
      <w:r>
        <w:rPr>
          <w:rFonts w:ascii="仿宋_GB2312" w:eastAsia="仿宋_GB2312"/>
          <w:color w:val="000000"/>
          <w:sz w:val="32"/>
          <w:szCs w:val="32"/>
        </w:rPr>
        <w:t>3545.16</w:t>
      </w:r>
      <w:r>
        <w:rPr>
          <w:rFonts w:hint="eastAsia" w:ascii="仿宋_GB2312" w:eastAsia="仿宋_GB2312"/>
          <w:color w:val="000000"/>
          <w:sz w:val="32"/>
          <w:szCs w:val="32"/>
        </w:rPr>
        <w:t>万元，增长</w:t>
      </w:r>
      <w:r>
        <w:rPr>
          <w:rFonts w:ascii="仿宋_GB2312" w:eastAsia="仿宋_GB2312"/>
          <w:color w:val="000000"/>
          <w:sz w:val="32"/>
          <w:szCs w:val="32"/>
        </w:rPr>
        <w:t>83.19%</w:t>
      </w:r>
      <w:r>
        <w:rPr>
          <w:rFonts w:hint="eastAsia" w:ascii="仿宋_GB2312" w:eastAsia="仿宋_GB2312"/>
          <w:color w:val="000000"/>
          <w:sz w:val="32"/>
          <w:szCs w:val="32"/>
        </w:rPr>
        <w:t>。其变动原因是，</w:t>
      </w:r>
      <w:r>
        <w:rPr>
          <w:rFonts w:hint="eastAsia" w:ascii="仿宋_GB2312" w:hAnsi="宋体" w:eastAsia="仿宋_GB2312"/>
          <w:sz w:val="32"/>
          <w:szCs w:val="32"/>
        </w:rPr>
        <w:t>增加旅游基础设施建设的项目经费及财政用存量资金化解历年暂付款。</w:t>
      </w:r>
    </w:p>
    <w:p>
      <w:pPr>
        <w:spacing w:line="520" w:lineRule="exact"/>
        <w:ind w:firstLine="800"/>
        <w:rPr>
          <w:rFonts w:ascii="仿宋_GB2312" w:eastAsia="仿宋_GB2312"/>
          <w:color w:val="000000"/>
          <w:sz w:val="32"/>
          <w:szCs w:val="32"/>
        </w:rPr>
      </w:pPr>
      <w:r>
        <w:rPr>
          <w:rFonts w:ascii="仿宋_GB2312" w:eastAsia="仿宋_GB2312"/>
          <w:color w:val="000000"/>
          <w:sz w:val="32"/>
          <w:szCs w:val="32"/>
        </w:rPr>
        <w:t>2021</w:t>
      </w:r>
      <w:r>
        <w:rPr>
          <w:rFonts w:hint="eastAsia" w:ascii="仿宋_GB2312" w:eastAsia="仿宋_GB2312"/>
          <w:color w:val="000000"/>
          <w:sz w:val="32"/>
          <w:szCs w:val="32"/>
        </w:rPr>
        <w:t>年度支出总计</w:t>
      </w:r>
      <w:r>
        <w:rPr>
          <w:rFonts w:ascii="仿宋_GB2312" w:eastAsia="仿宋_GB2312"/>
          <w:color w:val="000000"/>
          <w:sz w:val="32"/>
          <w:szCs w:val="32"/>
        </w:rPr>
        <w:t>7806.8</w:t>
      </w:r>
      <w:r>
        <w:rPr>
          <w:rFonts w:hint="eastAsia" w:ascii="仿宋_GB2312" w:eastAsia="仿宋_GB2312"/>
          <w:color w:val="000000"/>
          <w:sz w:val="32"/>
          <w:szCs w:val="32"/>
        </w:rPr>
        <w:t>万元，与</w:t>
      </w:r>
      <w:r>
        <w:rPr>
          <w:rFonts w:ascii="仿宋_GB2312" w:eastAsia="仿宋_GB2312"/>
          <w:color w:val="000000"/>
          <w:sz w:val="32"/>
          <w:szCs w:val="32"/>
        </w:rPr>
        <w:t>2020</w:t>
      </w:r>
      <w:r>
        <w:rPr>
          <w:rFonts w:hint="eastAsia" w:ascii="仿宋_GB2312" w:eastAsia="仿宋_GB2312"/>
          <w:color w:val="000000"/>
          <w:sz w:val="32"/>
          <w:szCs w:val="32"/>
        </w:rPr>
        <w:t>年支出总计</w:t>
      </w:r>
      <w:r>
        <w:rPr>
          <w:rFonts w:ascii="仿宋_GB2312" w:eastAsia="仿宋_GB2312"/>
          <w:color w:val="000000"/>
          <w:sz w:val="32"/>
          <w:szCs w:val="32"/>
        </w:rPr>
        <w:t>3626.6</w:t>
      </w:r>
      <w:r>
        <w:rPr>
          <w:rFonts w:hint="eastAsia" w:ascii="仿宋_GB2312" w:eastAsia="仿宋_GB2312"/>
          <w:color w:val="000000"/>
          <w:sz w:val="32"/>
          <w:szCs w:val="32"/>
        </w:rPr>
        <w:t>万元相比，支出增加</w:t>
      </w:r>
      <w:r>
        <w:rPr>
          <w:rFonts w:ascii="仿宋_GB2312" w:eastAsia="仿宋_GB2312"/>
          <w:color w:val="000000"/>
          <w:sz w:val="32"/>
          <w:szCs w:val="32"/>
        </w:rPr>
        <w:t>4180.2</w:t>
      </w:r>
      <w:r>
        <w:rPr>
          <w:rFonts w:hint="eastAsia" w:ascii="仿宋_GB2312" w:eastAsia="仿宋_GB2312"/>
          <w:color w:val="000000"/>
          <w:sz w:val="32"/>
          <w:szCs w:val="32"/>
        </w:rPr>
        <w:t>万元，增加</w:t>
      </w:r>
      <w:r>
        <w:rPr>
          <w:rFonts w:ascii="仿宋_GB2312" w:eastAsia="仿宋_GB2312"/>
          <w:color w:val="000000"/>
          <w:sz w:val="32"/>
          <w:szCs w:val="32"/>
        </w:rPr>
        <w:t>115.26%</w:t>
      </w:r>
      <w:r>
        <w:rPr>
          <w:rFonts w:hint="eastAsia" w:ascii="仿宋_GB2312" w:eastAsia="仿宋_GB2312"/>
          <w:color w:val="000000"/>
          <w:sz w:val="32"/>
          <w:szCs w:val="32"/>
        </w:rPr>
        <w:t>。</w:t>
      </w:r>
      <w:r>
        <w:rPr>
          <w:rFonts w:hint="eastAsia" w:ascii="仿宋_GB2312" w:hAnsi="仿宋" w:eastAsia="仿宋_GB2312"/>
          <w:sz w:val="32"/>
          <w:szCs w:val="32"/>
        </w:rPr>
        <w:t>主要原因是，</w:t>
      </w:r>
      <w:bookmarkStart w:id="38" w:name="OLE_LINK2"/>
      <w:r>
        <w:rPr>
          <w:rFonts w:hint="eastAsia" w:ascii="仿宋_GB2312" w:hAnsi="宋体" w:eastAsia="仿宋_GB2312"/>
          <w:sz w:val="32"/>
          <w:szCs w:val="32"/>
        </w:rPr>
        <w:t>增加的是旅游基础设施建设的项目经费及财政用存量资金化解历年暂付款。</w:t>
      </w:r>
      <w:bookmarkEnd w:id="38"/>
    </w:p>
    <w:p/>
    <w:p>
      <w:pPr>
        <w:pStyle w:val="2"/>
        <w:spacing w:before="93"/>
        <w:ind w:firstLine="1920"/>
      </w:pPr>
      <w:r>
        <w:drawing>
          <wp:inline distT="0" distB="0" distL="0" distR="0">
            <wp:extent cx="2162175" cy="1914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162175" cy="1914525"/>
                    </a:xfrm>
                    <a:prstGeom prst="rect">
                      <a:avLst/>
                    </a:prstGeom>
                    <a:noFill/>
                    <a:ln>
                      <a:noFill/>
                    </a:ln>
                  </pic:spPr>
                </pic:pic>
              </a:graphicData>
            </a:graphic>
          </wp:inline>
        </w:drawing>
      </w:r>
    </w:p>
    <w:p>
      <w:pPr>
        <w:spacing w:line="600" w:lineRule="exact"/>
        <w:ind w:firstLine="480"/>
        <w:rPr>
          <w:rFonts w:ascii="仿宋_GB2312" w:hAnsi="仿宋" w:eastAsia="仿宋_GB2312"/>
          <w:color w:val="000000"/>
          <w:sz w:val="32"/>
          <w:szCs w:val="32"/>
        </w:rPr>
      </w:pPr>
      <w:r>
        <w:rPr>
          <w:rFonts w:hint="eastAsia" w:ascii="仿宋_GB2312" w:hAnsi="仿宋" w:eastAsia="仿宋_GB2312"/>
          <w:color w:val="000000"/>
          <w:sz w:val="32"/>
          <w:szCs w:val="32"/>
        </w:rPr>
        <w:t>（图</w:t>
      </w:r>
      <w:r>
        <w:rPr>
          <w:rFonts w:ascii="仿宋_GB2312" w:hAnsi="仿宋" w:eastAsia="仿宋_GB2312"/>
          <w:color w:val="000000"/>
          <w:sz w:val="32"/>
          <w:szCs w:val="32"/>
        </w:rPr>
        <w:t>1</w:t>
      </w:r>
      <w:r>
        <w:rPr>
          <w:rFonts w:hint="eastAsia" w:ascii="仿宋_GB2312" w:hAnsi="仿宋" w:eastAsia="仿宋_GB2312"/>
          <w:color w:val="000000"/>
          <w:sz w:val="32"/>
          <w:szCs w:val="32"/>
        </w:rPr>
        <w:t>：收、支决算总计变动情况图）（柱状图）</w:t>
      </w:r>
    </w:p>
    <w:p>
      <w:pPr>
        <w:pStyle w:val="196"/>
        <w:numPr>
          <w:ilvl w:val="0"/>
          <w:numId w:val="2"/>
        </w:numPr>
        <w:spacing w:line="600" w:lineRule="exact"/>
        <w:outlineLvl w:val="1"/>
        <w:rPr>
          <w:rStyle w:val="184"/>
          <w:rFonts w:ascii="黑体" w:hAnsi="黑体" w:eastAsia="黑体"/>
          <w:b w:val="0"/>
        </w:rPr>
      </w:pPr>
      <w:bookmarkStart w:id="39" w:name="_Toc15377206"/>
      <w:bookmarkStart w:id="40" w:name="_Toc15396604"/>
      <w:bookmarkStart w:id="41" w:name="_Toc52180075"/>
      <w:r>
        <w:rPr>
          <w:rFonts w:hint="eastAsia" w:ascii="黑体" w:hAnsi="黑体" w:eastAsia="黑体"/>
          <w:color w:val="000000"/>
          <w:sz w:val="32"/>
          <w:szCs w:val="32"/>
        </w:rPr>
        <w:t>收</w:t>
      </w:r>
      <w:r>
        <w:rPr>
          <w:rStyle w:val="184"/>
          <w:rFonts w:hint="eastAsia" w:ascii="黑体" w:hAnsi="黑体" w:eastAsia="黑体"/>
          <w:b w:val="0"/>
        </w:rPr>
        <w:t>入决算情况说明</w:t>
      </w:r>
      <w:bookmarkEnd w:id="39"/>
      <w:bookmarkEnd w:id="40"/>
      <w:bookmarkEnd w:id="41"/>
    </w:p>
    <w:p>
      <w:pPr>
        <w:spacing w:line="600" w:lineRule="exact"/>
        <w:ind w:firstLine="640"/>
        <w:outlineLvl w:val="1"/>
        <w:rPr>
          <w:rFonts w:ascii="仿宋" w:hAnsi="仿宋" w:eastAsia="仿宋"/>
          <w:color w:val="000000"/>
          <w:sz w:val="32"/>
          <w:szCs w:val="32"/>
        </w:rPr>
      </w:pPr>
      <w:bookmarkStart w:id="42" w:name="_Toc52180076"/>
      <w:r>
        <w:rPr>
          <w:rFonts w:ascii="仿宋_GB2312" w:hAnsi="仿宋" w:eastAsia="仿宋_GB2312"/>
          <w:color w:val="000000"/>
          <w:sz w:val="32"/>
          <w:szCs w:val="32"/>
        </w:rPr>
        <w:t>2021</w:t>
      </w:r>
      <w:r>
        <w:rPr>
          <w:rFonts w:hint="eastAsia" w:ascii="仿宋_GB2312" w:hAnsi="仿宋" w:eastAsia="仿宋_GB2312"/>
          <w:color w:val="000000"/>
          <w:sz w:val="32"/>
          <w:szCs w:val="32"/>
        </w:rPr>
        <w:t>年本年收入合计</w:t>
      </w:r>
      <w:r>
        <w:rPr>
          <w:rFonts w:ascii="仿宋_GB2312" w:hAnsi="仿宋" w:eastAsia="仿宋_GB2312"/>
          <w:color w:val="000000"/>
          <w:sz w:val="32"/>
          <w:szCs w:val="32"/>
        </w:rPr>
        <w:t>6173.35</w:t>
      </w:r>
      <w:r>
        <w:rPr>
          <w:rFonts w:hint="eastAsia" w:ascii="仿宋_GB2312" w:hAnsi="仿宋" w:eastAsia="仿宋_GB2312"/>
          <w:color w:val="000000"/>
          <w:sz w:val="32"/>
          <w:szCs w:val="32"/>
        </w:rPr>
        <w:t>万元，其中：一般公共预算财政拨款收入</w:t>
      </w:r>
      <w:r>
        <w:rPr>
          <w:rFonts w:ascii="仿宋_GB2312" w:hAnsi="仿宋" w:eastAsia="仿宋_GB2312"/>
          <w:color w:val="000000"/>
          <w:sz w:val="32"/>
          <w:szCs w:val="32"/>
        </w:rPr>
        <w:t>1584.35</w:t>
      </w:r>
      <w:r>
        <w:rPr>
          <w:rFonts w:hint="eastAsia" w:ascii="仿宋_GB2312" w:hAnsi="仿宋" w:eastAsia="仿宋_GB2312"/>
          <w:color w:val="000000"/>
          <w:sz w:val="32"/>
          <w:szCs w:val="32"/>
        </w:rPr>
        <w:t>万元</w:t>
      </w:r>
      <w:r>
        <w:rPr>
          <w:rFonts w:hint="eastAsia" w:ascii="仿宋_GB2312" w:hAnsi="仿宋" w:eastAsia="仿宋_GB2312"/>
          <w:sz w:val="32"/>
          <w:szCs w:val="32"/>
        </w:rPr>
        <w:t>，占</w:t>
      </w:r>
      <w:r>
        <w:rPr>
          <w:rFonts w:ascii="仿宋_GB2312" w:hAnsi="仿宋" w:eastAsia="仿宋_GB2312"/>
          <w:sz w:val="32"/>
          <w:szCs w:val="32"/>
        </w:rPr>
        <w:t>25.66%</w:t>
      </w:r>
      <w:r>
        <w:rPr>
          <w:rFonts w:hint="eastAsia" w:ascii="仿宋_GB2312" w:hAnsi="仿宋" w:eastAsia="仿宋_GB2312"/>
          <w:sz w:val="32"/>
          <w:szCs w:val="32"/>
        </w:rPr>
        <w:t>；政府</w:t>
      </w:r>
      <w:r>
        <w:rPr>
          <w:rFonts w:hint="eastAsia" w:ascii="仿宋_GB2312" w:hAnsi="仿宋" w:eastAsia="仿宋_GB2312"/>
          <w:color w:val="000000"/>
          <w:sz w:val="32"/>
          <w:szCs w:val="32"/>
        </w:rPr>
        <w:t>性基金预算财政拨款收入</w:t>
      </w:r>
      <w:r>
        <w:rPr>
          <w:rFonts w:ascii="仿宋_GB2312" w:hAnsi="仿宋" w:eastAsia="仿宋_GB2312"/>
          <w:color w:val="000000"/>
          <w:sz w:val="32"/>
          <w:szCs w:val="32"/>
        </w:rPr>
        <w:t>4589</w:t>
      </w:r>
      <w:r>
        <w:rPr>
          <w:rFonts w:hint="eastAsia" w:ascii="仿宋_GB2312" w:hAnsi="仿宋" w:eastAsia="仿宋_GB2312"/>
          <w:color w:val="000000"/>
          <w:sz w:val="32"/>
          <w:szCs w:val="32"/>
        </w:rPr>
        <w:t>万元，占</w:t>
      </w:r>
      <w:r>
        <w:rPr>
          <w:rFonts w:ascii="仿宋_GB2312" w:hAnsi="仿宋" w:eastAsia="仿宋_GB2312"/>
          <w:color w:val="000000"/>
          <w:sz w:val="32"/>
          <w:szCs w:val="32"/>
        </w:rPr>
        <w:t>74.34%</w:t>
      </w:r>
      <w:r>
        <w:rPr>
          <w:rFonts w:hint="eastAsia" w:ascii="仿宋_GB2312" w:hAnsi="仿宋" w:eastAsia="仿宋_GB2312"/>
          <w:color w:val="000000"/>
          <w:sz w:val="32"/>
          <w:szCs w:val="32"/>
        </w:rPr>
        <w:t>；上级补助收入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；事业收入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；经营收入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；附属单位上缴收入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；其他收入</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w:t>
      </w:r>
      <w:bookmarkEnd w:id="42"/>
    </w:p>
    <w:p/>
    <w:p>
      <w:pPr>
        <w:ind w:firstLine="1260"/>
      </w:pPr>
    </w:p>
    <w:p>
      <w:pPr>
        <w:ind w:firstLine="1470"/>
      </w:pPr>
      <w:r>
        <w:drawing>
          <wp:inline distT="0" distB="0" distL="0" distR="0">
            <wp:extent cx="3105150" cy="1143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105150" cy="1143000"/>
                    </a:xfrm>
                    <a:prstGeom prst="rect">
                      <a:avLst/>
                    </a:prstGeom>
                    <a:noFill/>
                    <a:ln>
                      <a:noFill/>
                    </a:ln>
                  </pic:spPr>
                </pic:pic>
              </a:graphicData>
            </a:graphic>
          </wp:inline>
        </w:drawing>
      </w:r>
    </w:p>
    <w:p>
      <w:pPr>
        <w:spacing w:line="600" w:lineRule="exact"/>
        <w:ind w:firstLine="1280"/>
        <w:rPr>
          <w:rFonts w:ascii="仿宋_GB2312" w:hAnsi="仿宋" w:eastAsia="仿宋_GB2312"/>
          <w:color w:val="000000"/>
          <w:sz w:val="32"/>
          <w:szCs w:val="32"/>
        </w:rPr>
      </w:pPr>
      <w:r>
        <w:rPr>
          <w:rFonts w:hint="eastAsia" w:ascii="仿宋_GB2312" w:hAnsi="仿宋" w:eastAsia="仿宋_GB2312"/>
          <w:color w:val="000000"/>
          <w:sz w:val="32"/>
          <w:szCs w:val="32"/>
        </w:rPr>
        <w:t>（图</w:t>
      </w:r>
      <w:r>
        <w:rPr>
          <w:rFonts w:ascii="仿宋_GB2312" w:hAnsi="仿宋" w:eastAsia="仿宋_GB2312"/>
          <w:color w:val="000000"/>
          <w:sz w:val="32"/>
          <w:szCs w:val="32"/>
        </w:rPr>
        <w:t>2</w:t>
      </w:r>
      <w:r>
        <w:rPr>
          <w:rFonts w:hint="eastAsia" w:ascii="仿宋_GB2312" w:hAnsi="仿宋" w:eastAsia="仿宋_GB2312"/>
          <w:color w:val="000000"/>
          <w:sz w:val="32"/>
          <w:szCs w:val="32"/>
        </w:rPr>
        <w:t>：收入决算结构图）（饼状图）</w:t>
      </w:r>
    </w:p>
    <w:p>
      <w:pPr>
        <w:pStyle w:val="196"/>
        <w:numPr>
          <w:ilvl w:val="0"/>
          <w:numId w:val="2"/>
        </w:numPr>
        <w:spacing w:line="600" w:lineRule="exact"/>
        <w:outlineLvl w:val="1"/>
        <w:rPr>
          <w:rStyle w:val="184"/>
          <w:rFonts w:ascii="黑体" w:hAnsi="黑体" w:eastAsia="黑体"/>
          <w:b w:val="0"/>
        </w:rPr>
      </w:pPr>
      <w:bookmarkStart w:id="43" w:name="_Toc15377207"/>
      <w:bookmarkStart w:id="44" w:name="_Toc15396605"/>
      <w:bookmarkStart w:id="45" w:name="_Toc52180077"/>
      <w:r>
        <w:rPr>
          <w:rFonts w:hint="eastAsia" w:ascii="黑体" w:hAnsi="黑体" w:eastAsia="黑体"/>
          <w:color w:val="000000"/>
          <w:sz w:val="32"/>
          <w:szCs w:val="32"/>
        </w:rPr>
        <w:t>支</w:t>
      </w:r>
      <w:r>
        <w:rPr>
          <w:rStyle w:val="184"/>
          <w:rFonts w:hint="eastAsia" w:ascii="黑体" w:hAnsi="黑体" w:eastAsia="黑体"/>
          <w:b w:val="0"/>
        </w:rPr>
        <w:t>出决算情况说明</w:t>
      </w:r>
      <w:bookmarkEnd w:id="43"/>
      <w:bookmarkEnd w:id="44"/>
      <w:bookmarkEnd w:id="45"/>
    </w:p>
    <w:p>
      <w:pPr>
        <w:spacing w:line="600" w:lineRule="exact"/>
        <w:ind w:firstLine="640"/>
        <w:outlineLvl w:val="1"/>
        <w:rPr>
          <w:rFonts w:ascii="仿宋_GB2312" w:hAnsi="仿宋" w:eastAsia="仿宋_GB2312"/>
          <w:color w:val="000000"/>
          <w:sz w:val="32"/>
          <w:szCs w:val="32"/>
        </w:rPr>
      </w:pPr>
      <w:bookmarkStart w:id="46" w:name="_Toc52180078"/>
      <w:r>
        <w:rPr>
          <w:rFonts w:ascii="仿宋_GB2312" w:hAnsi="仿宋" w:eastAsia="仿宋_GB2312"/>
          <w:color w:val="000000"/>
          <w:sz w:val="32"/>
          <w:szCs w:val="32"/>
        </w:rPr>
        <w:t>2021</w:t>
      </w:r>
      <w:r>
        <w:rPr>
          <w:rFonts w:hint="eastAsia" w:ascii="仿宋_GB2312" w:hAnsi="仿宋" w:eastAsia="仿宋_GB2312"/>
          <w:color w:val="000000"/>
          <w:sz w:val="32"/>
          <w:szCs w:val="32"/>
        </w:rPr>
        <w:t>年本年支出合计</w:t>
      </w:r>
      <w:r>
        <w:rPr>
          <w:rFonts w:ascii="仿宋_GB2312" w:hAnsi="仿宋" w:eastAsia="仿宋_GB2312"/>
          <w:color w:val="000000"/>
          <w:sz w:val="32"/>
          <w:szCs w:val="32"/>
        </w:rPr>
        <w:t>7806.8</w:t>
      </w:r>
      <w:r>
        <w:rPr>
          <w:rFonts w:hint="eastAsia" w:ascii="仿宋_GB2312" w:hAnsi="仿宋" w:eastAsia="仿宋_GB2312"/>
          <w:color w:val="000000"/>
          <w:sz w:val="32"/>
          <w:szCs w:val="32"/>
        </w:rPr>
        <w:t>万元，其中：基本支出</w:t>
      </w:r>
      <w:r>
        <w:rPr>
          <w:rFonts w:ascii="仿宋_GB2312" w:hAnsi="仿宋" w:eastAsia="仿宋_GB2312"/>
          <w:color w:val="000000"/>
          <w:sz w:val="32"/>
          <w:szCs w:val="32"/>
        </w:rPr>
        <w:t>656.8</w:t>
      </w:r>
      <w:r>
        <w:rPr>
          <w:rFonts w:hint="eastAsia" w:ascii="仿宋_GB2312" w:hAnsi="仿宋" w:eastAsia="仿宋_GB2312"/>
          <w:color w:val="000000"/>
          <w:sz w:val="32"/>
          <w:szCs w:val="32"/>
        </w:rPr>
        <w:t>万元，占</w:t>
      </w:r>
      <w:r>
        <w:rPr>
          <w:rFonts w:ascii="仿宋_GB2312" w:hAnsi="仿宋" w:eastAsia="仿宋_GB2312"/>
          <w:color w:val="000000"/>
          <w:sz w:val="32"/>
          <w:szCs w:val="32"/>
        </w:rPr>
        <w:t>8.41%</w:t>
      </w:r>
      <w:r>
        <w:rPr>
          <w:rFonts w:hint="eastAsia" w:ascii="仿宋_GB2312" w:hAnsi="仿宋" w:eastAsia="仿宋_GB2312"/>
          <w:color w:val="000000"/>
          <w:sz w:val="32"/>
          <w:szCs w:val="32"/>
        </w:rPr>
        <w:t>；项目支出</w:t>
      </w:r>
      <w:r>
        <w:rPr>
          <w:rFonts w:ascii="仿宋_GB2312" w:hAnsi="仿宋" w:eastAsia="仿宋_GB2312"/>
          <w:color w:val="000000"/>
          <w:sz w:val="32"/>
          <w:szCs w:val="32"/>
        </w:rPr>
        <w:t>7150</w:t>
      </w:r>
      <w:r>
        <w:rPr>
          <w:rFonts w:hint="eastAsia" w:ascii="仿宋_GB2312" w:hAnsi="仿宋" w:eastAsia="仿宋_GB2312"/>
          <w:color w:val="000000"/>
          <w:sz w:val="32"/>
          <w:szCs w:val="32"/>
        </w:rPr>
        <w:t>万元，占</w:t>
      </w:r>
      <w:r>
        <w:rPr>
          <w:rFonts w:ascii="仿宋_GB2312" w:hAnsi="仿宋" w:eastAsia="仿宋_GB2312"/>
          <w:color w:val="000000"/>
          <w:sz w:val="32"/>
          <w:szCs w:val="32"/>
        </w:rPr>
        <w:t>91.59%</w:t>
      </w:r>
      <w:r>
        <w:rPr>
          <w:rFonts w:hint="eastAsia" w:ascii="仿宋_GB2312" w:hAnsi="仿宋" w:eastAsia="仿宋_GB2312"/>
          <w:color w:val="000000"/>
          <w:sz w:val="32"/>
          <w:szCs w:val="32"/>
        </w:rPr>
        <w:t>；上缴上级支出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；经营支出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；对附属单位补助支出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w:t>
      </w:r>
      <w:bookmarkEnd w:id="46"/>
    </w:p>
    <w:p>
      <w:pPr>
        <w:pStyle w:val="2"/>
        <w:spacing w:before="93"/>
        <w:ind w:firstLine="1200"/>
        <w:rPr>
          <w:rFonts w:ascii="仿宋" w:hAnsi="仿宋" w:eastAsia="仿宋"/>
          <w:color w:val="000000"/>
          <w:sz w:val="32"/>
          <w:szCs w:val="32"/>
        </w:rPr>
      </w:pPr>
      <w:r>
        <w:drawing>
          <wp:inline distT="0" distB="0" distL="0" distR="0">
            <wp:extent cx="2583815" cy="1334770"/>
            <wp:effectExtent l="4445" t="4445" r="21590" b="13335"/>
            <wp:docPr id="3" name="图片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960"/>
        <w:rPr>
          <w:rFonts w:ascii="仿宋_GB2312" w:hAnsi="仿宋" w:eastAsia="仿宋_GB2312"/>
          <w:color w:val="000000"/>
          <w:sz w:val="32"/>
          <w:szCs w:val="32"/>
        </w:rPr>
      </w:pPr>
      <w:r>
        <w:rPr>
          <w:rFonts w:hint="eastAsia" w:ascii="仿宋_GB2312" w:hAnsi="仿宋" w:eastAsia="仿宋_GB2312"/>
          <w:color w:val="000000"/>
          <w:sz w:val="32"/>
          <w:szCs w:val="32"/>
        </w:rPr>
        <w:t>（图</w:t>
      </w:r>
      <w:r>
        <w:rPr>
          <w:rFonts w:ascii="仿宋_GB2312" w:hAnsi="仿宋" w:eastAsia="仿宋_GB2312"/>
          <w:color w:val="000000"/>
          <w:sz w:val="32"/>
          <w:szCs w:val="32"/>
        </w:rPr>
        <w:t>3</w:t>
      </w:r>
      <w:r>
        <w:rPr>
          <w:rFonts w:hint="eastAsia" w:ascii="仿宋_GB2312" w:hAnsi="仿宋" w:eastAsia="仿宋_GB2312"/>
          <w:color w:val="000000"/>
          <w:sz w:val="32"/>
          <w:szCs w:val="32"/>
        </w:rPr>
        <w:t>：支出决算结构图）（饼状图）</w:t>
      </w:r>
    </w:p>
    <w:p>
      <w:pPr>
        <w:spacing w:line="600" w:lineRule="exact"/>
        <w:ind w:firstLine="640"/>
        <w:outlineLvl w:val="1"/>
        <w:rPr>
          <w:rStyle w:val="184"/>
          <w:rFonts w:ascii="黑体" w:hAnsi="黑体" w:eastAsia="黑体"/>
          <w:b w:val="0"/>
        </w:rPr>
      </w:pPr>
      <w:bookmarkStart w:id="47" w:name="_Toc15377208"/>
      <w:bookmarkStart w:id="48" w:name="_Toc15396606"/>
      <w:bookmarkStart w:id="49" w:name="_Toc52180079"/>
      <w:r>
        <w:rPr>
          <w:rFonts w:hint="eastAsia" w:ascii="黑体" w:hAnsi="黑体" w:eastAsia="黑体"/>
          <w:color w:val="000000"/>
          <w:sz w:val="32"/>
          <w:szCs w:val="32"/>
        </w:rPr>
        <w:t>四、财</w:t>
      </w:r>
      <w:r>
        <w:rPr>
          <w:rStyle w:val="184"/>
          <w:rFonts w:hint="eastAsia" w:ascii="黑体" w:hAnsi="黑体" w:eastAsia="黑体"/>
          <w:b w:val="0"/>
        </w:rPr>
        <w:t>政拨款收入支出决算总体情况说明</w:t>
      </w:r>
      <w:bookmarkEnd w:id="47"/>
      <w:bookmarkEnd w:id="48"/>
      <w:bookmarkEnd w:id="49"/>
    </w:p>
    <w:p>
      <w:pPr>
        <w:spacing w:line="600" w:lineRule="exact"/>
        <w:ind w:firstLine="640"/>
        <w:outlineLvl w:val="1"/>
        <w:rPr>
          <w:rFonts w:ascii="仿宋_GB2312" w:hAnsi="仿宋" w:eastAsia="仿宋_GB2312"/>
          <w:color w:val="000000"/>
          <w:sz w:val="32"/>
          <w:szCs w:val="32"/>
        </w:rPr>
      </w:pPr>
      <w:r>
        <w:rPr>
          <w:rFonts w:ascii="仿宋_GB2312" w:hAnsi="仿宋" w:eastAsia="仿宋_GB2312"/>
          <w:color w:val="000000"/>
          <w:sz w:val="32"/>
          <w:szCs w:val="32"/>
        </w:rPr>
        <w:t>2021</w:t>
      </w:r>
      <w:r>
        <w:rPr>
          <w:rFonts w:hint="eastAsia" w:ascii="仿宋_GB2312" w:hAnsi="仿宋" w:eastAsia="仿宋_GB2312"/>
          <w:color w:val="000000"/>
          <w:sz w:val="32"/>
          <w:szCs w:val="32"/>
        </w:rPr>
        <w:t>年度财政拨款收入总计</w:t>
      </w:r>
      <w:r>
        <w:rPr>
          <w:rFonts w:ascii="仿宋_GB2312" w:hAnsi="仿宋" w:eastAsia="仿宋_GB2312"/>
          <w:color w:val="000000"/>
          <w:sz w:val="32"/>
          <w:szCs w:val="32"/>
        </w:rPr>
        <w:t>7806.8</w:t>
      </w:r>
      <w:r>
        <w:rPr>
          <w:rFonts w:hint="eastAsia" w:ascii="仿宋_GB2312" w:hAnsi="仿宋" w:eastAsia="仿宋_GB2312"/>
          <w:color w:val="000000"/>
          <w:sz w:val="32"/>
          <w:szCs w:val="32"/>
        </w:rPr>
        <w:t>万元，与</w:t>
      </w:r>
      <w:r>
        <w:rPr>
          <w:rFonts w:ascii="仿宋_GB2312" w:hAnsi="仿宋" w:eastAsia="仿宋_GB2312"/>
          <w:color w:val="000000"/>
          <w:sz w:val="32"/>
          <w:szCs w:val="32"/>
        </w:rPr>
        <w:t xml:space="preserve"> 2020</w:t>
      </w:r>
      <w:r>
        <w:rPr>
          <w:rFonts w:hint="eastAsia" w:ascii="仿宋_GB2312" w:hAnsi="仿宋" w:eastAsia="仿宋_GB2312"/>
          <w:color w:val="000000"/>
          <w:sz w:val="32"/>
          <w:szCs w:val="32"/>
        </w:rPr>
        <w:t>年收入总计</w:t>
      </w:r>
      <w:r>
        <w:rPr>
          <w:rFonts w:ascii="仿宋_GB2312" w:hAnsi="仿宋" w:eastAsia="仿宋_GB2312"/>
          <w:color w:val="000000"/>
          <w:sz w:val="32"/>
          <w:szCs w:val="32"/>
        </w:rPr>
        <w:t>4261.64</w:t>
      </w:r>
      <w:r>
        <w:rPr>
          <w:rFonts w:hint="eastAsia" w:ascii="仿宋_GB2312" w:hAnsi="仿宋" w:eastAsia="仿宋_GB2312"/>
          <w:color w:val="000000"/>
          <w:sz w:val="32"/>
          <w:szCs w:val="32"/>
        </w:rPr>
        <w:t>万元相比，财政拨款收入总计增加</w:t>
      </w:r>
      <w:r>
        <w:rPr>
          <w:rFonts w:ascii="仿宋_GB2312" w:hAnsi="仿宋" w:eastAsia="仿宋_GB2312"/>
          <w:color w:val="000000"/>
          <w:sz w:val="32"/>
          <w:szCs w:val="32"/>
        </w:rPr>
        <w:t>3545.16</w:t>
      </w:r>
      <w:r>
        <w:rPr>
          <w:rFonts w:hint="eastAsia" w:ascii="仿宋_GB2312" w:hAnsi="仿宋" w:eastAsia="仿宋_GB2312"/>
          <w:color w:val="000000"/>
          <w:sz w:val="32"/>
          <w:szCs w:val="32"/>
        </w:rPr>
        <w:t>万元，增长</w:t>
      </w:r>
      <w:r>
        <w:rPr>
          <w:rFonts w:ascii="仿宋_GB2312" w:hAnsi="仿宋" w:eastAsia="仿宋_GB2312"/>
          <w:color w:val="000000"/>
          <w:sz w:val="32"/>
          <w:szCs w:val="32"/>
        </w:rPr>
        <w:t>83.19%</w:t>
      </w:r>
      <w:r>
        <w:rPr>
          <w:rFonts w:hint="eastAsia" w:ascii="仿宋_GB2312" w:hAnsi="仿宋" w:eastAsia="仿宋_GB2312"/>
          <w:color w:val="000000"/>
          <w:sz w:val="32"/>
          <w:szCs w:val="32"/>
        </w:rPr>
        <w:t>。其变动原因是，增加旅游基础设施建设的项目经费及财政用存量资金化解历年暂付款。</w:t>
      </w:r>
    </w:p>
    <w:p>
      <w:pPr>
        <w:spacing w:line="600" w:lineRule="exact"/>
        <w:ind w:firstLine="640"/>
        <w:outlineLvl w:val="1"/>
        <w:rPr>
          <w:rFonts w:ascii="仿宋_GB2312" w:hAnsi="仿宋" w:eastAsia="仿宋_GB2312"/>
          <w:color w:val="000000"/>
          <w:sz w:val="32"/>
          <w:szCs w:val="32"/>
        </w:rPr>
      </w:pPr>
      <w:r>
        <w:rPr>
          <w:rFonts w:ascii="仿宋_GB2312" w:hAnsi="仿宋" w:eastAsia="仿宋_GB2312"/>
          <w:color w:val="000000"/>
          <w:sz w:val="32"/>
          <w:szCs w:val="32"/>
        </w:rPr>
        <w:t>2021</w:t>
      </w:r>
      <w:r>
        <w:rPr>
          <w:rFonts w:hint="eastAsia" w:ascii="仿宋_GB2312" w:hAnsi="仿宋" w:eastAsia="仿宋_GB2312"/>
          <w:color w:val="000000"/>
          <w:sz w:val="32"/>
          <w:szCs w:val="32"/>
        </w:rPr>
        <w:t>年度财政拨款支出总计</w:t>
      </w:r>
      <w:r>
        <w:rPr>
          <w:rFonts w:ascii="仿宋_GB2312" w:hAnsi="仿宋" w:eastAsia="仿宋_GB2312"/>
          <w:color w:val="000000"/>
          <w:sz w:val="32"/>
          <w:szCs w:val="32"/>
        </w:rPr>
        <w:t>7806.8</w:t>
      </w:r>
      <w:r>
        <w:rPr>
          <w:rFonts w:hint="eastAsia" w:ascii="仿宋_GB2312" w:hAnsi="仿宋" w:eastAsia="仿宋_GB2312"/>
          <w:color w:val="000000"/>
          <w:sz w:val="32"/>
          <w:szCs w:val="32"/>
        </w:rPr>
        <w:t>万元，与</w:t>
      </w:r>
      <w:r>
        <w:rPr>
          <w:rFonts w:ascii="仿宋_GB2312" w:hAnsi="仿宋" w:eastAsia="仿宋_GB2312"/>
          <w:color w:val="000000"/>
          <w:sz w:val="32"/>
          <w:szCs w:val="32"/>
        </w:rPr>
        <w:t>2020</w:t>
      </w:r>
      <w:r>
        <w:rPr>
          <w:rFonts w:hint="eastAsia" w:ascii="仿宋_GB2312" w:hAnsi="仿宋" w:eastAsia="仿宋_GB2312"/>
          <w:color w:val="000000"/>
          <w:sz w:val="32"/>
          <w:szCs w:val="32"/>
        </w:rPr>
        <w:t>年支出总计</w:t>
      </w:r>
      <w:r>
        <w:rPr>
          <w:rFonts w:ascii="仿宋_GB2312" w:hAnsi="仿宋" w:eastAsia="仿宋_GB2312"/>
          <w:color w:val="000000"/>
          <w:sz w:val="32"/>
          <w:szCs w:val="32"/>
        </w:rPr>
        <w:t>3626.6</w:t>
      </w:r>
      <w:r>
        <w:rPr>
          <w:rFonts w:hint="eastAsia" w:ascii="仿宋_GB2312" w:hAnsi="仿宋" w:eastAsia="仿宋_GB2312"/>
          <w:color w:val="000000"/>
          <w:sz w:val="32"/>
          <w:szCs w:val="32"/>
        </w:rPr>
        <w:t>万元相比，财政拨款支出增加</w:t>
      </w:r>
      <w:r>
        <w:rPr>
          <w:rFonts w:ascii="仿宋_GB2312" w:hAnsi="仿宋" w:eastAsia="仿宋_GB2312"/>
          <w:color w:val="000000"/>
          <w:sz w:val="32"/>
          <w:szCs w:val="32"/>
        </w:rPr>
        <w:t>4180.2</w:t>
      </w:r>
      <w:r>
        <w:rPr>
          <w:rFonts w:hint="eastAsia" w:ascii="仿宋_GB2312" w:hAnsi="仿宋" w:eastAsia="仿宋_GB2312"/>
          <w:color w:val="000000"/>
          <w:sz w:val="32"/>
          <w:szCs w:val="32"/>
        </w:rPr>
        <w:t>万元，增加</w:t>
      </w:r>
      <w:r>
        <w:rPr>
          <w:rFonts w:ascii="仿宋_GB2312" w:hAnsi="仿宋" w:eastAsia="仿宋_GB2312"/>
          <w:color w:val="000000"/>
          <w:sz w:val="32"/>
          <w:szCs w:val="32"/>
        </w:rPr>
        <w:t>115.26%</w:t>
      </w:r>
      <w:r>
        <w:rPr>
          <w:rFonts w:hint="eastAsia" w:ascii="仿宋_GB2312" w:hAnsi="仿宋" w:eastAsia="仿宋_GB2312"/>
          <w:color w:val="000000"/>
          <w:sz w:val="32"/>
          <w:szCs w:val="32"/>
        </w:rPr>
        <w:t>。主要原因是，增加旅游基础设施建设的项目经费及</w:t>
      </w:r>
      <w:bookmarkStart w:id="50" w:name="OLE_LINK1"/>
      <w:r>
        <w:rPr>
          <w:rFonts w:hint="eastAsia" w:ascii="仿宋_GB2312" w:hAnsi="仿宋" w:eastAsia="仿宋_GB2312"/>
          <w:color w:val="000000"/>
          <w:sz w:val="32"/>
          <w:szCs w:val="32"/>
        </w:rPr>
        <w:t>财政用存量资金化解历年暂付款。</w:t>
      </w:r>
      <w:bookmarkEnd w:id="50"/>
    </w:p>
    <w:p>
      <w:pPr>
        <w:ind w:firstLine="1995"/>
      </w:pPr>
    </w:p>
    <w:p>
      <w:r>
        <w:t xml:space="preserve">                   </w:t>
      </w:r>
      <w:r>
        <w:drawing>
          <wp:inline distT="0" distB="0" distL="0" distR="0">
            <wp:extent cx="1990725" cy="17621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1990725" cy="1762125"/>
                    </a:xfrm>
                    <a:prstGeom prst="rect">
                      <a:avLst/>
                    </a:prstGeom>
                    <a:noFill/>
                    <a:ln>
                      <a:noFill/>
                    </a:ln>
                  </pic:spPr>
                </pic:pic>
              </a:graphicData>
            </a:graphic>
          </wp:inline>
        </w:drawing>
      </w:r>
    </w:p>
    <w:p>
      <w:pPr>
        <w:spacing w:line="600" w:lineRule="exact"/>
        <w:rPr>
          <w:rFonts w:ascii="仿宋_GB2312" w:hAnsi="仿宋" w:eastAsia="仿宋_GB2312"/>
          <w:color w:val="000000"/>
          <w:sz w:val="32"/>
          <w:szCs w:val="32"/>
        </w:rPr>
      </w:pPr>
      <w:r>
        <w:rPr>
          <w:rFonts w:hint="eastAsia" w:ascii="仿宋_GB2312" w:hAnsi="仿宋" w:eastAsia="仿宋_GB2312"/>
          <w:color w:val="000000"/>
          <w:sz w:val="32"/>
          <w:szCs w:val="32"/>
        </w:rPr>
        <w:t>（图</w:t>
      </w:r>
      <w:r>
        <w:rPr>
          <w:rFonts w:ascii="仿宋_GB2312" w:hAnsi="仿宋" w:eastAsia="仿宋_GB2312"/>
          <w:color w:val="000000"/>
          <w:sz w:val="32"/>
          <w:szCs w:val="32"/>
        </w:rPr>
        <w:t>4</w:t>
      </w:r>
      <w:r>
        <w:rPr>
          <w:rFonts w:hint="eastAsia" w:ascii="仿宋_GB2312" w:hAnsi="仿宋" w:eastAsia="仿宋_GB2312"/>
          <w:color w:val="000000"/>
          <w:sz w:val="32"/>
          <w:szCs w:val="32"/>
        </w:rPr>
        <w:t>：财政拨款收、支决算总计变动情况）（柱状图）</w:t>
      </w:r>
    </w:p>
    <w:p>
      <w:pPr>
        <w:spacing w:line="600" w:lineRule="exact"/>
        <w:ind w:firstLine="640"/>
        <w:outlineLvl w:val="1"/>
        <w:rPr>
          <w:rStyle w:val="184"/>
          <w:rFonts w:ascii="黑体" w:hAnsi="黑体" w:eastAsia="黑体"/>
          <w:b w:val="0"/>
        </w:rPr>
      </w:pPr>
      <w:bookmarkStart w:id="51" w:name="_Toc15396607"/>
      <w:bookmarkStart w:id="52" w:name="_Toc52180080"/>
      <w:bookmarkStart w:id="5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4"/>
          <w:rFonts w:hint="eastAsia" w:ascii="黑体" w:hAnsi="黑体" w:eastAsia="黑体"/>
          <w:b w:val="0"/>
        </w:rPr>
        <w:t>般公共预算财政拨款支出决算情况说明</w:t>
      </w:r>
      <w:bookmarkEnd w:id="51"/>
      <w:bookmarkEnd w:id="52"/>
      <w:bookmarkEnd w:id="53"/>
    </w:p>
    <w:p>
      <w:pPr>
        <w:spacing w:line="600" w:lineRule="exact"/>
        <w:ind w:firstLine="640"/>
        <w:outlineLvl w:val="2"/>
        <w:rPr>
          <w:rFonts w:ascii="仿宋" w:hAnsi="仿宋" w:eastAsia="仿宋"/>
          <w:color w:val="000000"/>
          <w:sz w:val="32"/>
          <w:szCs w:val="32"/>
        </w:rPr>
      </w:pPr>
      <w:bookmarkStart w:id="54" w:name="_Toc15377210"/>
      <w:bookmarkStart w:id="55" w:name="_Toc52180081"/>
      <w:r>
        <w:rPr>
          <w:rFonts w:hint="eastAsia" w:ascii="仿宋" w:hAnsi="仿宋" w:eastAsia="仿宋"/>
          <w:color w:val="000000"/>
          <w:sz w:val="32"/>
          <w:szCs w:val="32"/>
        </w:rPr>
        <w:t>（一）一般公共预算财政拨款支出决算总体情况</w:t>
      </w:r>
      <w:bookmarkEnd w:id="54"/>
      <w:bookmarkEnd w:id="55"/>
    </w:p>
    <w:p>
      <w:pPr>
        <w:spacing w:line="600" w:lineRule="exact"/>
        <w:ind w:firstLine="800"/>
        <w:rPr>
          <w:rFonts w:ascii="仿宋_GB2312" w:eastAsia="仿宋_GB2312"/>
          <w:color w:val="000000"/>
          <w:sz w:val="32"/>
          <w:szCs w:val="32"/>
        </w:rPr>
      </w:pPr>
      <w:r>
        <w:rPr>
          <w:rFonts w:ascii="仿宋_GB2312" w:hAnsi="仿宋" w:eastAsia="仿宋_GB2312"/>
          <w:sz w:val="32"/>
          <w:szCs w:val="32"/>
        </w:rPr>
        <w:t>2021</w:t>
      </w:r>
      <w:r>
        <w:rPr>
          <w:rFonts w:hint="eastAsia" w:ascii="仿宋_GB2312" w:hAnsi="仿宋" w:eastAsia="仿宋_GB2312"/>
          <w:sz w:val="32"/>
          <w:szCs w:val="32"/>
        </w:rPr>
        <w:t>年一般公共预算财政拨款支出</w:t>
      </w:r>
      <w:r>
        <w:rPr>
          <w:rFonts w:ascii="仿宋_GB2312" w:hAnsi="仿宋" w:eastAsia="仿宋_GB2312"/>
          <w:sz w:val="32"/>
          <w:szCs w:val="32"/>
        </w:rPr>
        <w:t>3217.8</w:t>
      </w:r>
      <w:r>
        <w:rPr>
          <w:rFonts w:hint="eastAsia" w:ascii="仿宋_GB2312" w:hAnsi="仿宋" w:eastAsia="仿宋_GB2312"/>
          <w:sz w:val="32"/>
          <w:szCs w:val="32"/>
        </w:rPr>
        <w:t>万元，占本年支出合计的</w:t>
      </w:r>
      <w:r>
        <w:rPr>
          <w:rFonts w:ascii="仿宋_GB2312" w:hAnsi="仿宋" w:eastAsia="仿宋_GB2312"/>
          <w:sz w:val="32"/>
          <w:szCs w:val="32"/>
        </w:rPr>
        <w:t>41.22%</w:t>
      </w:r>
      <w:r>
        <w:rPr>
          <w:rFonts w:hint="eastAsia" w:ascii="仿宋_GB2312" w:hAnsi="仿宋" w:eastAsia="仿宋_GB2312"/>
          <w:sz w:val="32"/>
          <w:szCs w:val="32"/>
        </w:rPr>
        <w:t>。与</w:t>
      </w:r>
      <w:r>
        <w:rPr>
          <w:rFonts w:ascii="仿宋_GB2312" w:hAnsi="仿宋" w:eastAsia="仿宋_GB2312"/>
          <w:sz w:val="32"/>
          <w:szCs w:val="32"/>
        </w:rPr>
        <w:t>2020</w:t>
      </w:r>
      <w:r>
        <w:rPr>
          <w:rFonts w:hint="eastAsia" w:ascii="仿宋_GB2312" w:hAnsi="仿宋" w:eastAsia="仿宋_GB2312"/>
          <w:sz w:val="32"/>
          <w:szCs w:val="32"/>
        </w:rPr>
        <w:t>年相比，一般公共预算财政拨款增加了</w:t>
      </w:r>
      <w:r>
        <w:rPr>
          <w:rFonts w:ascii="仿宋_GB2312" w:hAnsi="仿宋" w:eastAsia="仿宋_GB2312"/>
          <w:sz w:val="32"/>
          <w:szCs w:val="32"/>
        </w:rPr>
        <w:t>1727.21</w:t>
      </w:r>
      <w:r>
        <w:rPr>
          <w:rFonts w:hint="eastAsia" w:ascii="仿宋_GB2312" w:hAnsi="仿宋" w:eastAsia="仿宋_GB2312"/>
          <w:sz w:val="32"/>
          <w:szCs w:val="32"/>
        </w:rPr>
        <w:t>万元，增加了</w:t>
      </w:r>
      <w:r>
        <w:rPr>
          <w:rFonts w:ascii="仿宋_GB2312" w:hAnsi="仿宋" w:eastAsia="仿宋_GB2312"/>
          <w:sz w:val="32"/>
          <w:szCs w:val="32"/>
        </w:rPr>
        <w:t>115.87</w:t>
      </w:r>
      <w:r>
        <w:rPr>
          <w:rFonts w:ascii="仿宋_GB2312" w:hAnsi="仿宋" w:eastAsia="仿宋_GB2312"/>
          <w:color w:val="000000"/>
          <w:sz w:val="32"/>
          <w:szCs w:val="32"/>
        </w:rPr>
        <w:t>%</w:t>
      </w:r>
      <w:r>
        <w:rPr>
          <w:rFonts w:hint="eastAsia" w:ascii="仿宋_GB2312" w:hAnsi="仿宋" w:eastAsia="仿宋_GB2312"/>
          <w:color w:val="000000"/>
          <w:sz w:val="32"/>
          <w:szCs w:val="32"/>
        </w:rPr>
        <w:t>。主要变动原因是</w:t>
      </w:r>
      <w:r>
        <w:rPr>
          <w:rFonts w:hint="eastAsia" w:ascii="仿宋_GB2312" w:hAnsi="宋体" w:eastAsia="仿宋_GB2312"/>
          <w:sz w:val="32"/>
          <w:szCs w:val="32"/>
        </w:rPr>
        <w:t>财政用存量资金化解历年暂付款。</w:t>
      </w:r>
    </w:p>
    <w:p>
      <w:pPr>
        <w:ind w:firstLine="1155"/>
      </w:pPr>
      <w:r>
        <w:drawing>
          <wp:inline distT="0" distB="0" distL="0" distR="0">
            <wp:extent cx="4118610" cy="1832610"/>
            <wp:effectExtent l="4445" t="4445" r="10795" b="10795"/>
            <wp:docPr id="5" name="图片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
        <w:rPr>
          <w:rFonts w:hint="eastAsia" w:ascii="仿宋_GB2312" w:hAnsi="仿宋" w:eastAsia="仿宋_GB2312"/>
          <w:color w:val="000000"/>
          <w:sz w:val="32"/>
          <w:szCs w:val="32"/>
        </w:rPr>
        <w:t>（图</w:t>
      </w:r>
      <w:r>
        <w:rPr>
          <w:rFonts w:ascii="仿宋_GB2312" w:hAnsi="仿宋" w:eastAsia="仿宋_GB2312"/>
          <w:color w:val="000000"/>
          <w:sz w:val="32"/>
          <w:szCs w:val="32"/>
        </w:rPr>
        <w:t>5</w:t>
      </w:r>
      <w:r>
        <w:rPr>
          <w:rFonts w:hint="eastAsia" w:ascii="仿宋_GB2312" w:hAnsi="仿宋" w:eastAsia="仿宋_GB2312"/>
          <w:color w:val="000000"/>
          <w:sz w:val="32"/>
          <w:szCs w:val="32"/>
        </w:rPr>
        <w:t>：一般公共预算财政拨款支出决算变动情况）（柱状图）</w:t>
      </w:r>
    </w:p>
    <w:p>
      <w:pPr>
        <w:spacing w:line="600" w:lineRule="exact"/>
        <w:ind w:firstLine="640"/>
        <w:outlineLvl w:val="2"/>
        <w:rPr>
          <w:rFonts w:ascii="仿宋" w:hAnsi="仿宋" w:eastAsia="仿宋"/>
          <w:color w:val="000000"/>
          <w:sz w:val="32"/>
          <w:szCs w:val="32"/>
        </w:rPr>
      </w:pPr>
      <w:bookmarkStart w:id="56" w:name="_Toc52180082"/>
      <w:bookmarkStart w:id="57" w:name="_Toc15377211"/>
      <w:r>
        <w:rPr>
          <w:rFonts w:hint="eastAsia" w:ascii="仿宋" w:hAnsi="仿宋" w:eastAsia="仿宋"/>
          <w:color w:val="000000"/>
          <w:sz w:val="32"/>
          <w:szCs w:val="32"/>
        </w:rPr>
        <w:t>（二）一般公共预算财政拨款支出决算结构情况</w:t>
      </w:r>
      <w:bookmarkEnd w:id="56"/>
      <w:bookmarkEnd w:id="57"/>
    </w:p>
    <w:p>
      <w:pPr>
        <w:spacing w:line="60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2021</w:t>
      </w:r>
      <w:r>
        <w:rPr>
          <w:rFonts w:hint="eastAsia" w:ascii="仿宋_GB2312" w:hAnsi="仿宋" w:eastAsia="仿宋_GB2312"/>
          <w:color w:val="000000"/>
          <w:sz w:val="32"/>
          <w:szCs w:val="32"/>
        </w:rPr>
        <w:t>年一般公共预算财政拨款支出</w:t>
      </w:r>
      <w:r>
        <w:rPr>
          <w:rFonts w:ascii="仿宋_GB2312" w:hAnsi="仿宋" w:eastAsia="仿宋_GB2312"/>
          <w:color w:val="000000"/>
          <w:sz w:val="32"/>
          <w:szCs w:val="32"/>
        </w:rPr>
        <w:t>3217.8</w:t>
      </w:r>
      <w:r>
        <w:rPr>
          <w:rFonts w:hint="eastAsia" w:ascii="仿宋_GB2312" w:hAnsi="仿宋" w:eastAsia="仿宋_GB2312"/>
          <w:color w:val="000000"/>
          <w:sz w:val="32"/>
          <w:szCs w:val="32"/>
        </w:rPr>
        <w:t>万元，主要用于以下方面</w:t>
      </w:r>
      <w:r>
        <w:rPr>
          <w:rFonts w:ascii="仿宋_GB2312" w:hAnsi="仿宋" w:eastAsia="仿宋_GB2312"/>
          <w:color w:val="000000"/>
          <w:sz w:val="32"/>
          <w:szCs w:val="32"/>
        </w:rPr>
        <w:t>:</w:t>
      </w:r>
      <w:r>
        <w:rPr>
          <w:rFonts w:hint="eastAsia" w:ascii="仿宋_GB2312" w:hAnsi="仿宋" w:eastAsia="仿宋_GB2312"/>
          <w:color w:val="000000"/>
          <w:sz w:val="32"/>
          <w:szCs w:val="32"/>
        </w:rPr>
        <w:t>一般公共服务支出</w:t>
      </w:r>
      <w:r>
        <w:rPr>
          <w:rFonts w:ascii="仿宋_GB2312" w:hAnsi="仿宋" w:eastAsia="仿宋_GB2312"/>
          <w:color w:val="000000"/>
          <w:sz w:val="32"/>
          <w:szCs w:val="32"/>
        </w:rPr>
        <w:t>1</w:t>
      </w:r>
      <w:r>
        <w:rPr>
          <w:rFonts w:hint="eastAsia" w:ascii="仿宋_GB2312" w:hAnsi="仿宋" w:eastAsia="仿宋_GB2312"/>
          <w:color w:val="000000"/>
          <w:sz w:val="32"/>
          <w:szCs w:val="32"/>
        </w:rPr>
        <w:t>万元，</w:t>
      </w:r>
      <w:r>
        <w:rPr>
          <w:rFonts w:hint="eastAsia" w:ascii="仿宋_GB2312" w:hAnsi="仿宋" w:eastAsia="仿宋_GB2312"/>
          <w:bCs/>
          <w:color w:val="000000"/>
          <w:sz w:val="32"/>
          <w:szCs w:val="32"/>
        </w:rPr>
        <w:t>占</w:t>
      </w:r>
      <w:r>
        <w:rPr>
          <w:rFonts w:ascii="仿宋_GB2312" w:hAnsi="仿宋" w:eastAsia="仿宋_GB2312"/>
          <w:bCs/>
          <w:color w:val="000000"/>
          <w:sz w:val="32"/>
          <w:szCs w:val="32"/>
        </w:rPr>
        <w:t>0.03%</w:t>
      </w:r>
      <w:r>
        <w:rPr>
          <w:rFonts w:hint="eastAsia" w:ascii="仿宋_GB2312" w:hAnsi="仿宋" w:eastAsia="仿宋_GB2312"/>
          <w:bCs/>
          <w:color w:val="000000"/>
          <w:sz w:val="32"/>
          <w:szCs w:val="32"/>
        </w:rPr>
        <w:t>；文化旅游体育与传媒支出</w:t>
      </w:r>
      <w:r>
        <w:rPr>
          <w:rFonts w:ascii="仿宋_GB2312" w:hAnsi="仿宋" w:eastAsia="仿宋_GB2312"/>
          <w:bCs/>
          <w:color w:val="000000"/>
          <w:sz w:val="32"/>
          <w:szCs w:val="32"/>
        </w:rPr>
        <w:t>2933.83</w:t>
      </w:r>
      <w:r>
        <w:rPr>
          <w:rFonts w:hint="eastAsia" w:ascii="仿宋_GB2312" w:hAnsi="仿宋" w:eastAsia="仿宋_GB2312"/>
          <w:bCs/>
          <w:color w:val="000000"/>
          <w:sz w:val="32"/>
          <w:szCs w:val="32"/>
        </w:rPr>
        <w:t>万元，占</w:t>
      </w:r>
      <w:r>
        <w:rPr>
          <w:rFonts w:ascii="仿宋_GB2312" w:hAnsi="仿宋" w:eastAsia="仿宋_GB2312"/>
          <w:bCs/>
          <w:color w:val="000000"/>
          <w:sz w:val="32"/>
          <w:szCs w:val="32"/>
        </w:rPr>
        <w:t>91.18%</w:t>
      </w:r>
      <w:r>
        <w:rPr>
          <w:rFonts w:hint="eastAsia" w:ascii="仿宋_GB2312" w:hAnsi="仿宋" w:eastAsia="仿宋_GB2312"/>
          <w:color w:val="000000"/>
          <w:sz w:val="32"/>
          <w:szCs w:val="32"/>
        </w:rPr>
        <w:t>；社会保障和就业支出</w:t>
      </w:r>
      <w:r>
        <w:rPr>
          <w:rFonts w:ascii="仿宋_GB2312" w:hAnsi="仿宋" w:eastAsia="仿宋_GB2312"/>
          <w:color w:val="000000"/>
          <w:sz w:val="32"/>
          <w:szCs w:val="32"/>
        </w:rPr>
        <w:t>124.93</w:t>
      </w:r>
      <w:r>
        <w:rPr>
          <w:rFonts w:hint="eastAsia" w:ascii="仿宋_GB2312" w:hAnsi="仿宋" w:eastAsia="仿宋_GB2312"/>
          <w:color w:val="000000"/>
          <w:sz w:val="32"/>
          <w:szCs w:val="32"/>
        </w:rPr>
        <w:t>万元，占</w:t>
      </w:r>
      <w:r>
        <w:rPr>
          <w:rFonts w:ascii="仿宋_GB2312" w:hAnsi="仿宋" w:eastAsia="仿宋_GB2312"/>
          <w:color w:val="000000"/>
          <w:sz w:val="32"/>
          <w:szCs w:val="32"/>
        </w:rPr>
        <w:t>3.88%</w:t>
      </w:r>
      <w:r>
        <w:rPr>
          <w:rFonts w:hint="eastAsia" w:ascii="仿宋_GB2312" w:hAnsi="仿宋" w:eastAsia="仿宋_GB2312"/>
          <w:color w:val="000000"/>
          <w:sz w:val="32"/>
          <w:szCs w:val="32"/>
        </w:rPr>
        <w:t>；卫生健康支出</w:t>
      </w:r>
      <w:r>
        <w:rPr>
          <w:rFonts w:ascii="仿宋_GB2312" w:hAnsi="仿宋" w:eastAsia="仿宋_GB2312"/>
          <w:color w:val="000000"/>
          <w:sz w:val="32"/>
          <w:szCs w:val="32"/>
        </w:rPr>
        <w:t>33.7</w:t>
      </w:r>
      <w:r>
        <w:rPr>
          <w:rFonts w:hint="eastAsia" w:ascii="仿宋_GB2312" w:hAnsi="仿宋" w:eastAsia="仿宋_GB2312"/>
          <w:color w:val="000000"/>
          <w:sz w:val="32"/>
          <w:szCs w:val="32"/>
        </w:rPr>
        <w:t>万元，占</w:t>
      </w:r>
      <w:r>
        <w:rPr>
          <w:rFonts w:ascii="仿宋_GB2312" w:hAnsi="仿宋" w:eastAsia="仿宋_GB2312"/>
          <w:color w:val="000000"/>
          <w:sz w:val="32"/>
          <w:szCs w:val="32"/>
        </w:rPr>
        <w:t>1.04%</w:t>
      </w:r>
      <w:r>
        <w:rPr>
          <w:rFonts w:hint="eastAsia" w:ascii="仿宋_GB2312" w:hAnsi="仿宋" w:eastAsia="仿宋_GB2312"/>
          <w:color w:val="000000"/>
          <w:sz w:val="32"/>
          <w:szCs w:val="32"/>
        </w:rPr>
        <w:t>；农林水支出</w:t>
      </w:r>
      <w:r>
        <w:rPr>
          <w:rFonts w:ascii="仿宋_GB2312" w:hAnsi="仿宋" w:eastAsia="仿宋_GB2312"/>
          <w:color w:val="000000"/>
          <w:sz w:val="32"/>
          <w:szCs w:val="32"/>
        </w:rPr>
        <w:t>70</w:t>
      </w:r>
      <w:r>
        <w:rPr>
          <w:rFonts w:hint="eastAsia" w:ascii="仿宋_GB2312" w:hAnsi="仿宋" w:eastAsia="仿宋_GB2312"/>
          <w:color w:val="000000"/>
          <w:sz w:val="32"/>
          <w:szCs w:val="32"/>
        </w:rPr>
        <w:t>万元，占</w:t>
      </w:r>
      <w:r>
        <w:rPr>
          <w:rFonts w:ascii="仿宋_GB2312" w:hAnsi="仿宋" w:eastAsia="仿宋_GB2312"/>
          <w:color w:val="000000"/>
          <w:sz w:val="32"/>
          <w:szCs w:val="32"/>
        </w:rPr>
        <w:t>2.18%</w:t>
      </w:r>
      <w:r>
        <w:rPr>
          <w:rFonts w:hint="eastAsia" w:ascii="仿宋_GB2312" w:hAnsi="仿宋" w:eastAsia="仿宋_GB2312"/>
          <w:color w:val="000000"/>
          <w:sz w:val="32"/>
          <w:szCs w:val="32"/>
        </w:rPr>
        <w:t>；住房保障支出</w:t>
      </w:r>
      <w:r>
        <w:rPr>
          <w:rFonts w:ascii="仿宋_GB2312" w:hAnsi="仿宋" w:eastAsia="仿宋_GB2312"/>
          <w:color w:val="000000"/>
          <w:sz w:val="32"/>
          <w:szCs w:val="32"/>
        </w:rPr>
        <w:t>48.34</w:t>
      </w:r>
      <w:r>
        <w:rPr>
          <w:rFonts w:hint="eastAsia" w:ascii="仿宋_GB2312" w:hAnsi="仿宋" w:eastAsia="仿宋_GB2312"/>
          <w:color w:val="000000"/>
          <w:sz w:val="32"/>
          <w:szCs w:val="32"/>
        </w:rPr>
        <w:t>万元，占</w:t>
      </w:r>
      <w:r>
        <w:rPr>
          <w:rFonts w:ascii="仿宋_GB2312" w:hAnsi="仿宋" w:eastAsia="仿宋_GB2312"/>
          <w:color w:val="000000"/>
          <w:sz w:val="32"/>
          <w:szCs w:val="32"/>
        </w:rPr>
        <w:t>1.5%</w:t>
      </w:r>
      <w:r>
        <w:rPr>
          <w:rFonts w:hint="eastAsia" w:ascii="仿宋_GB2312" w:hAnsi="仿宋" w:eastAsia="仿宋_GB2312"/>
          <w:color w:val="000000"/>
          <w:sz w:val="32"/>
          <w:szCs w:val="32"/>
        </w:rPr>
        <w:t>；其他支出</w:t>
      </w:r>
      <w:r>
        <w:rPr>
          <w:rFonts w:ascii="仿宋_GB2312" w:hAnsi="仿宋" w:eastAsia="仿宋_GB2312"/>
          <w:color w:val="000000"/>
          <w:sz w:val="32"/>
          <w:szCs w:val="32"/>
        </w:rPr>
        <w:t>6</w:t>
      </w:r>
      <w:r>
        <w:rPr>
          <w:rFonts w:hint="eastAsia" w:ascii="仿宋_GB2312" w:hAnsi="仿宋" w:eastAsia="仿宋_GB2312"/>
          <w:color w:val="000000"/>
          <w:sz w:val="32"/>
          <w:szCs w:val="32"/>
        </w:rPr>
        <w:t>万元，占</w:t>
      </w:r>
      <w:r>
        <w:rPr>
          <w:rFonts w:ascii="仿宋_GB2312" w:hAnsi="仿宋" w:eastAsia="仿宋_GB2312"/>
          <w:color w:val="000000"/>
          <w:sz w:val="32"/>
          <w:szCs w:val="32"/>
        </w:rPr>
        <w:t>0.19%</w:t>
      </w:r>
      <w:r>
        <w:rPr>
          <w:rFonts w:hint="eastAsia" w:ascii="仿宋_GB2312" w:hAnsi="仿宋" w:eastAsia="仿宋_GB2312"/>
          <w:color w:val="000000"/>
          <w:sz w:val="32"/>
          <w:szCs w:val="32"/>
        </w:rPr>
        <w:t>。</w:t>
      </w:r>
    </w:p>
    <w:p>
      <w:pPr>
        <w:ind w:firstLine="1890"/>
        <w:rPr>
          <w:rFonts w:ascii="仿宋_GB2312" w:hAnsi="仿宋" w:eastAsia="仿宋_GB2312"/>
          <w:color w:val="000000"/>
          <w:sz w:val="32"/>
          <w:szCs w:val="32"/>
        </w:rPr>
      </w:pPr>
      <w:r>
        <w:drawing>
          <wp:inline distT="0" distB="0" distL="0" distR="0">
            <wp:extent cx="3606800" cy="2197735"/>
            <wp:effectExtent l="5080" t="4445" r="7620" b="7620"/>
            <wp:docPr id="6" name="图片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480"/>
        <w:rPr>
          <w:rFonts w:ascii="仿宋_GB2312" w:hAnsi="仿宋" w:eastAsia="仿宋_GB2312"/>
          <w:color w:val="000000"/>
          <w:sz w:val="32"/>
          <w:szCs w:val="32"/>
        </w:rPr>
      </w:pPr>
      <w:r>
        <w:rPr>
          <w:rFonts w:hint="eastAsia" w:ascii="仿宋_GB2312" w:hAnsi="仿宋" w:eastAsia="仿宋_GB2312"/>
          <w:color w:val="000000"/>
          <w:sz w:val="32"/>
          <w:szCs w:val="32"/>
        </w:rPr>
        <w:t>（图</w:t>
      </w:r>
      <w:r>
        <w:rPr>
          <w:rFonts w:ascii="仿宋_GB2312" w:hAnsi="仿宋" w:eastAsia="仿宋_GB2312"/>
          <w:color w:val="000000"/>
          <w:sz w:val="32"/>
          <w:szCs w:val="32"/>
        </w:rPr>
        <w:t>6</w:t>
      </w:r>
      <w:r>
        <w:rPr>
          <w:rFonts w:hint="eastAsia" w:ascii="仿宋_GB2312" w:hAnsi="仿宋" w:eastAsia="仿宋_GB2312"/>
          <w:color w:val="000000"/>
          <w:sz w:val="32"/>
          <w:szCs w:val="32"/>
        </w:rPr>
        <w:t>：一般公共预算财政拨款支出决算结构）（饼状图）</w:t>
      </w:r>
    </w:p>
    <w:p>
      <w:pPr>
        <w:spacing w:line="600" w:lineRule="exact"/>
        <w:ind w:firstLine="640"/>
        <w:outlineLvl w:val="2"/>
        <w:rPr>
          <w:rFonts w:ascii="仿宋" w:hAnsi="仿宋" w:eastAsia="仿宋"/>
          <w:color w:val="000000"/>
          <w:sz w:val="32"/>
          <w:szCs w:val="32"/>
        </w:rPr>
      </w:pPr>
      <w:bookmarkStart w:id="58" w:name="_Toc15377212"/>
      <w:bookmarkStart w:id="59" w:name="_Toc52180083"/>
      <w:r>
        <w:rPr>
          <w:rFonts w:hint="eastAsia" w:ascii="仿宋" w:hAnsi="仿宋" w:eastAsia="仿宋"/>
          <w:color w:val="000000"/>
          <w:sz w:val="32"/>
          <w:szCs w:val="32"/>
        </w:rPr>
        <w:t>（三）一般公共预算财政拨款支出决算具体情况</w:t>
      </w:r>
      <w:bookmarkEnd w:id="58"/>
      <w:bookmarkEnd w:id="59"/>
    </w:p>
    <w:p>
      <w:pPr>
        <w:spacing w:line="600" w:lineRule="exact"/>
        <w:ind w:firstLine="640"/>
        <w:outlineLvl w:val="2"/>
        <w:rPr>
          <w:rFonts w:ascii="仿宋_GB2312" w:hAnsi="仿宋" w:eastAsia="仿宋_GB2312"/>
          <w:color w:val="FF0000"/>
          <w:sz w:val="32"/>
          <w:szCs w:val="32"/>
        </w:rPr>
      </w:pPr>
      <w:bookmarkStart w:id="60" w:name="_Toc15377213"/>
      <w:bookmarkStart w:id="61" w:name="_Toc52180084"/>
      <w:bookmarkStart w:id="62" w:name="_Toc15378460"/>
      <w:bookmarkStart w:id="63" w:name="_Toc15377444"/>
      <w:r>
        <w:rPr>
          <w:rFonts w:ascii="仿宋_GB2312" w:hAnsi="仿宋" w:eastAsia="仿宋_GB2312"/>
          <w:color w:val="000000"/>
          <w:sz w:val="32"/>
          <w:szCs w:val="32"/>
        </w:rPr>
        <w:t>2021</w:t>
      </w:r>
      <w:r>
        <w:rPr>
          <w:rFonts w:hint="eastAsia" w:ascii="仿宋_GB2312" w:hAnsi="仿宋" w:eastAsia="仿宋_GB2312"/>
          <w:color w:val="000000"/>
          <w:sz w:val="32"/>
          <w:szCs w:val="32"/>
        </w:rPr>
        <w:t>年一般公共预算支出决算数为</w:t>
      </w:r>
      <w:r>
        <w:rPr>
          <w:rFonts w:ascii="仿宋_GB2312" w:hAnsi="仿宋" w:eastAsia="仿宋_GB2312"/>
          <w:color w:val="000000"/>
          <w:sz w:val="32"/>
          <w:szCs w:val="32"/>
        </w:rPr>
        <w:t>3217.8</w:t>
      </w:r>
      <w:r>
        <w:rPr>
          <w:rFonts w:hint="eastAsia" w:ascii="仿宋_GB2312" w:hAnsi="仿宋" w:eastAsia="仿宋_GB2312"/>
          <w:color w:val="000000"/>
          <w:sz w:val="32"/>
          <w:szCs w:val="32"/>
        </w:rPr>
        <w:t>万元，</w:t>
      </w:r>
      <w:r>
        <w:rPr>
          <w:rStyle w:val="34"/>
          <w:rFonts w:hint="eastAsia" w:ascii="仿宋_GB2312" w:hAnsi="仿宋" w:eastAsia="仿宋_GB2312"/>
          <w:b w:val="0"/>
          <w:bCs/>
          <w:color w:val="000000"/>
          <w:sz w:val="32"/>
          <w:szCs w:val="32"/>
        </w:rPr>
        <w:t>完成预算</w:t>
      </w:r>
      <w:r>
        <w:rPr>
          <w:rStyle w:val="34"/>
          <w:rFonts w:ascii="仿宋_GB2312" w:hAnsi="仿宋" w:eastAsia="仿宋_GB2312"/>
          <w:b w:val="0"/>
          <w:bCs/>
          <w:color w:val="000000"/>
          <w:sz w:val="32"/>
          <w:szCs w:val="32"/>
        </w:rPr>
        <w:t>100%</w:t>
      </w:r>
      <w:r>
        <w:rPr>
          <w:rStyle w:val="34"/>
          <w:rFonts w:hint="eastAsia" w:ascii="仿宋_GB2312" w:hAnsi="仿宋" w:eastAsia="仿宋_GB2312"/>
          <w:b w:val="0"/>
          <w:bCs/>
          <w:color w:val="000000"/>
          <w:sz w:val="32"/>
          <w:szCs w:val="32"/>
        </w:rPr>
        <w:t>。其中：</w:t>
      </w:r>
      <w:bookmarkEnd w:id="60"/>
      <w:bookmarkEnd w:id="61"/>
      <w:bookmarkEnd w:id="62"/>
      <w:bookmarkEnd w:id="63"/>
    </w:p>
    <w:p>
      <w:pPr>
        <w:spacing w:line="520" w:lineRule="exact"/>
        <w:ind w:firstLine="640"/>
        <w:rPr>
          <w:rFonts w:ascii="仿宋_GB2312" w:hAnsi="宋体" w:eastAsia="仿宋_GB2312"/>
          <w:color w:val="000000"/>
          <w:sz w:val="32"/>
          <w:szCs w:val="32"/>
        </w:rPr>
      </w:pPr>
      <w:bookmarkStart w:id="64" w:name="OLE_LINK5"/>
      <w:r>
        <w:rPr>
          <w:rStyle w:val="34"/>
          <w:rFonts w:ascii="仿宋_GB2312" w:hAnsi="宋体" w:eastAsia="仿宋_GB2312"/>
          <w:b w:val="0"/>
          <w:bCs/>
          <w:color w:val="000000"/>
          <w:sz w:val="32"/>
          <w:szCs w:val="32"/>
        </w:rPr>
        <w:t>1</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信访事务</w:t>
      </w:r>
      <w:r>
        <w:rPr>
          <w:rStyle w:val="34"/>
          <w:rFonts w:ascii="仿宋_GB2312" w:hAnsi="宋体" w:eastAsia="仿宋_GB2312"/>
          <w:b w:val="0"/>
          <w:bCs/>
          <w:color w:val="000000"/>
          <w:sz w:val="32"/>
          <w:szCs w:val="32"/>
        </w:rPr>
        <w:t>2070308</w:t>
      </w:r>
      <w:r>
        <w:rPr>
          <w:rStyle w:val="34"/>
          <w:rFonts w:hint="eastAsia" w:ascii="仿宋_GB2312" w:hAnsi="宋体" w:eastAsia="仿宋_GB2312"/>
          <w:b w:val="0"/>
          <w:bCs/>
          <w:color w:val="000000"/>
          <w:sz w:val="32"/>
          <w:szCs w:val="32"/>
        </w:rPr>
        <w:t>：</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1</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spacing w:line="520" w:lineRule="exact"/>
        <w:ind w:firstLine="640"/>
        <w:rPr>
          <w:rFonts w:ascii="仿宋_GB2312" w:hAnsi="宋体" w:eastAsia="仿宋_GB2312"/>
          <w:color w:val="000000"/>
          <w:sz w:val="32"/>
          <w:szCs w:val="32"/>
        </w:rPr>
      </w:pPr>
      <w:r>
        <w:rPr>
          <w:rStyle w:val="34"/>
          <w:rFonts w:ascii="仿宋_GB2312" w:hAnsi="宋体" w:eastAsia="仿宋_GB2312"/>
          <w:b w:val="0"/>
          <w:bCs/>
          <w:color w:val="000000"/>
          <w:sz w:val="32"/>
          <w:szCs w:val="32"/>
        </w:rPr>
        <w:t>2</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文化和旅游行政运行</w:t>
      </w:r>
      <w:r>
        <w:rPr>
          <w:rStyle w:val="34"/>
          <w:rFonts w:ascii="仿宋_GB2312" w:hAnsi="宋体" w:eastAsia="仿宋_GB2312"/>
          <w:b w:val="0"/>
          <w:bCs/>
          <w:color w:val="000000"/>
          <w:sz w:val="32"/>
          <w:szCs w:val="32"/>
        </w:rPr>
        <w:t>2070101</w:t>
      </w:r>
      <w:r>
        <w:rPr>
          <w:rStyle w:val="34"/>
          <w:rFonts w:hint="eastAsia" w:ascii="仿宋_GB2312" w:hAnsi="宋体" w:eastAsia="仿宋_GB2312"/>
          <w:b w:val="0"/>
          <w:bCs/>
          <w:color w:val="000000"/>
          <w:sz w:val="32"/>
          <w:szCs w:val="32"/>
        </w:rPr>
        <w:t>：</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341.07</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spacing w:line="520" w:lineRule="exact"/>
        <w:ind w:firstLine="640"/>
        <w:rPr>
          <w:rFonts w:ascii="仿宋_GB2312" w:hAnsi="宋体" w:eastAsia="仿宋_GB2312"/>
          <w:color w:val="000000"/>
          <w:sz w:val="32"/>
          <w:szCs w:val="32"/>
        </w:rPr>
      </w:pPr>
      <w:r>
        <w:rPr>
          <w:rFonts w:ascii="仿宋_GB2312" w:hAnsi="宋体" w:eastAsia="仿宋_GB2312"/>
          <w:color w:val="000000"/>
          <w:sz w:val="32"/>
          <w:szCs w:val="32"/>
        </w:rPr>
        <w:t>3</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文化和旅游一般行政管理事务</w:t>
      </w:r>
      <w:r>
        <w:rPr>
          <w:rFonts w:ascii="仿宋_GB2312" w:hAnsi="宋体" w:eastAsia="仿宋_GB2312"/>
          <w:color w:val="000000"/>
          <w:sz w:val="32"/>
          <w:szCs w:val="32"/>
        </w:rPr>
        <w:t>2070102</w:t>
      </w:r>
      <w:r>
        <w:rPr>
          <w:rFonts w:hint="eastAsia" w:ascii="仿宋_GB2312" w:hAnsi="宋体" w:eastAsia="仿宋_GB2312"/>
          <w:color w:val="000000"/>
          <w:sz w:val="32"/>
          <w:szCs w:val="32"/>
        </w:rPr>
        <w:t>：</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85.38</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spacing w:line="520" w:lineRule="exact"/>
        <w:ind w:firstLine="640"/>
        <w:rPr>
          <w:rFonts w:ascii="仿宋_GB2312" w:hAnsi="宋体" w:eastAsia="仿宋_GB2312"/>
          <w:color w:val="000000"/>
          <w:sz w:val="32"/>
          <w:szCs w:val="32"/>
        </w:rPr>
      </w:pPr>
      <w:r>
        <w:rPr>
          <w:rFonts w:ascii="仿宋_GB2312" w:hAnsi="宋体" w:eastAsia="仿宋_GB2312"/>
          <w:sz w:val="32"/>
          <w:szCs w:val="32"/>
        </w:rPr>
        <w:t>4</w:t>
      </w:r>
      <w:r>
        <w:rPr>
          <w:rFonts w:hint="eastAsia" w:ascii="仿宋_GB2312" w:hAnsi="宋体" w:eastAsia="仿宋_GB2312"/>
          <w:sz w:val="32"/>
          <w:szCs w:val="32"/>
          <w:lang w:val="en-US" w:eastAsia="zh-CN"/>
        </w:rPr>
        <w:t>.</w:t>
      </w:r>
      <w:r>
        <w:rPr>
          <w:rFonts w:ascii="仿宋_GB2312" w:hAnsi="宋体" w:eastAsia="仿宋_GB2312"/>
          <w:sz w:val="32"/>
          <w:szCs w:val="32"/>
        </w:rPr>
        <w:t xml:space="preserve"> </w:t>
      </w:r>
      <w:r>
        <w:rPr>
          <w:rFonts w:hint="eastAsia" w:ascii="仿宋_GB2312" w:hAnsi="宋体" w:eastAsia="仿宋_GB2312"/>
          <w:sz w:val="32"/>
          <w:szCs w:val="32"/>
        </w:rPr>
        <w:t>艺</w:t>
      </w:r>
      <w:r>
        <w:rPr>
          <w:rFonts w:hint="eastAsia" w:ascii="仿宋_GB2312" w:eastAsia="仿宋_GB2312"/>
          <w:sz w:val="32"/>
          <w:szCs w:val="32"/>
        </w:rPr>
        <w:t>术表演团体</w:t>
      </w:r>
      <w:r>
        <w:rPr>
          <w:rFonts w:ascii="仿宋_GB2312" w:hAnsi="宋体" w:eastAsia="仿宋_GB2312"/>
          <w:sz w:val="32"/>
          <w:szCs w:val="32"/>
        </w:rPr>
        <w:t>2070107</w:t>
      </w:r>
      <w:r>
        <w:rPr>
          <w:rFonts w:hint="eastAsia" w:ascii="仿宋_GB2312" w:hAnsi="宋体" w:eastAsia="仿宋_GB2312"/>
          <w:sz w:val="32"/>
          <w:szCs w:val="32"/>
        </w:rPr>
        <w:t>：</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33.6</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pStyle w:val="14"/>
        <w:ind w:firstLine="64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lang w:val="en-US" w:eastAsia="zh-CN"/>
        </w:rPr>
        <w:t>.</w:t>
      </w:r>
      <w:r>
        <w:rPr>
          <w:rStyle w:val="34"/>
          <w:rFonts w:hint="eastAsia" w:ascii="仿宋_GB2312" w:hAnsi="宋体" w:eastAsia="仿宋_GB2312"/>
          <w:b w:val="0"/>
          <w:bCs/>
          <w:color w:val="000000"/>
          <w:sz w:val="32"/>
          <w:szCs w:val="32"/>
        </w:rPr>
        <w:t>文化活动</w:t>
      </w:r>
      <w:r>
        <w:rPr>
          <w:rStyle w:val="34"/>
          <w:rFonts w:ascii="仿宋_GB2312" w:hAnsi="宋体" w:eastAsia="仿宋_GB2312"/>
          <w:b w:val="0"/>
          <w:bCs/>
          <w:color w:val="000000"/>
          <w:sz w:val="32"/>
          <w:szCs w:val="32"/>
        </w:rPr>
        <w:t>2070108</w:t>
      </w:r>
      <w:r>
        <w:rPr>
          <w:rStyle w:val="34"/>
          <w:rFonts w:hint="eastAsia" w:ascii="仿宋_GB2312" w:hAnsi="宋体" w:eastAsia="仿宋_GB2312"/>
          <w:b w:val="0"/>
          <w:bCs/>
          <w:color w:val="000000"/>
          <w:sz w:val="32"/>
          <w:szCs w:val="32"/>
        </w:rPr>
        <w:t>：</w:t>
      </w:r>
      <w:r>
        <w:rPr>
          <w:rFonts w:ascii="仿宋_GB2312" w:hAnsi="宋体" w:eastAsia="仿宋_GB2312"/>
          <w:sz w:val="32"/>
          <w:szCs w:val="32"/>
        </w:rPr>
        <w:t>2021</w:t>
      </w:r>
      <w:r>
        <w:rPr>
          <w:rFonts w:hint="eastAsia" w:ascii="仿宋_GB2312" w:hAnsi="宋体" w:eastAsia="仿宋_GB2312"/>
          <w:sz w:val="32"/>
          <w:szCs w:val="32"/>
        </w:rPr>
        <w:t>年支出决算数为</w:t>
      </w:r>
      <w:r>
        <w:rPr>
          <w:rFonts w:ascii="仿宋_GB2312" w:hAnsi="宋体" w:eastAsia="仿宋_GB2312"/>
          <w:sz w:val="32"/>
          <w:szCs w:val="32"/>
        </w:rPr>
        <w:t>123.16</w:t>
      </w:r>
      <w:r>
        <w:rPr>
          <w:rFonts w:hint="eastAsia" w:ascii="仿宋_GB2312" w:hAnsi="宋体" w:eastAsia="仿宋_GB2312"/>
          <w:sz w:val="32"/>
          <w:szCs w:val="32"/>
        </w:rPr>
        <w:t>万元，完成预算</w:t>
      </w:r>
      <w:r>
        <w:rPr>
          <w:rFonts w:ascii="仿宋_GB2312" w:hAnsi="宋体" w:eastAsia="仿宋_GB2312"/>
          <w:sz w:val="32"/>
          <w:szCs w:val="32"/>
        </w:rPr>
        <w:t>100%</w:t>
      </w:r>
      <w:r>
        <w:rPr>
          <w:rFonts w:hint="eastAsia" w:ascii="仿宋_GB2312" w:hAnsi="宋体" w:eastAsia="仿宋_GB2312"/>
          <w:sz w:val="32"/>
          <w:szCs w:val="32"/>
        </w:rPr>
        <w:t>。</w:t>
      </w:r>
    </w:p>
    <w:p>
      <w:pPr>
        <w:pStyle w:val="14"/>
        <w:ind w:firstLine="64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lang w:val="en-US" w:eastAsia="zh-CN"/>
        </w:rPr>
        <w:t>.</w:t>
      </w:r>
      <w:r>
        <w:rPr>
          <w:rFonts w:hint="eastAsia" w:ascii="仿宋_GB2312" w:hAnsi="宋体" w:eastAsia="仿宋_GB2312"/>
          <w:sz w:val="32"/>
          <w:szCs w:val="32"/>
        </w:rPr>
        <w:t>群众文化</w:t>
      </w:r>
      <w:r>
        <w:rPr>
          <w:rFonts w:ascii="仿宋_GB2312" w:hAnsi="宋体" w:eastAsia="仿宋_GB2312"/>
          <w:sz w:val="32"/>
          <w:szCs w:val="32"/>
        </w:rPr>
        <w:t>2070109</w:t>
      </w:r>
      <w:r>
        <w:rPr>
          <w:rFonts w:hint="eastAsia" w:ascii="仿宋_GB2312" w:hAnsi="宋体" w:eastAsia="仿宋_GB2312"/>
          <w:sz w:val="32"/>
          <w:szCs w:val="32"/>
        </w:rPr>
        <w:t>：</w:t>
      </w:r>
      <w:r>
        <w:rPr>
          <w:rFonts w:ascii="仿宋_GB2312" w:hAnsi="宋体" w:eastAsia="仿宋_GB2312"/>
          <w:sz w:val="32"/>
          <w:szCs w:val="32"/>
        </w:rPr>
        <w:t>2021</w:t>
      </w:r>
      <w:r>
        <w:rPr>
          <w:rFonts w:hint="eastAsia" w:ascii="仿宋_GB2312" w:hAnsi="宋体" w:eastAsia="仿宋_GB2312"/>
          <w:sz w:val="32"/>
          <w:szCs w:val="32"/>
        </w:rPr>
        <w:t>年支出决算数为</w:t>
      </w:r>
      <w:r>
        <w:rPr>
          <w:rFonts w:ascii="仿宋_GB2312" w:hAnsi="宋体" w:eastAsia="仿宋_GB2312"/>
          <w:sz w:val="32"/>
          <w:szCs w:val="32"/>
        </w:rPr>
        <w:t>:146.02</w:t>
      </w:r>
      <w:r>
        <w:rPr>
          <w:rFonts w:hint="eastAsia" w:ascii="仿宋_GB2312" w:hAnsi="宋体" w:eastAsia="仿宋_GB2312"/>
          <w:sz w:val="32"/>
          <w:szCs w:val="32"/>
        </w:rPr>
        <w:t>万元，完成预算</w:t>
      </w:r>
      <w:r>
        <w:rPr>
          <w:rFonts w:ascii="仿宋_GB2312" w:hAnsi="宋体" w:eastAsia="仿宋_GB2312"/>
          <w:sz w:val="32"/>
          <w:szCs w:val="32"/>
        </w:rPr>
        <w:t>100%</w:t>
      </w:r>
      <w:r>
        <w:rPr>
          <w:rFonts w:hint="eastAsia" w:ascii="仿宋_GB2312" w:hAnsi="宋体" w:eastAsia="仿宋_GB2312"/>
          <w:sz w:val="32"/>
          <w:szCs w:val="32"/>
        </w:rPr>
        <w:t>。</w:t>
      </w:r>
    </w:p>
    <w:p>
      <w:pPr>
        <w:spacing w:line="520" w:lineRule="exact"/>
        <w:ind w:firstLine="640"/>
        <w:rPr>
          <w:rFonts w:ascii="仿宋_GB2312" w:hAnsi="宋体" w:eastAsia="仿宋_GB2312"/>
          <w:color w:val="000000"/>
          <w:sz w:val="32"/>
          <w:szCs w:val="32"/>
        </w:rPr>
      </w:pPr>
      <w:r>
        <w:rPr>
          <w:rStyle w:val="34"/>
          <w:rFonts w:ascii="仿宋_GB2312" w:hAnsi="宋体" w:eastAsia="仿宋_GB2312"/>
          <w:b w:val="0"/>
          <w:bCs/>
          <w:color w:val="000000"/>
          <w:sz w:val="32"/>
          <w:szCs w:val="32"/>
        </w:rPr>
        <w:t>7</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文化创作与保护</w:t>
      </w:r>
      <w:r>
        <w:rPr>
          <w:rStyle w:val="34"/>
          <w:rFonts w:ascii="仿宋_GB2312" w:hAnsi="宋体" w:eastAsia="仿宋_GB2312"/>
          <w:b w:val="0"/>
          <w:bCs/>
          <w:color w:val="000000"/>
          <w:sz w:val="32"/>
          <w:szCs w:val="32"/>
        </w:rPr>
        <w:t>2070111:</w:t>
      </w:r>
      <w:r>
        <w:rPr>
          <w:rFonts w:ascii="仿宋_GB2312" w:hAnsi="宋体" w:eastAsia="仿宋_GB2312"/>
          <w:color w:val="000000"/>
          <w:sz w:val="32"/>
          <w:szCs w:val="32"/>
        </w:rPr>
        <w:t>2021</w:t>
      </w:r>
      <w:r>
        <w:rPr>
          <w:rFonts w:hint="eastAsia" w:ascii="仿宋_GB2312" w:hAnsi="宋体" w:eastAsia="仿宋_GB2312"/>
          <w:color w:val="000000"/>
          <w:sz w:val="32"/>
          <w:szCs w:val="32"/>
        </w:rPr>
        <w:t>年决算数为</w:t>
      </w:r>
      <w:r>
        <w:rPr>
          <w:rFonts w:ascii="仿宋_GB2312" w:hAnsi="宋体" w:eastAsia="仿宋_GB2312"/>
          <w:color w:val="000000"/>
          <w:sz w:val="32"/>
          <w:szCs w:val="32"/>
        </w:rPr>
        <w:t>11.1</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spacing w:line="520" w:lineRule="exact"/>
        <w:ind w:firstLine="640"/>
        <w:rPr>
          <w:rFonts w:ascii="仿宋_GB2312" w:hAnsi="宋体" w:eastAsia="仿宋_GB2312"/>
          <w:color w:val="000000"/>
          <w:sz w:val="32"/>
          <w:szCs w:val="32"/>
        </w:rPr>
      </w:pPr>
      <w:r>
        <w:rPr>
          <w:rStyle w:val="34"/>
          <w:rFonts w:ascii="仿宋_GB2312" w:hAnsi="宋体" w:eastAsia="仿宋_GB2312"/>
          <w:b w:val="0"/>
          <w:bCs/>
          <w:color w:val="000000"/>
          <w:sz w:val="32"/>
          <w:szCs w:val="32"/>
        </w:rPr>
        <w:t>8</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旅游宣传</w:t>
      </w:r>
      <w:r>
        <w:rPr>
          <w:rStyle w:val="34"/>
          <w:rFonts w:ascii="仿宋_GB2312" w:hAnsi="宋体" w:eastAsia="仿宋_GB2312"/>
          <w:b w:val="0"/>
          <w:bCs/>
          <w:color w:val="000000"/>
          <w:sz w:val="32"/>
          <w:szCs w:val="32"/>
        </w:rPr>
        <w:t>2070113:</w:t>
      </w:r>
      <w:r>
        <w:rPr>
          <w:rFonts w:ascii="仿宋_GB2312" w:hAnsi="宋体" w:eastAsia="仿宋_GB2312"/>
          <w:color w:val="000000"/>
          <w:sz w:val="32"/>
          <w:szCs w:val="32"/>
        </w:rPr>
        <w:t>2021</w:t>
      </w:r>
      <w:r>
        <w:rPr>
          <w:rFonts w:hint="eastAsia" w:ascii="仿宋_GB2312" w:hAnsi="宋体" w:eastAsia="仿宋_GB2312"/>
          <w:color w:val="000000"/>
          <w:sz w:val="32"/>
          <w:szCs w:val="32"/>
        </w:rPr>
        <w:t>年决算数为</w:t>
      </w:r>
      <w:r>
        <w:rPr>
          <w:rFonts w:ascii="仿宋_GB2312" w:hAnsi="宋体" w:eastAsia="仿宋_GB2312"/>
          <w:color w:val="000000"/>
          <w:sz w:val="32"/>
          <w:szCs w:val="32"/>
        </w:rPr>
        <w:t>161.5</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pStyle w:val="14"/>
        <w:ind w:firstLine="640"/>
        <w:rPr>
          <w:rFonts w:ascii="仿宋_GB2312" w:hAnsi="宋体" w:eastAsia="仿宋_GB2312"/>
          <w:sz w:val="32"/>
          <w:szCs w:val="32"/>
        </w:rPr>
      </w:pPr>
      <w:r>
        <w:rPr>
          <w:rStyle w:val="34"/>
          <w:rFonts w:ascii="仿宋_GB2312" w:hAnsi="宋体" w:eastAsia="仿宋_GB2312"/>
          <w:b w:val="0"/>
          <w:bCs/>
          <w:color w:val="000000"/>
          <w:sz w:val="32"/>
          <w:szCs w:val="32"/>
        </w:rPr>
        <w:t>9</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文化和旅游管理事务</w:t>
      </w:r>
      <w:r>
        <w:rPr>
          <w:rStyle w:val="34"/>
          <w:rFonts w:ascii="仿宋_GB2312" w:hAnsi="宋体" w:eastAsia="仿宋_GB2312"/>
          <w:b w:val="0"/>
          <w:bCs/>
          <w:color w:val="000000"/>
          <w:sz w:val="32"/>
          <w:szCs w:val="32"/>
        </w:rPr>
        <w:t>2070114:</w:t>
      </w:r>
      <w:r>
        <w:rPr>
          <w:rFonts w:ascii="仿宋_GB2312" w:hAnsi="宋体" w:eastAsia="仿宋_GB2312"/>
          <w:sz w:val="32"/>
          <w:szCs w:val="32"/>
        </w:rPr>
        <w:t>2021</w:t>
      </w:r>
      <w:r>
        <w:rPr>
          <w:rFonts w:hint="eastAsia" w:ascii="仿宋_GB2312" w:hAnsi="宋体" w:eastAsia="仿宋_GB2312"/>
          <w:sz w:val="32"/>
          <w:szCs w:val="32"/>
        </w:rPr>
        <w:t>年决算数为</w:t>
      </w:r>
      <w:r>
        <w:rPr>
          <w:rFonts w:ascii="仿宋_GB2312" w:hAnsi="宋体" w:eastAsia="仿宋_GB2312"/>
          <w:sz w:val="32"/>
          <w:szCs w:val="32"/>
        </w:rPr>
        <w:t>41.55</w:t>
      </w:r>
      <w:r>
        <w:rPr>
          <w:rFonts w:hint="eastAsia" w:ascii="仿宋_GB2312" w:hAnsi="宋体" w:eastAsia="仿宋_GB2312"/>
          <w:sz w:val="32"/>
          <w:szCs w:val="32"/>
        </w:rPr>
        <w:t>万元，完成预算</w:t>
      </w:r>
      <w:r>
        <w:rPr>
          <w:rFonts w:ascii="仿宋_GB2312" w:hAnsi="宋体" w:eastAsia="仿宋_GB2312"/>
          <w:sz w:val="32"/>
          <w:szCs w:val="32"/>
        </w:rPr>
        <w:t>100%</w:t>
      </w:r>
      <w:r>
        <w:rPr>
          <w:rFonts w:hint="eastAsia" w:ascii="仿宋_GB2312" w:hAnsi="宋体" w:eastAsia="仿宋_GB2312"/>
          <w:sz w:val="32"/>
          <w:szCs w:val="32"/>
        </w:rPr>
        <w:t>。</w:t>
      </w:r>
    </w:p>
    <w:p>
      <w:pPr>
        <w:tabs>
          <w:tab w:val="left" w:pos="2184"/>
        </w:tabs>
        <w:spacing w:line="590" w:lineRule="exact"/>
        <w:ind w:firstLine="640"/>
        <w:rPr>
          <w:rFonts w:ascii="仿宋_GB2312" w:hAnsi="宋体" w:eastAsia="仿宋_GB2312"/>
          <w:sz w:val="32"/>
          <w:szCs w:val="32"/>
        </w:rPr>
      </w:pPr>
      <w:r>
        <w:rPr>
          <w:rFonts w:ascii="仿宋_GB2312" w:hAnsi="宋体" w:eastAsia="仿宋_GB2312"/>
          <w:color w:val="000000"/>
          <w:sz w:val="32"/>
          <w:szCs w:val="32"/>
        </w:rPr>
        <w:t>10</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其他文化和旅游支出</w:t>
      </w:r>
      <w:r>
        <w:rPr>
          <w:rStyle w:val="34"/>
          <w:rFonts w:ascii="仿宋_GB2312" w:hAnsi="宋体" w:eastAsia="仿宋_GB2312"/>
          <w:b w:val="0"/>
          <w:bCs/>
          <w:color w:val="000000"/>
          <w:sz w:val="32"/>
          <w:szCs w:val="32"/>
        </w:rPr>
        <w:t>2070199:</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1050.23</w:t>
      </w:r>
      <w:r>
        <w:rPr>
          <w:rFonts w:hint="eastAsia" w:ascii="仿宋_GB2312" w:hAnsi="宋体" w:eastAsia="仿宋_GB2312"/>
          <w:color w:val="000000"/>
          <w:sz w:val="32"/>
          <w:szCs w:val="32"/>
        </w:rPr>
        <w:t>万元，</w:t>
      </w:r>
      <w:r>
        <w:rPr>
          <w:rFonts w:hint="eastAsia" w:ascii="仿宋_GB2312" w:hAnsi="宋体" w:eastAsia="仿宋_GB2312"/>
          <w:sz w:val="32"/>
          <w:szCs w:val="32"/>
        </w:rPr>
        <w:t>完成预算</w:t>
      </w:r>
      <w:r>
        <w:rPr>
          <w:rFonts w:ascii="仿宋_GB2312" w:hAnsi="宋体" w:eastAsia="仿宋_GB2312"/>
          <w:sz w:val="32"/>
          <w:szCs w:val="32"/>
        </w:rPr>
        <w:t>100%</w:t>
      </w:r>
      <w:r>
        <w:rPr>
          <w:rFonts w:hint="eastAsia" w:ascii="仿宋_GB2312" w:hAnsi="宋体" w:eastAsia="仿宋_GB2312"/>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sz w:val="32"/>
          <w:szCs w:val="32"/>
        </w:rPr>
        <w:t>11</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文物保护</w:t>
      </w:r>
      <w:r>
        <w:rPr>
          <w:rStyle w:val="34"/>
          <w:rFonts w:ascii="仿宋_GB2312" w:hAnsi="宋体" w:eastAsia="仿宋_GB2312"/>
          <w:b w:val="0"/>
          <w:bCs/>
          <w:color w:val="000000"/>
          <w:sz w:val="32"/>
          <w:szCs w:val="32"/>
        </w:rPr>
        <w:t>2070204:</w:t>
      </w:r>
      <w:r>
        <w:rPr>
          <w:rFonts w:ascii="仿宋_GB2312" w:hAnsi="宋体" w:eastAsia="仿宋_GB2312"/>
          <w:sz w:val="32"/>
          <w:szCs w:val="32"/>
        </w:rPr>
        <w:t>2021</w:t>
      </w:r>
      <w:r>
        <w:rPr>
          <w:rFonts w:hint="eastAsia" w:ascii="仿宋_GB2312" w:hAnsi="宋体" w:eastAsia="仿宋_GB2312"/>
          <w:sz w:val="32"/>
          <w:szCs w:val="32"/>
        </w:rPr>
        <w:t>年支出决算数为</w:t>
      </w:r>
      <w:r>
        <w:rPr>
          <w:rFonts w:ascii="仿宋_GB2312" w:hAnsi="宋体" w:eastAsia="仿宋_GB2312"/>
          <w:sz w:val="32"/>
          <w:szCs w:val="32"/>
        </w:rPr>
        <w:t>9</w:t>
      </w:r>
      <w:r>
        <w:rPr>
          <w:rFonts w:hint="eastAsia" w:ascii="仿宋_GB2312" w:hAnsi="宋体" w:eastAsia="仿宋_GB2312"/>
          <w:sz w:val="32"/>
          <w:szCs w:val="32"/>
        </w:rPr>
        <w:t>万元，完成预算</w:t>
      </w:r>
      <w:r>
        <w:rPr>
          <w:rFonts w:ascii="仿宋_GB2312" w:hAnsi="宋体" w:eastAsia="仿宋_GB2312"/>
          <w:sz w:val="32"/>
          <w:szCs w:val="32"/>
        </w:rPr>
        <w:t>100%</w:t>
      </w:r>
      <w:r>
        <w:rPr>
          <w:rFonts w:hint="eastAsia" w:ascii="仿宋_GB2312" w:hAnsi="宋体" w:eastAsia="仿宋_GB2312"/>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color w:val="000000"/>
          <w:sz w:val="32"/>
          <w:szCs w:val="32"/>
        </w:rPr>
        <w:t>12</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体育竞赛</w:t>
      </w:r>
      <w:r>
        <w:rPr>
          <w:rStyle w:val="34"/>
          <w:rFonts w:ascii="仿宋_GB2312" w:hAnsi="宋体" w:eastAsia="仿宋_GB2312"/>
          <w:b w:val="0"/>
          <w:bCs/>
          <w:color w:val="000000"/>
          <w:sz w:val="32"/>
          <w:szCs w:val="32"/>
        </w:rPr>
        <w:t>2070305:</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29.02</w:t>
      </w:r>
      <w:r>
        <w:rPr>
          <w:rFonts w:hint="eastAsia" w:ascii="仿宋_GB2312" w:hAnsi="宋体" w:eastAsia="仿宋_GB2312"/>
          <w:color w:val="000000"/>
          <w:sz w:val="32"/>
          <w:szCs w:val="32"/>
        </w:rPr>
        <w:t>万元，</w:t>
      </w:r>
      <w:r>
        <w:rPr>
          <w:rFonts w:hint="eastAsia" w:ascii="仿宋_GB2312" w:hAnsi="宋体" w:eastAsia="仿宋_GB2312"/>
          <w:sz w:val="32"/>
          <w:szCs w:val="32"/>
        </w:rPr>
        <w:t>完成预算</w:t>
      </w:r>
      <w:r>
        <w:rPr>
          <w:rFonts w:ascii="仿宋_GB2312" w:hAnsi="宋体" w:eastAsia="仿宋_GB2312"/>
          <w:sz w:val="32"/>
          <w:szCs w:val="32"/>
        </w:rPr>
        <w:t>100%</w:t>
      </w:r>
      <w:r>
        <w:rPr>
          <w:rFonts w:hint="eastAsia" w:ascii="仿宋_GB2312" w:hAnsi="宋体" w:eastAsia="仿宋_GB2312"/>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sz w:val="32"/>
          <w:szCs w:val="32"/>
        </w:rPr>
        <w:t>13</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电影</w:t>
      </w:r>
      <w:r>
        <w:rPr>
          <w:rStyle w:val="34"/>
          <w:rFonts w:ascii="仿宋_GB2312" w:hAnsi="宋体" w:eastAsia="仿宋_GB2312"/>
          <w:b w:val="0"/>
          <w:bCs/>
          <w:color w:val="000000"/>
          <w:sz w:val="32"/>
          <w:szCs w:val="32"/>
        </w:rPr>
        <w:t>2070607:</w:t>
      </w:r>
      <w:r>
        <w:rPr>
          <w:rFonts w:ascii="仿宋_GB2312" w:hAnsi="宋体" w:eastAsia="仿宋_GB2312"/>
          <w:sz w:val="32"/>
          <w:szCs w:val="32"/>
        </w:rPr>
        <w:t>2021</w:t>
      </w:r>
      <w:r>
        <w:rPr>
          <w:rFonts w:hint="eastAsia" w:ascii="仿宋_GB2312" w:hAnsi="宋体" w:eastAsia="仿宋_GB2312"/>
          <w:sz w:val="32"/>
          <w:szCs w:val="32"/>
        </w:rPr>
        <w:t>年支出决算数为</w:t>
      </w:r>
      <w:r>
        <w:rPr>
          <w:rFonts w:ascii="仿宋_GB2312" w:hAnsi="宋体" w:eastAsia="仿宋_GB2312"/>
          <w:sz w:val="32"/>
          <w:szCs w:val="32"/>
        </w:rPr>
        <w:t>76.32</w:t>
      </w:r>
      <w:r>
        <w:rPr>
          <w:rFonts w:hint="eastAsia" w:ascii="仿宋_GB2312" w:hAnsi="宋体" w:eastAsia="仿宋_GB2312"/>
          <w:sz w:val="32"/>
          <w:szCs w:val="32"/>
        </w:rPr>
        <w:t>万元，完成预算</w:t>
      </w:r>
      <w:r>
        <w:rPr>
          <w:rFonts w:ascii="仿宋_GB2312" w:hAnsi="宋体" w:eastAsia="仿宋_GB2312"/>
          <w:sz w:val="32"/>
          <w:szCs w:val="32"/>
        </w:rPr>
        <w:t>100%</w:t>
      </w:r>
      <w:r>
        <w:rPr>
          <w:rFonts w:hint="eastAsia" w:ascii="仿宋_GB2312" w:hAnsi="宋体" w:eastAsia="仿宋_GB2312"/>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color w:val="000000"/>
          <w:sz w:val="32"/>
          <w:szCs w:val="32"/>
        </w:rPr>
        <w:t>14</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其他新闻出版电影支出</w:t>
      </w:r>
      <w:r>
        <w:rPr>
          <w:rFonts w:ascii="仿宋_GB2312" w:hAnsi="宋体" w:eastAsia="仿宋_GB2312"/>
          <w:color w:val="000000"/>
          <w:sz w:val="32"/>
          <w:szCs w:val="32"/>
        </w:rPr>
        <w:t>2070699</w:t>
      </w:r>
      <w:r>
        <w:rPr>
          <w:rFonts w:hint="eastAsia" w:ascii="仿宋_GB2312" w:hAnsi="宋体" w:eastAsia="仿宋_GB2312"/>
          <w:color w:val="000000"/>
          <w:sz w:val="32"/>
          <w:szCs w:val="32"/>
        </w:rPr>
        <w:t>：</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14.69</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color w:val="000000"/>
          <w:sz w:val="32"/>
          <w:szCs w:val="32"/>
        </w:rPr>
        <w:t>15</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其他广播电视支出</w:t>
      </w:r>
      <w:r>
        <w:rPr>
          <w:rFonts w:ascii="仿宋_GB2312" w:hAnsi="宋体" w:eastAsia="仿宋_GB2312"/>
          <w:color w:val="000000"/>
          <w:sz w:val="32"/>
          <w:szCs w:val="32"/>
        </w:rPr>
        <w:t>2070899</w:t>
      </w:r>
      <w:r>
        <w:rPr>
          <w:rFonts w:hint="eastAsia" w:ascii="仿宋_GB2312" w:hAnsi="宋体" w:eastAsia="仿宋_GB2312"/>
          <w:color w:val="000000"/>
          <w:sz w:val="32"/>
          <w:szCs w:val="32"/>
        </w:rPr>
        <w:t>：</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466.12</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640"/>
        <w:rPr>
          <w:rFonts w:ascii="仿宋_GB2312" w:hAnsi="宋体" w:eastAsia="仿宋_GB2312"/>
          <w:color w:val="000000"/>
          <w:sz w:val="32"/>
          <w:szCs w:val="32"/>
        </w:rPr>
      </w:pPr>
      <w:r>
        <w:rPr>
          <w:rStyle w:val="34"/>
          <w:rFonts w:ascii="仿宋_GB2312" w:hAnsi="宋体" w:eastAsia="仿宋_GB2312"/>
          <w:b w:val="0"/>
          <w:bCs/>
          <w:color w:val="000000"/>
          <w:sz w:val="32"/>
          <w:szCs w:val="32"/>
        </w:rPr>
        <w:t>16</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其他文化体育与传媒支出</w:t>
      </w:r>
      <w:r>
        <w:rPr>
          <w:rStyle w:val="34"/>
          <w:rFonts w:ascii="仿宋_GB2312" w:hAnsi="宋体" w:eastAsia="仿宋_GB2312"/>
          <w:b w:val="0"/>
          <w:bCs/>
          <w:color w:val="000000"/>
          <w:sz w:val="32"/>
          <w:szCs w:val="32"/>
        </w:rPr>
        <w:t>2079999:</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345.06</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color w:val="000000"/>
          <w:sz w:val="32"/>
          <w:szCs w:val="32"/>
        </w:rPr>
        <w:t>17</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未归口管理的行政单位离退休</w:t>
      </w:r>
      <w:r>
        <w:rPr>
          <w:rFonts w:ascii="仿宋_GB2312" w:hAnsi="宋体" w:eastAsia="仿宋_GB2312"/>
          <w:color w:val="000000"/>
          <w:sz w:val="32"/>
          <w:szCs w:val="32"/>
        </w:rPr>
        <w:t>2080501:2021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20.64</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320"/>
        <w:rPr>
          <w:rFonts w:ascii="仿宋_GB2312" w:hAnsi="宋体" w:eastAsia="仿宋_GB2312"/>
          <w:color w:val="000000"/>
          <w:sz w:val="32"/>
          <w:szCs w:val="32"/>
        </w:rPr>
      </w:pPr>
      <w:r>
        <w:rPr>
          <w:rFonts w:hint="eastAsia" w:ascii="仿宋_GB2312" w:hAnsi="宋体" w:eastAsia="仿宋_GB2312"/>
          <w:color w:val="000000"/>
          <w:sz w:val="32"/>
          <w:szCs w:val="32"/>
          <w:lang w:val="en-US" w:eastAsia="zh-CN"/>
        </w:rPr>
        <w:t xml:space="preserve">  </w:t>
      </w:r>
      <w:r>
        <w:rPr>
          <w:rFonts w:ascii="仿宋_GB2312" w:hAnsi="宋体" w:eastAsia="仿宋_GB2312"/>
          <w:color w:val="000000"/>
          <w:sz w:val="32"/>
          <w:szCs w:val="32"/>
        </w:rPr>
        <w:t>18</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事业单位离退休</w:t>
      </w:r>
      <w:r>
        <w:rPr>
          <w:rFonts w:ascii="仿宋_GB2312" w:hAnsi="宋体" w:eastAsia="仿宋_GB2312"/>
          <w:color w:val="000000"/>
          <w:sz w:val="32"/>
          <w:szCs w:val="32"/>
        </w:rPr>
        <w:t>2080502:2021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28.99</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320"/>
        <w:rPr>
          <w:rFonts w:ascii="仿宋_GB2312" w:hAnsi="宋体" w:eastAsia="仿宋_GB2312"/>
          <w:color w:val="000000"/>
          <w:sz w:val="32"/>
          <w:szCs w:val="32"/>
        </w:rPr>
      </w:pPr>
      <w:r>
        <w:rPr>
          <w:rFonts w:hint="eastAsia" w:ascii="仿宋_GB2312" w:hAnsi="宋体" w:eastAsia="仿宋_GB2312"/>
          <w:color w:val="000000"/>
          <w:sz w:val="32"/>
          <w:szCs w:val="32"/>
          <w:lang w:val="en-US" w:eastAsia="zh-CN"/>
        </w:rPr>
        <w:t xml:space="preserve">  </w:t>
      </w:r>
      <w:r>
        <w:rPr>
          <w:rFonts w:ascii="仿宋_GB2312" w:hAnsi="宋体" w:eastAsia="仿宋_GB2312"/>
          <w:color w:val="000000"/>
          <w:sz w:val="32"/>
          <w:szCs w:val="32"/>
        </w:rPr>
        <w:t>19</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机关事业单位基本养老保险缴费支出</w:t>
      </w:r>
      <w:r>
        <w:rPr>
          <w:rFonts w:ascii="仿宋_GB2312" w:hAnsi="宋体" w:eastAsia="仿宋_GB2312"/>
          <w:color w:val="000000"/>
          <w:sz w:val="32"/>
          <w:szCs w:val="32"/>
        </w:rPr>
        <w:t>2080505:2021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41.35</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color w:val="000000"/>
          <w:sz w:val="32"/>
          <w:szCs w:val="32"/>
        </w:rPr>
        <w:t>20</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机关事业单位职业年金缴费支出</w:t>
      </w:r>
      <w:r>
        <w:rPr>
          <w:rFonts w:ascii="仿宋_GB2312" w:hAnsi="宋体" w:eastAsia="仿宋_GB2312"/>
          <w:color w:val="000000"/>
          <w:sz w:val="32"/>
          <w:szCs w:val="32"/>
        </w:rPr>
        <w:t>2080506:2021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14.7</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320"/>
        <w:rPr>
          <w:rFonts w:ascii="仿宋_GB2312" w:hAnsi="宋体" w:eastAsia="仿宋_GB2312"/>
          <w:color w:val="000000"/>
          <w:sz w:val="32"/>
          <w:szCs w:val="32"/>
        </w:rPr>
      </w:pPr>
      <w:r>
        <w:rPr>
          <w:rFonts w:hint="eastAsia" w:ascii="仿宋_GB2312" w:hAnsi="宋体" w:eastAsia="仿宋_GB2312"/>
          <w:color w:val="000000"/>
          <w:sz w:val="32"/>
          <w:szCs w:val="32"/>
          <w:lang w:val="en-US" w:eastAsia="zh-CN"/>
        </w:rPr>
        <w:t xml:space="preserve">  </w:t>
      </w:r>
      <w:r>
        <w:rPr>
          <w:rFonts w:ascii="仿宋_GB2312" w:hAnsi="宋体" w:eastAsia="仿宋_GB2312"/>
          <w:color w:val="000000"/>
          <w:sz w:val="32"/>
          <w:szCs w:val="32"/>
        </w:rPr>
        <w:t>21</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死亡抚恤</w:t>
      </w:r>
      <w:r>
        <w:rPr>
          <w:rFonts w:ascii="仿宋_GB2312" w:hAnsi="宋体" w:eastAsia="仿宋_GB2312"/>
          <w:color w:val="000000"/>
          <w:sz w:val="32"/>
          <w:szCs w:val="32"/>
        </w:rPr>
        <w:t>2080801:2021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19.25</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color w:val="000000"/>
          <w:sz w:val="32"/>
          <w:szCs w:val="32"/>
        </w:rPr>
        <w:t>22</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行政事业医疗</w:t>
      </w:r>
      <w:r>
        <w:rPr>
          <w:rFonts w:ascii="仿宋_GB2312" w:hAnsi="宋体" w:eastAsia="仿宋_GB2312"/>
          <w:color w:val="000000"/>
          <w:sz w:val="32"/>
          <w:szCs w:val="32"/>
        </w:rPr>
        <w:t>2101101:2021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22.56</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color w:val="000000"/>
          <w:sz w:val="32"/>
          <w:szCs w:val="32"/>
        </w:rPr>
        <w:t>23</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事业单位医疗</w:t>
      </w:r>
      <w:r>
        <w:rPr>
          <w:rFonts w:ascii="仿宋_GB2312" w:hAnsi="宋体" w:eastAsia="仿宋_GB2312"/>
          <w:color w:val="000000"/>
          <w:sz w:val="32"/>
          <w:szCs w:val="32"/>
        </w:rPr>
        <w:t>2101102:2021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7.14</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tabs>
          <w:tab w:val="left" w:pos="2184"/>
        </w:tabs>
        <w:spacing w:line="590" w:lineRule="exact"/>
        <w:ind w:firstLine="640"/>
        <w:rPr>
          <w:rFonts w:ascii="仿宋_GB2312" w:hAnsi="宋体" w:eastAsia="仿宋_GB2312"/>
          <w:color w:val="000000"/>
          <w:sz w:val="32"/>
          <w:szCs w:val="32"/>
        </w:rPr>
      </w:pPr>
      <w:r>
        <w:rPr>
          <w:rFonts w:ascii="仿宋_GB2312" w:hAnsi="宋体" w:eastAsia="仿宋_GB2312"/>
          <w:sz w:val="32"/>
          <w:szCs w:val="32"/>
        </w:rPr>
        <w:t>24</w:t>
      </w:r>
      <w:r>
        <w:rPr>
          <w:rFonts w:hint="eastAsia" w:ascii="仿宋_GB2312" w:hAnsi="宋体" w:eastAsia="仿宋_GB2312"/>
          <w:sz w:val="32"/>
          <w:szCs w:val="32"/>
          <w:lang w:val="en-US" w:eastAsia="zh-CN"/>
        </w:rPr>
        <w:t>.</w:t>
      </w:r>
      <w:r>
        <w:rPr>
          <w:rFonts w:hint="eastAsia" w:ascii="仿宋_GB2312" w:hAnsi="宋体" w:eastAsia="仿宋_GB2312"/>
          <w:sz w:val="32"/>
          <w:szCs w:val="32"/>
        </w:rPr>
        <w:t>公务员医疗补助</w:t>
      </w:r>
      <w:r>
        <w:rPr>
          <w:rFonts w:ascii="仿宋_GB2312" w:hAnsi="宋体" w:eastAsia="仿宋_GB2312"/>
          <w:sz w:val="32"/>
          <w:szCs w:val="32"/>
        </w:rPr>
        <w:t>2101103:2021</w:t>
      </w:r>
      <w:r>
        <w:rPr>
          <w:rFonts w:hint="eastAsia" w:ascii="仿宋_GB2312" w:hAnsi="宋体" w:eastAsia="仿宋_GB2312"/>
          <w:sz w:val="32"/>
          <w:szCs w:val="32"/>
        </w:rPr>
        <w:t>年支出决算数为</w:t>
      </w:r>
      <w:r>
        <w:rPr>
          <w:rFonts w:ascii="仿宋_GB2312" w:hAnsi="宋体" w:eastAsia="仿宋_GB2312"/>
          <w:sz w:val="32"/>
          <w:szCs w:val="32"/>
        </w:rPr>
        <w:t>3.28</w:t>
      </w:r>
      <w:r>
        <w:rPr>
          <w:rFonts w:hint="eastAsia" w:ascii="仿宋_GB2312" w:hAnsi="宋体" w:eastAsia="仿宋_GB2312"/>
          <w:sz w:val="32"/>
          <w:szCs w:val="32"/>
        </w:rPr>
        <w:t>万元，完成预算</w:t>
      </w:r>
      <w:r>
        <w:rPr>
          <w:rFonts w:ascii="仿宋_GB2312" w:hAnsi="宋体" w:eastAsia="仿宋_GB2312"/>
          <w:sz w:val="32"/>
          <w:szCs w:val="32"/>
        </w:rPr>
        <w:t>100%</w:t>
      </w:r>
      <w:r>
        <w:rPr>
          <w:rFonts w:hint="eastAsia" w:ascii="仿宋_GB2312" w:hAnsi="宋体" w:eastAsia="仿宋_GB2312"/>
          <w:sz w:val="32"/>
          <w:szCs w:val="32"/>
        </w:rPr>
        <w:t>。</w:t>
      </w:r>
    </w:p>
    <w:p>
      <w:pPr>
        <w:pStyle w:val="14"/>
        <w:ind w:firstLine="640"/>
        <w:rPr>
          <w:rFonts w:ascii="仿宋_GB2312" w:hAnsi="宋体" w:eastAsia="仿宋_GB2312"/>
          <w:color w:val="000000"/>
          <w:sz w:val="32"/>
          <w:szCs w:val="32"/>
        </w:rPr>
      </w:pPr>
      <w:r>
        <w:rPr>
          <w:rStyle w:val="34"/>
          <w:rFonts w:ascii="仿宋_GB2312" w:hAnsi="宋体" w:eastAsia="仿宋_GB2312"/>
          <w:b w:val="0"/>
          <w:bCs/>
          <w:color w:val="000000"/>
          <w:sz w:val="32"/>
          <w:szCs w:val="32"/>
        </w:rPr>
        <w:t>25</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其他农林水支出</w:t>
      </w:r>
      <w:r>
        <w:rPr>
          <w:rStyle w:val="34"/>
          <w:rFonts w:ascii="仿宋_GB2312" w:hAnsi="宋体" w:eastAsia="仿宋_GB2312"/>
          <w:b w:val="0"/>
          <w:bCs/>
          <w:color w:val="000000"/>
          <w:sz w:val="32"/>
          <w:szCs w:val="32"/>
        </w:rPr>
        <w:t>2139999</w:t>
      </w:r>
      <w:r>
        <w:rPr>
          <w:rStyle w:val="34"/>
          <w:rFonts w:hint="eastAsia" w:ascii="仿宋_GB2312" w:hAnsi="宋体" w:eastAsia="仿宋_GB2312"/>
          <w:b w:val="0"/>
          <w:bCs/>
          <w:color w:val="000000"/>
          <w:sz w:val="32"/>
          <w:szCs w:val="32"/>
        </w:rPr>
        <w:t>：</w:t>
      </w:r>
      <w:r>
        <w:rPr>
          <w:rFonts w:ascii="仿宋_GB2312" w:hAnsi="宋体" w:eastAsia="仿宋_GB2312"/>
          <w:sz w:val="32"/>
          <w:szCs w:val="32"/>
        </w:rPr>
        <w:t>2021</w:t>
      </w:r>
      <w:r>
        <w:rPr>
          <w:rFonts w:hint="eastAsia" w:ascii="仿宋_GB2312" w:hAnsi="宋体" w:eastAsia="仿宋_GB2312"/>
          <w:sz w:val="32"/>
          <w:szCs w:val="32"/>
        </w:rPr>
        <w:t>年支出决算数为</w:t>
      </w:r>
      <w:r>
        <w:rPr>
          <w:rFonts w:ascii="仿宋_GB2312" w:hAnsi="宋体" w:eastAsia="仿宋_GB2312"/>
          <w:sz w:val="32"/>
          <w:szCs w:val="32"/>
        </w:rPr>
        <w:t>70</w:t>
      </w:r>
      <w:r>
        <w:rPr>
          <w:rFonts w:hint="eastAsia" w:ascii="仿宋_GB2312" w:hAnsi="宋体" w:eastAsia="仿宋_GB2312"/>
          <w:sz w:val="32"/>
          <w:szCs w:val="32"/>
        </w:rPr>
        <w:t>万元，完成预算</w:t>
      </w:r>
      <w:r>
        <w:rPr>
          <w:rFonts w:ascii="仿宋_GB2312" w:hAnsi="宋体" w:eastAsia="仿宋_GB2312"/>
          <w:sz w:val="32"/>
          <w:szCs w:val="32"/>
        </w:rPr>
        <w:t>100%</w:t>
      </w:r>
      <w:r>
        <w:rPr>
          <w:rFonts w:hint="eastAsia" w:ascii="仿宋_GB2312" w:hAnsi="宋体" w:eastAsia="仿宋_GB2312"/>
          <w:sz w:val="32"/>
          <w:szCs w:val="32"/>
        </w:rPr>
        <w:t>。</w:t>
      </w:r>
    </w:p>
    <w:p>
      <w:pPr>
        <w:spacing w:line="590" w:lineRule="exact"/>
        <w:ind w:firstLine="640"/>
        <w:rPr>
          <w:rFonts w:ascii="仿宋_GB2312" w:hAnsi="宋体" w:eastAsia="仿宋_GB2312"/>
          <w:color w:val="000000"/>
          <w:sz w:val="32"/>
          <w:szCs w:val="32"/>
        </w:rPr>
      </w:pPr>
      <w:r>
        <w:rPr>
          <w:rStyle w:val="34"/>
          <w:rFonts w:ascii="仿宋_GB2312" w:hAnsi="宋体" w:eastAsia="仿宋_GB2312"/>
          <w:b w:val="0"/>
          <w:bCs/>
          <w:color w:val="000000"/>
          <w:sz w:val="32"/>
          <w:szCs w:val="32"/>
        </w:rPr>
        <w:t>26</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住房公积金</w:t>
      </w:r>
      <w:r>
        <w:rPr>
          <w:rStyle w:val="34"/>
          <w:rFonts w:ascii="仿宋_GB2312" w:hAnsi="宋体" w:eastAsia="仿宋_GB2312"/>
          <w:b w:val="0"/>
          <w:bCs/>
          <w:color w:val="000000"/>
          <w:sz w:val="32"/>
          <w:szCs w:val="32"/>
        </w:rPr>
        <w:t>2210201:</w:t>
      </w:r>
      <w:r>
        <w:rPr>
          <w:rFonts w:ascii="仿宋_GB2312" w:hAnsi="宋体" w:eastAsia="仿宋_GB2312"/>
          <w:color w:val="000000"/>
          <w:sz w:val="32"/>
          <w:szCs w:val="32"/>
        </w:rPr>
        <w:t>2021</w:t>
      </w:r>
      <w:r>
        <w:rPr>
          <w:rFonts w:hint="eastAsia" w:ascii="仿宋_GB2312" w:hAnsi="宋体" w:eastAsia="仿宋_GB2312"/>
          <w:color w:val="000000"/>
          <w:sz w:val="32"/>
          <w:szCs w:val="32"/>
        </w:rPr>
        <w:t>年支出决算数为</w:t>
      </w:r>
      <w:r>
        <w:rPr>
          <w:rFonts w:ascii="仿宋_GB2312" w:hAnsi="宋体" w:eastAsia="仿宋_GB2312"/>
          <w:color w:val="000000"/>
          <w:sz w:val="32"/>
          <w:szCs w:val="32"/>
        </w:rPr>
        <w:t>48.34</w:t>
      </w:r>
      <w:r>
        <w:rPr>
          <w:rFonts w:hint="eastAsia" w:ascii="仿宋_GB2312" w:hAnsi="宋体" w:eastAsia="仿宋_GB2312"/>
          <w:color w:val="000000"/>
          <w:sz w:val="32"/>
          <w:szCs w:val="32"/>
        </w:rPr>
        <w:t>万元，完成预算</w:t>
      </w:r>
      <w:r>
        <w:rPr>
          <w:rFonts w:ascii="仿宋_GB2312" w:hAnsi="宋体" w:eastAsia="仿宋_GB2312"/>
          <w:color w:val="000000"/>
          <w:sz w:val="32"/>
          <w:szCs w:val="32"/>
        </w:rPr>
        <w:t>100%</w:t>
      </w:r>
      <w:r>
        <w:rPr>
          <w:rFonts w:hint="eastAsia" w:ascii="仿宋_GB2312" w:hAnsi="宋体" w:eastAsia="仿宋_GB2312"/>
          <w:color w:val="000000"/>
          <w:sz w:val="32"/>
          <w:szCs w:val="32"/>
        </w:rPr>
        <w:t>。</w:t>
      </w:r>
    </w:p>
    <w:p>
      <w:pPr>
        <w:pStyle w:val="14"/>
        <w:ind w:firstLine="320"/>
        <w:rPr>
          <w:b/>
        </w:rPr>
      </w:pPr>
      <w:r>
        <w:rPr>
          <w:rStyle w:val="34"/>
          <w:rFonts w:hint="eastAsia" w:ascii="仿宋_GB2312" w:hAnsi="宋体" w:eastAsia="仿宋_GB2312"/>
          <w:b w:val="0"/>
          <w:bCs/>
          <w:color w:val="000000"/>
          <w:sz w:val="32"/>
          <w:szCs w:val="32"/>
          <w:lang w:val="en-US" w:eastAsia="zh-CN"/>
        </w:rPr>
        <w:t xml:space="preserve">  </w:t>
      </w:r>
      <w:r>
        <w:rPr>
          <w:rStyle w:val="34"/>
          <w:rFonts w:ascii="仿宋_GB2312" w:hAnsi="宋体" w:eastAsia="仿宋_GB2312"/>
          <w:b w:val="0"/>
          <w:bCs/>
          <w:color w:val="000000"/>
          <w:sz w:val="32"/>
          <w:szCs w:val="32"/>
        </w:rPr>
        <w:t>27</w:t>
      </w:r>
      <w:r>
        <w:rPr>
          <w:rStyle w:val="34"/>
          <w:rFonts w:hint="eastAsia" w:ascii="仿宋_GB2312" w:hAnsi="宋体" w:eastAsia="仿宋_GB2312"/>
          <w:b w:val="0"/>
          <w:bCs/>
          <w:color w:val="000000"/>
          <w:sz w:val="32"/>
          <w:szCs w:val="32"/>
          <w:lang w:val="en-US" w:eastAsia="zh-CN"/>
        </w:rPr>
        <w:t>.</w:t>
      </w:r>
      <w:r>
        <w:rPr>
          <w:rStyle w:val="34"/>
          <w:rFonts w:hint="eastAsia" w:ascii="仿宋_GB2312" w:hAnsi="宋体" w:eastAsia="仿宋_GB2312"/>
          <w:b w:val="0"/>
          <w:bCs/>
          <w:color w:val="000000"/>
          <w:sz w:val="32"/>
          <w:szCs w:val="32"/>
        </w:rPr>
        <w:t>其他支出：</w:t>
      </w:r>
      <w:r>
        <w:rPr>
          <w:rStyle w:val="34"/>
          <w:rFonts w:ascii="仿宋_GB2312" w:hAnsi="宋体" w:eastAsia="仿宋_GB2312"/>
          <w:b w:val="0"/>
          <w:bCs/>
          <w:color w:val="000000"/>
          <w:sz w:val="32"/>
          <w:szCs w:val="32"/>
        </w:rPr>
        <w:t>2021</w:t>
      </w:r>
      <w:r>
        <w:rPr>
          <w:rStyle w:val="34"/>
          <w:rFonts w:hint="eastAsia" w:ascii="仿宋_GB2312" w:hAnsi="宋体" w:eastAsia="仿宋_GB2312"/>
          <w:b w:val="0"/>
          <w:bCs/>
          <w:color w:val="000000"/>
          <w:sz w:val="32"/>
          <w:szCs w:val="32"/>
        </w:rPr>
        <w:t>年支出决算数为</w:t>
      </w:r>
      <w:r>
        <w:rPr>
          <w:rStyle w:val="34"/>
          <w:rFonts w:ascii="仿宋_GB2312" w:hAnsi="宋体" w:eastAsia="仿宋_GB2312"/>
          <w:b w:val="0"/>
          <w:bCs/>
          <w:color w:val="000000"/>
          <w:sz w:val="32"/>
          <w:szCs w:val="32"/>
        </w:rPr>
        <w:t>6</w:t>
      </w:r>
      <w:r>
        <w:rPr>
          <w:rStyle w:val="34"/>
          <w:rFonts w:hint="eastAsia" w:ascii="仿宋_GB2312" w:hAnsi="宋体" w:eastAsia="仿宋_GB2312"/>
          <w:b w:val="0"/>
          <w:bCs/>
          <w:color w:val="000000"/>
          <w:sz w:val="32"/>
          <w:szCs w:val="32"/>
        </w:rPr>
        <w:t>万元，完成预算</w:t>
      </w:r>
      <w:r>
        <w:rPr>
          <w:rStyle w:val="34"/>
          <w:rFonts w:ascii="仿宋_GB2312" w:hAnsi="宋体" w:eastAsia="仿宋_GB2312"/>
          <w:b w:val="0"/>
          <w:bCs/>
          <w:color w:val="000000"/>
          <w:sz w:val="32"/>
          <w:szCs w:val="32"/>
        </w:rPr>
        <w:t>100%</w:t>
      </w:r>
      <w:r>
        <w:rPr>
          <w:rStyle w:val="34"/>
          <w:rFonts w:hint="eastAsia" w:ascii="仿宋_GB2312" w:hAnsi="宋体" w:eastAsia="仿宋_GB2312"/>
          <w:b w:val="0"/>
          <w:bCs/>
          <w:color w:val="000000"/>
          <w:sz w:val="32"/>
          <w:szCs w:val="32"/>
        </w:rPr>
        <w:t>。</w:t>
      </w:r>
      <w:bookmarkEnd w:id="64"/>
    </w:p>
    <w:p>
      <w:pPr>
        <w:tabs>
          <w:tab w:val="right" w:pos="8306"/>
        </w:tabs>
        <w:spacing w:line="600" w:lineRule="exact"/>
        <w:ind w:firstLine="640"/>
        <w:outlineLvl w:val="1"/>
        <w:rPr>
          <w:rStyle w:val="184"/>
        </w:rPr>
      </w:pPr>
      <w:bookmarkStart w:id="65" w:name="_Toc52180085"/>
      <w:bookmarkStart w:id="66" w:name="_Toc15377214"/>
      <w:bookmarkStart w:id="67"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4"/>
          <w:rFonts w:hint="eastAsia" w:ascii="黑体" w:hAnsi="黑体" w:eastAsia="黑体"/>
          <w:b w:val="0"/>
        </w:rPr>
        <w:t>般公共预算财政拨款基本支出决算情况说明</w:t>
      </w:r>
      <w:bookmarkEnd w:id="65"/>
      <w:bookmarkEnd w:id="66"/>
      <w:bookmarkEnd w:id="67"/>
      <w:r>
        <w:rPr>
          <w:rStyle w:val="184"/>
          <w:rFonts w:ascii="黑体" w:hAnsi="黑体" w:eastAsia="黑体"/>
          <w:b w:val="0"/>
        </w:rPr>
        <w:tab/>
      </w:r>
    </w:p>
    <w:p>
      <w:pPr>
        <w:spacing w:line="600" w:lineRule="exact"/>
        <w:ind w:firstLine="645"/>
        <w:rPr>
          <w:rFonts w:ascii="仿宋_GB2312" w:hAnsi="仿宋" w:eastAsia="仿宋_GB2312"/>
          <w:color w:val="000000"/>
          <w:sz w:val="32"/>
          <w:szCs w:val="32"/>
        </w:rPr>
      </w:pPr>
      <w:r>
        <w:rPr>
          <w:rFonts w:ascii="仿宋_GB2312" w:hAnsi="仿宋" w:eastAsia="仿宋_GB2312"/>
          <w:color w:val="000000"/>
          <w:sz w:val="32"/>
          <w:szCs w:val="32"/>
        </w:rPr>
        <w:t>2021</w:t>
      </w:r>
      <w:r>
        <w:rPr>
          <w:rFonts w:hint="eastAsia" w:ascii="仿宋_GB2312" w:hAnsi="仿宋" w:eastAsia="仿宋_GB2312"/>
          <w:color w:val="000000"/>
          <w:sz w:val="32"/>
          <w:szCs w:val="32"/>
        </w:rPr>
        <w:t>年一般公共预算财政拨款基本支出</w:t>
      </w:r>
      <w:r>
        <w:rPr>
          <w:rFonts w:ascii="仿宋_GB2312" w:hAnsi="仿宋" w:eastAsia="仿宋_GB2312"/>
          <w:color w:val="000000"/>
          <w:sz w:val="32"/>
          <w:szCs w:val="32"/>
        </w:rPr>
        <w:t>656.8</w:t>
      </w:r>
      <w:r>
        <w:rPr>
          <w:rFonts w:hint="eastAsia" w:ascii="仿宋_GB2312" w:hAnsi="仿宋" w:eastAsia="仿宋_GB2312"/>
          <w:color w:val="000000"/>
          <w:sz w:val="32"/>
          <w:szCs w:val="32"/>
        </w:rPr>
        <w:t>万元，其中：</w:t>
      </w:r>
    </w:p>
    <w:p>
      <w:pPr>
        <w:spacing w:line="600" w:lineRule="exact"/>
        <w:ind w:firstLine="645"/>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人员经费</w:t>
      </w:r>
      <w:r>
        <w:rPr>
          <w:rFonts w:ascii="仿宋_GB2312" w:hAnsi="仿宋" w:eastAsia="仿宋_GB2312"/>
          <w:color w:val="000000"/>
          <w:sz w:val="32"/>
          <w:szCs w:val="32"/>
        </w:rPr>
        <w:t>607.25</w:t>
      </w:r>
      <w:r>
        <w:rPr>
          <w:rFonts w:hint="eastAsia" w:ascii="仿宋_GB2312" w:hAnsi="仿宋" w:eastAsia="仿宋_GB2312"/>
          <w:color w:val="000000"/>
          <w:sz w:val="32"/>
          <w:szCs w:val="32"/>
        </w:rPr>
        <w:t>万元，其中工资福利支出</w:t>
      </w:r>
      <w:r>
        <w:rPr>
          <w:rFonts w:ascii="仿宋_GB2312" w:hAnsi="仿宋" w:eastAsia="仿宋_GB2312"/>
          <w:color w:val="000000"/>
          <w:sz w:val="32"/>
          <w:szCs w:val="32"/>
        </w:rPr>
        <w:t>535.26</w:t>
      </w:r>
      <w:r>
        <w:rPr>
          <w:rFonts w:hint="eastAsia" w:ascii="仿宋_GB2312" w:hAnsi="仿宋" w:eastAsia="仿宋_GB2312"/>
          <w:color w:val="000000"/>
          <w:sz w:val="32"/>
          <w:szCs w:val="32"/>
        </w:rPr>
        <w:t>万元，对个人和家庭的补助</w:t>
      </w:r>
      <w:r>
        <w:rPr>
          <w:rFonts w:ascii="仿宋_GB2312" w:hAnsi="仿宋" w:eastAsia="仿宋_GB2312"/>
          <w:color w:val="000000"/>
          <w:sz w:val="32"/>
          <w:szCs w:val="32"/>
        </w:rPr>
        <w:t>71.99</w:t>
      </w:r>
      <w:r>
        <w:rPr>
          <w:rFonts w:hint="eastAsia" w:ascii="仿宋_GB2312" w:hAnsi="仿宋" w:eastAsia="仿宋_GB2312"/>
          <w:color w:val="000000"/>
          <w:sz w:val="32"/>
          <w:szCs w:val="32"/>
        </w:rPr>
        <w:t>万元。主要包括：基本工资、津贴补贴、奖金、绩效工资、机关事业单位基本养老保险缴费、其他社会保障缴费、退休费、抚恤金、生活补助、医疗费补助、奖励金、住房公积金、其他对个人和家庭的补助支出等。</w:t>
      </w:r>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日常公用经费</w:t>
      </w:r>
      <w:r>
        <w:rPr>
          <w:rFonts w:ascii="仿宋_GB2312" w:hAnsi="仿宋" w:eastAsia="仿宋_GB2312"/>
          <w:color w:val="000000"/>
          <w:sz w:val="32"/>
          <w:szCs w:val="32"/>
        </w:rPr>
        <w:t>49.55</w:t>
      </w:r>
      <w:r>
        <w:rPr>
          <w:rFonts w:hint="eastAsia" w:ascii="仿宋_GB2312" w:hAnsi="仿宋" w:eastAsia="仿宋_GB2312"/>
          <w:color w:val="000000"/>
          <w:sz w:val="32"/>
          <w:szCs w:val="32"/>
        </w:rPr>
        <w:t>万元，主要包括：办公费、印刷费、咨询费、手续费、水费、电费、邮电费、物业管理费、差旅费、维修（护）费、租赁费、会议费、培训费、公务接待费、劳务费、委托业务费、工会经费、福利费、其他交通费、其他商品和服务支出、办公设备购置等。</w:t>
      </w:r>
    </w:p>
    <w:p>
      <w:pPr>
        <w:spacing w:line="600" w:lineRule="exact"/>
        <w:ind w:firstLine="640"/>
        <w:outlineLvl w:val="1"/>
        <w:rPr>
          <w:rStyle w:val="184"/>
          <w:rFonts w:ascii="黑体" w:hAnsi="黑体" w:eastAsia="黑体"/>
          <w:b w:val="0"/>
        </w:rPr>
      </w:pPr>
      <w:bookmarkStart w:id="68" w:name="_Toc15377215"/>
      <w:bookmarkStart w:id="69" w:name="_Toc52180086"/>
      <w:bookmarkStart w:id="70" w:name="_Toc15396609"/>
      <w:r>
        <w:rPr>
          <w:rFonts w:hint="eastAsia" w:ascii="黑体" w:eastAsia="黑体"/>
          <w:color w:val="000000"/>
          <w:sz w:val="32"/>
          <w:szCs w:val="32"/>
        </w:rPr>
        <w:t>七、</w:t>
      </w:r>
      <w:r>
        <w:rPr>
          <w:rStyle w:val="184"/>
          <w:rFonts w:hint="eastAsia" w:ascii="黑体" w:hAnsi="黑体" w:eastAsia="黑体"/>
        </w:rPr>
        <w:t>“</w:t>
      </w:r>
      <w:r>
        <w:rPr>
          <w:rStyle w:val="184"/>
          <w:rFonts w:hint="eastAsia" w:ascii="黑体" w:hAnsi="黑体" w:eastAsia="黑体"/>
          <w:b w:val="0"/>
        </w:rPr>
        <w:t>三公”经费财政拨款支出决算情况说明</w:t>
      </w:r>
      <w:bookmarkEnd w:id="68"/>
      <w:bookmarkEnd w:id="69"/>
      <w:bookmarkEnd w:id="70"/>
    </w:p>
    <w:p>
      <w:pPr>
        <w:spacing w:line="600" w:lineRule="exact"/>
        <w:ind w:firstLine="640"/>
        <w:outlineLvl w:val="2"/>
        <w:rPr>
          <w:rFonts w:ascii="仿宋" w:hAnsi="仿宋" w:eastAsia="仿宋"/>
          <w:color w:val="000000"/>
          <w:sz w:val="32"/>
          <w:szCs w:val="32"/>
        </w:rPr>
      </w:pPr>
      <w:bookmarkStart w:id="71" w:name="_Toc52180087"/>
      <w:bookmarkStart w:id="72" w:name="_Toc15377216"/>
      <w:r>
        <w:rPr>
          <w:rFonts w:hint="eastAsia" w:ascii="仿宋" w:hAnsi="仿宋" w:eastAsia="仿宋"/>
          <w:color w:val="000000"/>
          <w:sz w:val="32"/>
          <w:szCs w:val="32"/>
        </w:rPr>
        <w:t>（一）“三公”经费财政拨款支出决算总体情况说明</w:t>
      </w:r>
      <w:bookmarkEnd w:id="71"/>
      <w:bookmarkEnd w:id="72"/>
    </w:p>
    <w:p>
      <w:pPr>
        <w:spacing w:line="60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2021</w:t>
      </w:r>
      <w:r>
        <w:rPr>
          <w:rFonts w:hint="eastAsia" w:ascii="仿宋_GB2312" w:hAnsi="仿宋" w:eastAsia="仿宋_GB2312"/>
          <w:color w:val="000000"/>
          <w:sz w:val="32"/>
          <w:szCs w:val="32"/>
        </w:rPr>
        <w:t>年“三公”经费财政拨款支出决算为</w:t>
      </w:r>
      <w:r>
        <w:rPr>
          <w:rFonts w:ascii="仿宋_GB2312" w:hAnsi="仿宋" w:eastAsia="仿宋_GB2312"/>
          <w:color w:val="000000"/>
          <w:sz w:val="32"/>
          <w:szCs w:val="32"/>
        </w:rPr>
        <w:t>0.52</w:t>
      </w:r>
      <w:r>
        <w:rPr>
          <w:rFonts w:hint="eastAsia" w:ascii="仿宋_GB2312" w:hAnsi="仿宋" w:eastAsia="仿宋_GB2312"/>
          <w:color w:val="000000"/>
          <w:sz w:val="32"/>
          <w:szCs w:val="32"/>
        </w:rPr>
        <w:t>万元，完成预算</w:t>
      </w:r>
      <w:r>
        <w:rPr>
          <w:rFonts w:ascii="仿宋_GB2312" w:hAnsi="仿宋" w:eastAsia="仿宋_GB2312"/>
          <w:color w:val="000000"/>
          <w:sz w:val="32"/>
          <w:szCs w:val="32"/>
        </w:rPr>
        <w:t>100%</w:t>
      </w:r>
      <w:r>
        <w:rPr>
          <w:rFonts w:hint="eastAsia" w:ascii="仿宋_GB2312" w:hAnsi="仿宋" w:eastAsia="仿宋_GB2312"/>
          <w:color w:val="000000"/>
          <w:sz w:val="32"/>
          <w:szCs w:val="32"/>
        </w:rPr>
        <w:t>，决算数等于预算数。</w:t>
      </w:r>
    </w:p>
    <w:p>
      <w:pPr>
        <w:spacing w:line="600" w:lineRule="exact"/>
        <w:ind w:firstLine="640"/>
        <w:outlineLvl w:val="2"/>
        <w:rPr>
          <w:rFonts w:ascii="仿宋" w:hAnsi="仿宋" w:eastAsia="仿宋"/>
          <w:color w:val="000000"/>
          <w:sz w:val="32"/>
          <w:szCs w:val="32"/>
        </w:rPr>
      </w:pPr>
      <w:bookmarkStart w:id="73" w:name="_Toc52180088"/>
      <w:bookmarkStart w:id="74" w:name="_Toc15377217"/>
      <w:r>
        <w:rPr>
          <w:rFonts w:hint="eastAsia" w:ascii="华文仿宋" w:hAnsi="华文仿宋" w:eastAsia="华文仿宋"/>
          <w:b/>
          <w:color w:val="000000"/>
          <w:sz w:val="32"/>
          <w:szCs w:val="32"/>
        </w:rPr>
        <w:t>（</w:t>
      </w:r>
      <w:r>
        <w:rPr>
          <w:rFonts w:hint="eastAsia" w:ascii="仿宋" w:hAnsi="仿宋" w:eastAsia="仿宋"/>
          <w:color w:val="000000"/>
          <w:sz w:val="32"/>
          <w:szCs w:val="32"/>
        </w:rPr>
        <w:t>二）“三公”经费财政拨款支出决算具体情况说明</w:t>
      </w:r>
      <w:bookmarkEnd w:id="73"/>
      <w:bookmarkEnd w:id="74"/>
    </w:p>
    <w:p>
      <w:pPr>
        <w:spacing w:line="60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2021</w:t>
      </w:r>
      <w:r>
        <w:rPr>
          <w:rFonts w:hint="eastAsia" w:ascii="仿宋_GB2312" w:hAnsi="仿宋" w:eastAsia="仿宋_GB2312"/>
          <w:color w:val="000000"/>
          <w:sz w:val="32"/>
          <w:szCs w:val="32"/>
        </w:rPr>
        <w:t>年“三公”经费财政拨款支出决算中，因公出国（境）费支出决算</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；公务用车购置及运行维护费支出决算</w:t>
      </w:r>
      <w:r>
        <w:rPr>
          <w:rFonts w:ascii="仿宋_GB2312" w:hAnsi="仿宋" w:eastAsia="仿宋_GB2312"/>
          <w:color w:val="000000"/>
          <w:sz w:val="32"/>
          <w:szCs w:val="32"/>
        </w:rPr>
        <w:t>0.05</w:t>
      </w:r>
      <w:r>
        <w:rPr>
          <w:rFonts w:hint="eastAsia" w:ascii="仿宋_GB2312" w:hAnsi="仿宋" w:eastAsia="仿宋_GB2312"/>
          <w:color w:val="000000"/>
          <w:sz w:val="32"/>
          <w:szCs w:val="32"/>
        </w:rPr>
        <w:t>万元，占</w:t>
      </w:r>
      <w:r>
        <w:rPr>
          <w:rFonts w:ascii="仿宋_GB2312" w:hAnsi="仿宋" w:eastAsia="仿宋_GB2312"/>
          <w:color w:val="000000"/>
          <w:sz w:val="32"/>
          <w:szCs w:val="32"/>
        </w:rPr>
        <w:t>9.62%</w:t>
      </w:r>
      <w:r>
        <w:rPr>
          <w:rFonts w:hint="eastAsia" w:ascii="仿宋_GB2312" w:hAnsi="仿宋" w:eastAsia="仿宋_GB2312"/>
          <w:color w:val="000000"/>
          <w:sz w:val="32"/>
          <w:szCs w:val="32"/>
        </w:rPr>
        <w:t>；公务接待费支出决算</w:t>
      </w:r>
      <w:r>
        <w:rPr>
          <w:rFonts w:ascii="仿宋_GB2312" w:hAnsi="仿宋" w:eastAsia="仿宋_GB2312"/>
          <w:color w:val="000000"/>
          <w:sz w:val="32"/>
          <w:szCs w:val="32"/>
        </w:rPr>
        <w:t>0.47</w:t>
      </w:r>
      <w:r>
        <w:rPr>
          <w:rFonts w:hint="eastAsia" w:ascii="仿宋_GB2312" w:hAnsi="仿宋" w:eastAsia="仿宋_GB2312"/>
          <w:color w:val="000000"/>
          <w:sz w:val="32"/>
          <w:szCs w:val="32"/>
        </w:rPr>
        <w:t>万元，占</w:t>
      </w:r>
      <w:r>
        <w:rPr>
          <w:rFonts w:ascii="仿宋_GB2312" w:hAnsi="仿宋" w:eastAsia="仿宋_GB2312"/>
          <w:color w:val="000000"/>
          <w:sz w:val="32"/>
          <w:szCs w:val="32"/>
        </w:rPr>
        <w:t>90.38%</w:t>
      </w:r>
      <w:r>
        <w:rPr>
          <w:rFonts w:hint="eastAsia" w:ascii="仿宋_GB2312" w:hAnsi="仿宋" w:eastAsia="仿宋_GB2312"/>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34"/>
          <w:rFonts w:hint="eastAsia" w:ascii="仿宋_GB2312" w:hAnsi="仿宋" w:eastAsia="仿宋_GB2312"/>
          <w:b w:val="0"/>
          <w:bCs/>
          <w:color w:val="000000"/>
          <w:sz w:val="32"/>
          <w:szCs w:val="32"/>
        </w:rPr>
        <w:t>完成预算</w:t>
      </w:r>
      <w:r>
        <w:rPr>
          <w:rStyle w:val="34"/>
          <w:rFonts w:ascii="仿宋_GB2312" w:hAnsi="仿宋" w:eastAsia="仿宋_GB2312"/>
          <w:b w:val="0"/>
          <w:bCs/>
          <w:color w:val="000000"/>
          <w:sz w:val="32"/>
          <w:szCs w:val="32"/>
        </w:rPr>
        <w:t>0%</w:t>
      </w:r>
      <w:r>
        <w:rPr>
          <w:rStyle w:val="34"/>
          <w:rFonts w:hint="eastAsia" w:ascii="仿宋_GB2312" w:hAnsi="仿宋" w:eastAsia="仿宋_GB2312"/>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0</w:t>
      </w:r>
      <w:r>
        <w:rPr>
          <w:rFonts w:hint="eastAsia" w:ascii="仿宋_GB2312" w:eastAsia="仿宋_GB2312"/>
          <w:color w:val="000000"/>
          <w:sz w:val="32"/>
          <w:szCs w:val="32"/>
        </w:rPr>
        <w:t>次，出国（境）</w:t>
      </w:r>
      <w:r>
        <w:rPr>
          <w:rFonts w:ascii="仿宋_GB2312" w:eastAsia="仿宋_GB2312"/>
          <w:color w:val="000000"/>
          <w:sz w:val="32"/>
          <w:szCs w:val="32"/>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2020</w:t>
      </w:r>
      <w:r>
        <w:rPr>
          <w:rFonts w:hint="eastAsia" w:ascii="仿宋_GB2312" w:eastAsia="仿宋_GB2312"/>
          <w:color w:val="000000"/>
          <w:sz w:val="32"/>
          <w:szCs w:val="32"/>
        </w:rPr>
        <w:t>年增加</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0%</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0.05</w:t>
      </w:r>
      <w:r>
        <w:rPr>
          <w:rFonts w:hint="eastAsia" w:ascii="仿宋_GB2312" w:eastAsia="仿宋_GB2312"/>
          <w:color w:val="000000"/>
          <w:sz w:val="32"/>
          <w:szCs w:val="32"/>
        </w:rPr>
        <w:t>万元</w:t>
      </w:r>
      <w:r>
        <w:rPr>
          <w:rFonts w:ascii="仿宋_GB2312" w:eastAsia="仿宋_GB2312"/>
          <w:color w:val="000000"/>
          <w:sz w:val="32"/>
          <w:szCs w:val="32"/>
        </w:rPr>
        <w:t>,</w:t>
      </w:r>
      <w:r>
        <w:rPr>
          <w:rStyle w:val="34"/>
          <w:rFonts w:hint="eastAsia" w:ascii="仿宋_GB2312" w:hAnsi="仿宋" w:eastAsia="仿宋_GB2312"/>
          <w:b w:val="0"/>
          <w:bCs/>
          <w:color w:val="000000"/>
          <w:sz w:val="32"/>
          <w:szCs w:val="32"/>
        </w:rPr>
        <w:t>完成预算</w:t>
      </w:r>
      <w:r>
        <w:rPr>
          <w:rStyle w:val="34"/>
          <w:rFonts w:ascii="仿宋_GB2312" w:hAnsi="仿宋" w:eastAsia="仿宋_GB2312"/>
          <w:b w:val="0"/>
          <w:bCs/>
          <w:color w:val="000000"/>
          <w:sz w:val="32"/>
          <w:szCs w:val="32"/>
        </w:rPr>
        <w:t>100%</w:t>
      </w:r>
      <w:r>
        <w:rPr>
          <w:rStyle w:val="34"/>
          <w:rFonts w:hint="eastAsia" w:ascii="仿宋_GB2312" w:hAnsi="仿宋" w:eastAsia="仿宋_GB2312"/>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2020</w:t>
      </w:r>
      <w:r>
        <w:rPr>
          <w:rFonts w:hint="eastAsia" w:ascii="仿宋_GB2312" w:eastAsia="仿宋_GB2312"/>
          <w:color w:val="000000"/>
          <w:sz w:val="32"/>
          <w:szCs w:val="32"/>
        </w:rPr>
        <w:t>年增加</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0%</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元。截至年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0</w:t>
      </w:r>
      <w:r>
        <w:rPr>
          <w:rFonts w:hint="eastAsia" w:ascii="仿宋_GB2312" w:eastAsia="仿宋_GB2312"/>
          <w:color w:val="000000"/>
          <w:sz w:val="32"/>
          <w:szCs w:val="32"/>
        </w:rPr>
        <w:t>辆，其中：主要领导干部用车</w:t>
      </w:r>
      <w:r>
        <w:rPr>
          <w:rFonts w:ascii="仿宋_GB2312" w:eastAsia="仿宋_GB2312"/>
          <w:color w:val="000000"/>
          <w:sz w:val="32"/>
          <w:szCs w:val="32"/>
        </w:rPr>
        <w:t>0</w:t>
      </w:r>
      <w:r>
        <w:rPr>
          <w:rFonts w:hint="eastAsia" w:ascii="仿宋_GB2312" w:eastAsia="仿宋_GB2312"/>
          <w:color w:val="000000"/>
          <w:sz w:val="32"/>
          <w:szCs w:val="32"/>
        </w:rPr>
        <w:t>辆、机要通信用车</w:t>
      </w:r>
      <w:r>
        <w:rPr>
          <w:rFonts w:ascii="仿宋_GB2312" w:eastAsia="仿宋_GB2312"/>
          <w:color w:val="000000"/>
          <w:sz w:val="32"/>
          <w:szCs w:val="32"/>
        </w:rPr>
        <w:t>0</w:t>
      </w:r>
      <w:r>
        <w:rPr>
          <w:rFonts w:hint="eastAsia" w:ascii="仿宋_GB2312" w:eastAsia="仿宋_GB2312"/>
          <w:color w:val="000000"/>
          <w:sz w:val="32"/>
          <w:szCs w:val="32"/>
        </w:rPr>
        <w:t>辆、应急保障用车</w:t>
      </w:r>
      <w:r>
        <w:rPr>
          <w:rFonts w:ascii="仿宋_GB2312" w:eastAsia="仿宋_GB2312"/>
          <w:color w:val="000000"/>
          <w:sz w:val="32"/>
          <w:szCs w:val="32"/>
        </w:rPr>
        <w:t>0</w:t>
      </w:r>
      <w:r>
        <w:rPr>
          <w:rFonts w:hint="eastAsia" w:ascii="仿宋_GB2312" w:eastAsia="仿宋_GB2312"/>
          <w:color w:val="000000"/>
          <w:sz w:val="32"/>
          <w:szCs w:val="32"/>
        </w:rPr>
        <w:t>辆、执法执勤用车</w:t>
      </w:r>
      <w:r>
        <w:rPr>
          <w:rFonts w:ascii="仿宋_GB2312" w:eastAsia="仿宋_GB2312"/>
          <w:color w:val="000000"/>
          <w:sz w:val="32"/>
          <w:szCs w:val="32"/>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0.05</w:t>
      </w:r>
      <w:r>
        <w:rPr>
          <w:rFonts w:hint="eastAsia" w:ascii="仿宋_GB2312" w:eastAsia="仿宋_GB2312"/>
          <w:color w:val="000000"/>
          <w:sz w:val="32"/>
          <w:szCs w:val="32"/>
        </w:rPr>
        <w:t>万元。为文化馆公务用车下乡燃料费支出。</w:t>
      </w:r>
    </w:p>
    <w:p>
      <w:pPr>
        <w:spacing w:line="59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0.47</w:t>
      </w:r>
      <w:r>
        <w:rPr>
          <w:rFonts w:hint="eastAsia" w:ascii="仿宋_GB2312" w:eastAsia="仿宋_GB2312"/>
          <w:color w:val="000000"/>
          <w:sz w:val="32"/>
          <w:szCs w:val="32"/>
        </w:rPr>
        <w:t>万元，</w:t>
      </w:r>
      <w:r>
        <w:rPr>
          <w:rStyle w:val="34"/>
          <w:rFonts w:hint="eastAsia" w:ascii="仿宋_GB2312" w:hAnsi="仿宋" w:eastAsia="仿宋_GB2312"/>
          <w:b w:val="0"/>
          <w:bCs/>
          <w:color w:val="000000"/>
          <w:sz w:val="32"/>
          <w:szCs w:val="32"/>
        </w:rPr>
        <w:t>完成预算</w:t>
      </w:r>
      <w:r>
        <w:rPr>
          <w:rStyle w:val="34"/>
          <w:rFonts w:ascii="仿宋_GB2312" w:hAnsi="仿宋" w:eastAsia="仿宋_GB2312"/>
          <w:b w:val="0"/>
          <w:bCs/>
          <w:color w:val="000000"/>
          <w:sz w:val="32"/>
          <w:szCs w:val="32"/>
        </w:rPr>
        <w:t>100%</w:t>
      </w:r>
      <w:r>
        <w:rPr>
          <w:rStyle w:val="34"/>
          <w:rFonts w:hint="eastAsia" w:ascii="仿宋_GB2312" w:hAnsi="仿宋" w:eastAsia="仿宋_GB2312"/>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2020</w:t>
      </w:r>
      <w:r>
        <w:rPr>
          <w:rFonts w:hint="eastAsia" w:ascii="仿宋_GB2312" w:eastAsia="仿宋_GB2312"/>
          <w:color w:val="000000"/>
          <w:sz w:val="32"/>
          <w:szCs w:val="32"/>
        </w:rPr>
        <w:t>年增加</w:t>
      </w:r>
      <w:r>
        <w:rPr>
          <w:rFonts w:ascii="仿宋_GB2312" w:eastAsia="仿宋_GB2312"/>
          <w:color w:val="000000"/>
          <w:sz w:val="32"/>
          <w:szCs w:val="32"/>
        </w:rPr>
        <w:t>0.06</w:t>
      </w:r>
      <w:r>
        <w:rPr>
          <w:rFonts w:hint="eastAsia" w:ascii="仿宋_GB2312" w:eastAsia="仿宋_GB2312"/>
          <w:color w:val="000000"/>
          <w:sz w:val="32"/>
          <w:szCs w:val="32"/>
        </w:rPr>
        <w:t>万元，增加</w:t>
      </w:r>
      <w:r>
        <w:rPr>
          <w:rFonts w:ascii="仿宋_GB2312" w:eastAsia="仿宋_GB2312"/>
          <w:color w:val="000000"/>
          <w:sz w:val="32"/>
          <w:szCs w:val="32"/>
        </w:rPr>
        <w:t>14.63%</w:t>
      </w:r>
      <w:r>
        <w:rPr>
          <w:rFonts w:hint="eastAsia" w:ascii="仿宋_GB2312" w:eastAsia="仿宋_GB2312"/>
          <w:color w:val="000000"/>
          <w:sz w:val="32"/>
          <w:szCs w:val="32"/>
        </w:rPr>
        <w:t>。主要原因是</w:t>
      </w:r>
      <w:r>
        <w:rPr>
          <w:rFonts w:ascii="仿宋_GB2312" w:eastAsia="仿宋_GB2312"/>
          <w:color w:val="000000"/>
          <w:sz w:val="32"/>
          <w:szCs w:val="32"/>
        </w:rPr>
        <w:t>2021</w:t>
      </w:r>
      <w:r>
        <w:rPr>
          <w:rFonts w:hint="eastAsia" w:ascii="仿宋_GB2312" w:eastAsia="仿宋_GB2312"/>
          <w:color w:val="000000"/>
          <w:sz w:val="32"/>
          <w:szCs w:val="32"/>
        </w:rPr>
        <w:t>年今年的工作恢复正常，增加了公务接待活动次数。</w:t>
      </w:r>
    </w:p>
    <w:p>
      <w:pPr>
        <w:spacing w:line="600" w:lineRule="exact"/>
        <w:ind w:firstLine="640"/>
        <w:rPr>
          <w:rFonts w:ascii="仿宋_GB2312" w:eastAsia="仿宋_GB2312"/>
          <w:sz w:val="32"/>
          <w:szCs w:val="32"/>
        </w:rPr>
      </w:pPr>
      <w:r>
        <w:rPr>
          <w:rFonts w:hint="eastAsia" w:ascii="仿宋_GB2312" w:hAnsi="仿宋" w:eastAsia="仿宋_GB2312"/>
          <w:b/>
          <w:color w:val="000000"/>
          <w:sz w:val="32"/>
          <w:szCs w:val="32"/>
        </w:rPr>
        <w:t>国内公务接待支出</w:t>
      </w:r>
      <w:r>
        <w:rPr>
          <w:rFonts w:ascii="仿宋_GB2312" w:hAnsi="仿宋" w:eastAsia="仿宋_GB2312"/>
          <w:color w:val="000000"/>
          <w:sz w:val="32"/>
          <w:szCs w:val="32"/>
        </w:rPr>
        <w:t>0.47</w:t>
      </w:r>
      <w:r>
        <w:rPr>
          <w:rFonts w:hint="eastAsia" w:ascii="仿宋_GB2312" w:eastAsia="仿宋_GB2312"/>
          <w:color w:val="000000"/>
          <w:sz w:val="32"/>
          <w:szCs w:val="32"/>
        </w:rPr>
        <w:t>万元，主要用于执行公务、开展业务活动开支的交通费、住宿费、用餐费等。</w:t>
      </w:r>
      <w:r>
        <w:rPr>
          <w:rFonts w:hint="eastAsia" w:ascii="仿宋_GB2312" w:eastAsia="仿宋_GB2312"/>
          <w:sz w:val="32"/>
          <w:szCs w:val="32"/>
        </w:rPr>
        <w:t>国内公务接待</w:t>
      </w:r>
      <w:r>
        <w:rPr>
          <w:rFonts w:ascii="仿宋_GB2312" w:eastAsia="仿宋_GB2312"/>
          <w:sz w:val="32"/>
          <w:szCs w:val="32"/>
        </w:rPr>
        <w:t>8</w:t>
      </w:r>
      <w:r>
        <w:rPr>
          <w:rFonts w:hint="eastAsia" w:ascii="仿宋_GB2312" w:eastAsia="仿宋_GB2312"/>
          <w:sz w:val="32"/>
          <w:szCs w:val="32"/>
        </w:rPr>
        <w:t>批次，</w:t>
      </w:r>
      <w:r>
        <w:rPr>
          <w:rFonts w:ascii="仿宋_GB2312" w:eastAsia="仿宋_GB2312"/>
          <w:sz w:val="32"/>
          <w:szCs w:val="32"/>
        </w:rPr>
        <w:t>77</w:t>
      </w:r>
      <w:r>
        <w:rPr>
          <w:rFonts w:hint="eastAsia" w:ascii="仿宋_GB2312" w:eastAsia="仿宋_GB2312"/>
          <w:sz w:val="32"/>
          <w:szCs w:val="32"/>
        </w:rPr>
        <w:t>人次（不包括陪同人员），共计支出</w:t>
      </w:r>
      <w:r>
        <w:rPr>
          <w:rFonts w:ascii="仿宋_GB2312" w:eastAsia="仿宋_GB2312"/>
          <w:sz w:val="32"/>
          <w:szCs w:val="32"/>
        </w:rPr>
        <w:t>0.47</w:t>
      </w:r>
      <w:r>
        <w:rPr>
          <w:rFonts w:hint="eastAsia" w:ascii="仿宋_GB2312" w:eastAsia="仿宋_GB2312"/>
          <w:sz w:val="32"/>
          <w:szCs w:val="32"/>
        </w:rPr>
        <w:t>万元。具体内容包括：接待文旅市场执法检查</w:t>
      </w:r>
      <w:r>
        <w:rPr>
          <w:rFonts w:ascii="仿宋_GB2312" w:eastAsia="仿宋_GB2312"/>
          <w:sz w:val="32"/>
          <w:szCs w:val="32"/>
        </w:rPr>
        <w:t>1400</w:t>
      </w:r>
      <w:r>
        <w:rPr>
          <w:rFonts w:hint="eastAsia" w:ascii="仿宋_GB2312" w:eastAsia="仿宋_GB2312"/>
          <w:sz w:val="32"/>
          <w:szCs w:val="32"/>
        </w:rPr>
        <w:t>元，支付</w:t>
      </w:r>
      <w:r>
        <w:rPr>
          <w:rFonts w:ascii="仿宋_GB2312" w:eastAsia="仿宋_GB2312"/>
          <w:sz w:val="32"/>
          <w:szCs w:val="32"/>
        </w:rPr>
        <w:t>A</w:t>
      </w:r>
      <w:r>
        <w:rPr>
          <w:rFonts w:hint="eastAsia" w:ascii="仿宋_GB2312" w:eastAsia="仿宋_GB2312"/>
          <w:sz w:val="32"/>
          <w:szCs w:val="32"/>
        </w:rPr>
        <w:t>级景区现场复核接待费</w:t>
      </w:r>
      <w:r>
        <w:rPr>
          <w:rFonts w:ascii="仿宋_GB2312" w:eastAsia="仿宋_GB2312"/>
          <w:sz w:val="32"/>
          <w:szCs w:val="32"/>
        </w:rPr>
        <w:t>629</w:t>
      </w:r>
      <w:r>
        <w:rPr>
          <w:rFonts w:hint="eastAsia" w:ascii="仿宋_GB2312" w:eastAsia="仿宋_GB2312"/>
          <w:sz w:val="32"/>
          <w:szCs w:val="32"/>
        </w:rPr>
        <w:t>元，支付餐饮名店初审接待费</w:t>
      </w:r>
      <w:r>
        <w:rPr>
          <w:rFonts w:ascii="仿宋_GB2312" w:eastAsia="仿宋_GB2312"/>
          <w:sz w:val="32"/>
          <w:szCs w:val="32"/>
        </w:rPr>
        <w:t>540</w:t>
      </w:r>
      <w:r>
        <w:rPr>
          <w:rFonts w:hint="eastAsia" w:ascii="仿宋_GB2312" w:eastAsia="仿宋_GB2312"/>
          <w:sz w:val="32"/>
          <w:szCs w:val="32"/>
        </w:rPr>
        <w:t>元，支付红色资源调研接待费</w:t>
      </w:r>
      <w:r>
        <w:rPr>
          <w:rFonts w:ascii="仿宋_GB2312" w:eastAsia="仿宋_GB2312"/>
          <w:sz w:val="32"/>
          <w:szCs w:val="32"/>
        </w:rPr>
        <w:t>700</w:t>
      </w:r>
      <w:r>
        <w:rPr>
          <w:rFonts w:hint="eastAsia" w:ascii="仿宋_GB2312" w:eastAsia="仿宋_GB2312"/>
          <w:sz w:val="32"/>
          <w:szCs w:val="32"/>
        </w:rPr>
        <w:t>元，接待国有资产航拍</w:t>
      </w:r>
      <w:r>
        <w:rPr>
          <w:rFonts w:ascii="仿宋_GB2312" w:eastAsia="仿宋_GB2312"/>
          <w:sz w:val="32"/>
          <w:szCs w:val="32"/>
        </w:rPr>
        <w:t>280</w:t>
      </w:r>
      <w:r>
        <w:rPr>
          <w:rFonts w:hint="eastAsia" w:ascii="仿宋_GB2312" w:eastAsia="仿宋_GB2312"/>
          <w:sz w:val="32"/>
          <w:szCs w:val="32"/>
        </w:rPr>
        <w:t>元，支付“熊猫专列”红色旅游首发活动接待费</w:t>
      </w:r>
      <w:r>
        <w:rPr>
          <w:rFonts w:ascii="仿宋_GB2312" w:eastAsia="仿宋_GB2312"/>
          <w:sz w:val="32"/>
          <w:szCs w:val="32"/>
        </w:rPr>
        <w:t>460</w:t>
      </w:r>
      <w:r>
        <w:rPr>
          <w:rFonts w:hint="eastAsia" w:ascii="仿宋_GB2312" w:eastAsia="仿宋_GB2312"/>
          <w:sz w:val="32"/>
          <w:szCs w:val="32"/>
        </w:rPr>
        <w:t>元，支付共商《滋味盐边菜》创作接待费</w:t>
      </w:r>
      <w:r>
        <w:rPr>
          <w:rFonts w:ascii="仿宋_GB2312" w:eastAsia="仿宋_GB2312"/>
          <w:sz w:val="32"/>
          <w:szCs w:val="32"/>
        </w:rPr>
        <w:t>700</w:t>
      </w:r>
      <w:r>
        <w:rPr>
          <w:rFonts w:hint="eastAsia" w:ascii="仿宋_GB2312" w:eastAsia="仿宋_GB2312"/>
          <w:sz w:val="32"/>
          <w:szCs w:val="32"/>
        </w:rPr>
        <w:t>元。</w:t>
      </w:r>
    </w:p>
    <w:p>
      <w:pPr>
        <w:spacing w:line="600" w:lineRule="exact"/>
        <w:ind w:firstLine="643"/>
        <w:rPr>
          <w:rFonts w:ascii="黑体" w:eastAsia="黑体"/>
          <w:color w:val="000000"/>
          <w:sz w:val="32"/>
          <w:szCs w:val="32"/>
        </w:rPr>
      </w:pPr>
      <w:r>
        <w:rPr>
          <w:rFonts w:hint="eastAsia" w:ascii="仿宋_GB2312" w:hAnsi="仿宋" w:eastAsia="仿宋_GB2312"/>
          <w:b/>
          <w:color w:val="000000"/>
          <w:sz w:val="32"/>
          <w:szCs w:val="32"/>
        </w:rPr>
        <w:t>外事接待支出</w:t>
      </w:r>
      <w:r>
        <w:rPr>
          <w:rFonts w:ascii="仿宋_GB2312" w:hAnsi="仿宋" w:eastAsia="仿宋_GB2312"/>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人，共计支出</w:t>
      </w:r>
      <w:r>
        <w:rPr>
          <w:rFonts w:ascii="仿宋_GB2312" w:eastAsia="仿宋_GB2312"/>
          <w:color w:val="000000"/>
          <w:sz w:val="32"/>
          <w:szCs w:val="32"/>
        </w:rPr>
        <w:t>0</w:t>
      </w:r>
      <w:r>
        <w:rPr>
          <w:rFonts w:hint="eastAsia" w:ascii="仿宋_GB2312" w:eastAsia="仿宋_GB2312"/>
          <w:color w:val="000000"/>
          <w:sz w:val="32"/>
          <w:szCs w:val="32"/>
        </w:rPr>
        <w:t>万元</w:t>
      </w:r>
      <w:bookmarkStart w:id="75" w:name="_Toc15377218"/>
      <w:bookmarkStart w:id="76" w:name="_Toc15396610"/>
      <w:r>
        <w:rPr>
          <w:rFonts w:hint="eastAsia" w:ascii="仿宋_GB2312" w:eastAsia="仿宋_GB2312"/>
          <w:color w:val="000000"/>
          <w:sz w:val="32"/>
          <w:szCs w:val="32"/>
        </w:rPr>
        <w:t>。</w:t>
      </w:r>
    </w:p>
    <w:p>
      <w:pPr>
        <w:spacing w:line="600" w:lineRule="exact"/>
        <w:ind w:firstLine="640"/>
        <w:outlineLvl w:val="1"/>
        <w:rPr>
          <w:rStyle w:val="184"/>
          <w:rFonts w:ascii="黑体" w:hAnsi="黑体" w:eastAsia="黑体"/>
        </w:rPr>
      </w:pPr>
      <w:bookmarkStart w:id="77" w:name="_Toc52180089"/>
      <w:r>
        <w:rPr>
          <w:rFonts w:hint="eastAsia" w:ascii="黑体" w:eastAsia="黑体"/>
          <w:color w:val="000000"/>
          <w:sz w:val="32"/>
          <w:szCs w:val="32"/>
        </w:rPr>
        <w:t>八、</w:t>
      </w:r>
      <w:r>
        <w:rPr>
          <w:rStyle w:val="184"/>
          <w:rFonts w:hint="eastAsia" w:ascii="黑体" w:hAnsi="黑体" w:eastAsia="黑体"/>
          <w:b w:val="0"/>
        </w:rPr>
        <w:t>政府性基金预算支出决算情况说明</w:t>
      </w:r>
      <w:bookmarkEnd w:id="75"/>
      <w:bookmarkEnd w:id="76"/>
      <w:bookmarkEnd w:id="77"/>
    </w:p>
    <w:p>
      <w:pPr>
        <w:tabs>
          <w:tab w:val="left" w:pos="2184"/>
        </w:tabs>
        <w:spacing w:line="590" w:lineRule="exact"/>
        <w:ind w:firstLine="640"/>
        <w:rPr>
          <w:rFonts w:ascii="仿宋_GB2312" w:eastAsia="仿宋_GB2312"/>
          <w:color w:val="000000"/>
          <w:sz w:val="32"/>
          <w:szCs w:val="32"/>
        </w:rPr>
      </w:pPr>
      <w:r>
        <w:rPr>
          <w:rFonts w:ascii="仿宋_GB2312" w:eastAsia="仿宋_GB2312"/>
          <w:color w:val="000000"/>
          <w:sz w:val="32"/>
          <w:szCs w:val="32"/>
        </w:rPr>
        <w:t>2021</w:t>
      </w:r>
      <w:r>
        <w:rPr>
          <w:rFonts w:hint="eastAsia" w:ascii="仿宋_GB2312" w:eastAsia="仿宋_GB2312"/>
          <w:color w:val="000000"/>
          <w:sz w:val="32"/>
          <w:szCs w:val="32"/>
        </w:rPr>
        <w:t>年政府性基金预算拨款支出</w:t>
      </w:r>
      <w:r>
        <w:rPr>
          <w:rFonts w:ascii="仿宋_GB2312" w:eastAsia="仿宋_GB2312"/>
          <w:color w:val="000000"/>
          <w:sz w:val="32"/>
          <w:szCs w:val="32"/>
        </w:rPr>
        <w:t>4589</w:t>
      </w:r>
      <w:r>
        <w:rPr>
          <w:rFonts w:hint="eastAsia" w:ascii="仿宋_GB2312" w:eastAsia="仿宋_GB2312"/>
          <w:color w:val="000000"/>
          <w:sz w:val="32"/>
          <w:szCs w:val="32"/>
        </w:rPr>
        <w:t>万元。</w:t>
      </w:r>
      <w:r>
        <w:rPr>
          <w:rStyle w:val="34"/>
          <w:rFonts w:hint="eastAsia" w:ascii="仿宋_GB2312" w:hAnsi="宋体" w:eastAsia="仿宋_GB2312"/>
          <w:b w:val="0"/>
          <w:bCs/>
          <w:color w:val="000000"/>
          <w:sz w:val="32"/>
          <w:szCs w:val="32"/>
        </w:rPr>
        <w:t>农村基层设施建设支出</w:t>
      </w:r>
      <w:r>
        <w:rPr>
          <w:rFonts w:ascii="仿宋_GB2312" w:hAnsi="宋体" w:eastAsia="仿宋_GB2312"/>
          <w:color w:val="000000"/>
          <w:sz w:val="32"/>
          <w:szCs w:val="32"/>
        </w:rPr>
        <w:t>260</w:t>
      </w:r>
      <w:r>
        <w:rPr>
          <w:rFonts w:hint="eastAsia" w:ascii="仿宋_GB2312" w:hAnsi="宋体" w:eastAsia="仿宋_GB2312"/>
          <w:color w:val="000000"/>
          <w:sz w:val="32"/>
          <w:szCs w:val="32"/>
        </w:rPr>
        <w:t>万元</w:t>
      </w:r>
      <w:r>
        <w:rPr>
          <w:rFonts w:hint="eastAsia" w:ascii="仿宋_GB2312" w:hAnsi="仿宋" w:eastAsia="仿宋_GB2312"/>
          <w:sz w:val="32"/>
          <w:szCs w:val="32"/>
        </w:rPr>
        <w:t>，其他国有土地使用权出让收入安排的支出</w:t>
      </w:r>
      <w:r>
        <w:rPr>
          <w:rFonts w:ascii="仿宋_GB2312" w:hAnsi="仿宋" w:eastAsia="仿宋_GB2312"/>
          <w:sz w:val="32"/>
          <w:szCs w:val="32"/>
        </w:rPr>
        <w:t>4329</w:t>
      </w:r>
      <w:r>
        <w:rPr>
          <w:rFonts w:hint="eastAsia" w:ascii="仿宋_GB2312" w:hAnsi="仿宋" w:eastAsia="仿宋_GB2312"/>
          <w:sz w:val="32"/>
          <w:szCs w:val="32"/>
        </w:rPr>
        <w:t>万元，为红格音乐广场等旅游基础设施建设经费。</w:t>
      </w:r>
    </w:p>
    <w:p>
      <w:pPr>
        <w:numPr>
          <w:ilvl w:val="0"/>
          <w:numId w:val="3"/>
        </w:numPr>
        <w:spacing w:line="600" w:lineRule="exact"/>
        <w:ind w:firstLine="640"/>
        <w:outlineLvl w:val="1"/>
        <w:rPr>
          <w:rStyle w:val="184"/>
          <w:rFonts w:ascii="黑体" w:hAnsi="黑体" w:eastAsia="黑体"/>
          <w:b w:val="0"/>
        </w:rPr>
      </w:pPr>
      <w:bookmarkStart w:id="78" w:name="_Toc52180090"/>
      <w:bookmarkStart w:id="79" w:name="_Toc15396611"/>
      <w:bookmarkStart w:id="80" w:name="_Toc15377219"/>
      <w:r>
        <w:rPr>
          <w:rStyle w:val="184"/>
          <w:rFonts w:hint="eastAsia" w:ascii="黑体" w:hAnsi="黑体" w:eastAsia="黑体"/>
          <w:b w:val="0"/>
        </w:rPr>
        <w:t>国有资本经营预算支出决算情况说明</w:t>
      </w:r>
      <w:bookmarkEnd w:id="78"/>
      <w:bookmarkEnd w:id="79"/>
      <w:bookmarkEnd w:id="8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2021</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480"/>
        <w:outlineLvl w:val="1"/>
        <w:rPr>
          <w:rStyle w:val="184"/>
          <w:rFonts w:ascii="黑体" w:hAnsi="黑体" w:eastAsia="黑体"/>
        </w:rPr>
      </w:pPr>
      <w:bookmarkStart w:id="81" w:name="_Toc15377221"/>
      <w:bookmarkStart w:id="82" w:name="_Toc15396612"/>
      <w:bookmarkStart w:id="83" w:name="_Toc52180091"/>
      <w:r>
        <w:rPr>
          <w:rFonts w:hint="eastAsia" w:ascii="黑体" w:hAnsi="黑体" w:eastAsia="黑体"/>
          <w:color w:val="000000"/>
          <w:sz w:val="32"/>
          <w:szCs w:val="32"/>
        </w:rPr>
        <w:t>十</w:t>
      </w:r>
      <w:r>
        <w:rPr>
          <w:rStyle w:val="184"/>
          <w:rFonts w:hint="eastAsia" w:ascii="黑体" w:hAnsi="黑体" w:eastAsia="黑体"/>
        </w:rPr>
        <w:t>、</w:t>
      </w:r>
      <w:r>
        <w:rPr>
          <w:rStyle w:val="184"/>
          <w:rFonts w:hint="eastAsia" w:ascii="黑体" w:hAnsi="黑体" w:eastAsia="黑体"/>
          <w:b w:val="0"/>
        </w:rPr>
        <w:t>其他重要事项的情况说明</w:t>
      </w:r>
      <w:bookmarkEnd w:id="81"/>
      <w:bookmarkEnd w:id="82"/>
      <w:bookmarkEnd w:id="83"/>
    </w:p>
    <w:p>
      <w:pPr>
        <w:spacing w:line="600" w:lineRule="exact"/>
        <w:ind w:firstLine="640"/>
        <w:outlineLvl w:val="2"/>
        <w:rPr>
          <w:rFonts w:ascii="仿宋" w:hAnsi="仿宋" w:eastAsia="仿宋"/>
          <w:color w:val="000000"/>
          <w:sz w:val="32"/>
          <w:szCs w:val="32"/>
        </w:rPr>
      </w:pPr>
      <w:bookmarkStart w:id="84" w:name="_Toc52180092"/>
      <w:bookmarkStart w:id="85" w:name="_Toc15377222"/>
      <w:r>
        <w:rPr>
          <w:rFonts w:hint="eastAsia" w:ascii="仿宋" w:hAnsi="仿宋" w:eastAsia="仿宋"/>
          <w:color w:val="000000"/>
          <w:sz w:val="32"/>
          <w:szCs w:val="32"/>
        </w:rPr>
        <w:t>（一）机关运行经费支出情况</w:t>
      </w:r>
      <w:bookmarkEnd w:id="84"/>
      <w:bookmarkEnd w:id="8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2021</w:t>
      </w:r>
      <w:r>
        <w:rPr>
          <w:rFonts w:hint="eastAsia" w:ascii="仿宋_GB2312" w:eastAsia="仿宋_GB2312"/>
          <w:color w:val="000000"/>
          <w:sz w:val="32"/>
          <w:szCs w:val="32"/>
        </w:rPr>
        <w:t>年，文广旅局机关运行经费支出</w:t>
      </w:r>
      <w:r>
        <w:rPr>
          <w:rFonts w:ascii="仿宋_GB2312" w:eastAsia="仿宋_GB2312"/>
          <w:color w:val="000000"/>
          <w:sz w:val="32"/>
          <w:szCs w:val="32"/>
        </w:rPr>
        <w:t>46.44</w:t>
      </w:r>
      <w:r>
        <w:rPr>
          <w:rFonts w:hint="eastAsia" w:ascii="仿宋_GB2312" w:eastAsia="仿宋_GB2312"/>
          <w:color w:val="000000"/>
          <w:sz w:val="32"/>
          <w:szCs w:val="32"/>
        </w:rPr>
        <w:t>万元，比</w:t>
      </w:r>
      <w:r>
        <w:rPr>
          <w:rFonts w:ascii="仿宋_GB2312" w:eastAsia="仿宋_GB2312"/>
          <w:color w:val="000000"/>
          <w:sz w:val="32"/>
          <w:szCs w:val="32"/>
        </w:rPr>
        <w:t>2020</w:t>
      </w:r>
      <w:r>
        <w:rPr>
          <w:rFonts w:hint="eastAsia" w:ascii="仿宋_GB2312" w:eastAsia="仿宋_GB2312"/>
          <w:color w:val="000000"/>
          <w:sz w:val="32"/>
          <w:szCs w:val="32"/>
        </w:rPr>
        <w:t>年减少</w:t>
      </w:r>
      <w:r>
        <w:rPr>
          <w:rFonts w:ascii="仿宋_GB2312" w:eastAsia="仿宋_GB2312"/>
          <w:color w:val="000000"/>
          <w:sz w:val="32"/>
          <w:szCs w:val="32"/>
        </w:rPr>
        <w:t>0.19</w:t>
      </w:r>
      <w:r>
        <w:rPr>
          <w:rFonts w:hint="eastAsia" w:ascii="仿宋_GB2312" w:eastAsia="仿宋_GB2312"/>
          <w:color w:val="000000"/>
          <w:sz w:val="32"/>
          <w:szCs w:val="32"/>
        </w:rPr>
        <w:t>万元，减少</w:t>
      </w:r>
      <w:r>
        <w:rPr>
          <w:rFonts w:ascii="仿宋_GB2312" w:eastAsia="仿宋_GB2312"/>
          <w:color w:val="000000"/>
          <w:sz w:val="32"/>
          <w:szCs w:val="32"/>
        </w:rPr>
        <w:t>0.41%</w:t>
      </w:r>
      <w:r>
        <w:rPr>
          <w:rFonts w:hint="eastAsia" w:ascii="仿宋_GB2312" w:eastAsia="仿宋_GB2312"/>
          <w:color w:val="000000"/>
          <w:sz w:val="32"/>
          <w:szCs w:val="32"/>
        </w:rPr>
        <w:t>。主要原因工作经费减少</w:t>
      </w:r>
      <w:r>
        <w:rPr>
          <w:rFonts w:ascii="仿宋_GB2312" w:eastAsia="仿宋_GB2312"/>
          <w:color w:val="000000"/>
          <w:sz w:val="32"/>
          <w:szCs w:val="32"/>
        </w:rPr>
        <w:t>0.19</w:t>
      </w:r>
      <w:r>
        <w:rPr>
          <w:rFonts w:hint="eastAsia" w:ascii="仿宋_GB2312" w:eastAsia="仿宋_GB2312"/>
          <w:color w:val="000000"/>
          <w:sz w:val="32"/>
          <w:szCs w:val="32"/>
        </w:rPr>
        <w:t>万元。</w:t>
      </w:r>
    </w:p>
    <w:p>
      <w:pPr>
        <w:spacing w:line="600" w:lineRule="exact"/>
        <w:ind w:firstLine="640"/>
        <w:jc w:val="left"/>
        <w:outlineLvl w:val="2"/>
        <w:rPr>
          <w:rFonts w:ascii="仿宋" w:hAnsi="仿宋" w:eastAsia="仿宋"/>
          <w:color w:val="000000"/>
          <w:sz w:val="32"/>
          <w:szCs w:val="32"/>
        </w:rPr>
      </w:pPr>
      <w:bookmarkStart w:id="86" w:name="_Toc15377223"/>
      <w:bookmarkStart w:id="87" w:name="_Toc52180093"/>
      <w:r>
        <w:rPr>
          <w:rFonts w:hint="eastAsia" w:ascii="仿宋" w:hAnsi="仿宋" w:eastAsia="仿宋"/>
          <w:color w:val="000000"/>
          <w:sz w:val="32"/>
          <w:szCs w:val="32"/>
        </w:rPr>
        <w:t>（二）政府采购支出情况</w:t>
      </w:r>
      <w:bookmarkEnd w:id="86"/>
      <w:bookmarkEnd w:id="87"/>
    </w:p>
    <w:p>
      <w:pPr>
        <w:ind w:firstLine="709"/>
        <w:rPr>
          <w:rFonts w:ascii="仿宋_GB2312" w:hAnsi="仿宋" w:eastAsia="仿宋_GB2312" w:cs="仿宋"/>
          <w:bCs/>
          <w:color w:val="000000"/>
          <w:sz w:val="32"/>
          <w:szCs w:val="32"/>
        </w:rPr>
      </w:pPr>
      <w:r>
        <w:rPr>
          <w:rFonts w:ascii="仿宋_GB2312" w:eastAsia="仿宋_GB2312"/>
          <w:color w:val="000000"/>
          <w:sz w:val="32"/>
          <w:szCs w:val="32"/>
        </w:rPr>
        <w:t>2021</w:t>
      </w:r>
      <w:r>
        <w:rPr>
          <w:rFonts w:hint="eastAsia" w:ascii="仿宋_GB2312" w:eastAsia="仿宋_GB2312"/>
          <w:color w:val="000000"/>
          <w:sz w:val="32"/>
          <w:szCs w:val="32"/>
        </w:rPr>
        <w:t>年，</w:t>
      </w:r>
      <w:r>
        <w:rPr>
          <w:rFonts w:hint="eastAsia" w:ascii="仿宋_GB2312" w:hAnsi="仿宋" w:eastAsia="仿宋_GB2312" w:cs="仿宋"/>
          <w:bCs/>
          <w:color w:val="000000"/>
          <w:sz w:val="32"/>
          <w:szCs w:val="32"/>
        </w:rPr>
        <w:t>文广旅局政府采购</w:t>
      </w:r>
      <w:r>
        <w:rPr>
          <w:rFonts w:ascii="仿宋_GB2312" w:hAnsi="仿宋" w:eastAsia="仿宋_GB2312" w:cs="仿宋"/>
          <w:bCs/>
          <w:color w:val="000000"/>
          <w:sz w:val="32"/>
          <w:szCs w:val="32"/>
        </w:rPr>
        <w:t>534.55</w:t>
      </w:r>
      <w:r>
        <w:rPr>
          <w:rFonts w:hint="eastAsia" w:ascii="仿宋_GB2312" w:hAnsi="仿宋" w:eastAsia="仿宋_GB2312" w:cs="仿宋"/>
          <w:bCs/>
          <w:color w:val="000000"/>
          <w:sz w:val="32"/>
          <w:szCs w:val="32"/>
        </w:rPr>
        <w:t>万元。其中政府采购货物支出</w:t>
      </w:r>
      <w:r>
        <w:rPr>
          <w:rFonts w:ascii="仿宋_GB2312" w:hAnsi="仿宋" w:eastAsia="仿宋_GB2312" w:cs="仿宋"/>
          <w:bCs/>
          <w:color w:val="000000"/>
          <w:sz w:val="32"/>
          <w:szCs w:val="32"/>
        </w:rPr>
        <w:t>1.2</w:t>
      </w:r>
      <w:r>
        <w:rPr>
          <w:rFonts w:hint="eastAsia" w:ascii="仿宋_GB2312" w:hAnsi="仿宋" w:eastAsia="仿宋_GB2312" w:cs="仿宋"/>
          <w:bCs/>
          <w:color w:val="000000"/>
          <w:sz w:val="32"/>
          <w:szCs w:val="32"/>
        </w:rPr>
        <w:t>万元，政府采购工程支出</w:t>
      </w:r>
      <w:r>
        <w:rPr>
          <w:rFonts w:ascii="仿宋_GB2312" w:hAnsi="仿宋" w:eastAsia="仿宋_GB2312" w:cs="仿宋"/>
          <w:bCs/>
          <w:color w:val="000000"/>
          <w:sz w:val="32"/>
          <w:szCs w:val="32"/>
        </w:rPr>
        <w:t>0</w:t>
      </w:r>
      <w:r>
        <w:rPr>
          <w:rFonts w:hint="eastAsia" w:ascii="仿宋_GB2312" w:hAnsi="仿宋" w:eastAsia="仿宋_GB2312" w:cs="仿宋"/>
          <w:bCs/>
          <w:color w:val="000000"/>
          <w:sz w:val="32"/>
          <w:szCs w:val="32"/>
        </w:rPr>
        <w:t>万元，政府采购服务支出</w:t>
      </w:r>
      <w:r>
        <w:rPr>
          <w:rFonts w:ascii="仿宋_GB2312" w:hAnsi="仿宋" w:eastAsia="仿宋_GB2312" w:cs="仿宋"/>
          <w:bCs/>
          <w:color w:val="000000"/>
          <w:sz w:val="32"/>
          <w:szCs w:val="32"/>
        </w:rPr>
        <w:t>533.35</w:t>
      </w:r>
      <w:r>
        <w:rPr>
          <w:rFonts w:hint="eastAsia" w:ascii="仿宋_GB2312" w:hAnsi="仿宋" w:eastAsia="仿宋_GB2312" w:cs="仿宋"/>
          <w:bCs/>
          <w:color w:val="000000"/>
          <w:sz w:val="32"/>
          <w:szCs w:val="32"/>
        </w:rPr>
        <w:t>万元。采购项目为：</w:t>
      </w:r>
      <w:r>
        <w:rPr>
          <w:rFonts w:ascii="仿宋_GB2312" w:hAnsi="仿宋" w:eastAsia="仿宋_GB2312" w:cs="仿宋"/>
          <w:bCs/>
          <w:color w:val="000000"/>
          <w:sz w:val="32"/>
          <w:szCs w:val="32"/>
        </w:rPr>
        <w:t>2021</w:t>
      </w:r>
      <w:r>
        <w:rPr>
          <w:rFonts w:hint="eastAsia" w:ascii="仿宋_GB2312" w:hAnsi="仿宋" w:eastAsia="仿宋_GB2312" w:cs="仿宋"/>
          <w:bCs/>
          <w:color w:val="000000"/>
          <w:sz w:val="32"/>
          <w:szCs w:val="32"/>
        </w:rPr>
        <w:t>年广播电视运行维护</w:t>
      </w:r>
      <w:r>
        <w:rPr>
          <w:rFonts w:ascii="仿宋_GB2312" w:hAnsi="仿宋" w:eastAsia="仿宋_GB2312" w:cs="仿宋"/>
          <w:bCs/>
          <w:color w:val="000000"/>
          <w:sz w:val="32"/>
          <w:szCs w:val="32"/>
        </w:rPr>
        <w:t>164.5</w:t>
      </w:r>
      <w:r>
        <w:rPr>
          <w:rFonts w:hint="eastAsia" w:ascii="仿宋_GB2312" w:hAnsi="仿宋" w:eastAsia="仿宋_GB2312" w:cs="仿宋"/>
          <w:bCs/>
          <w:color w:val="000000"/>
          <w:sz w:val="32"/>
          <w:szCs w:val="32"/>
        </w:rPr>
        <w:t>万元；</w:t>
      </w:r>
      <w:r>
        <w:rPr>
          <w:rFonts w:ascii="仿宋_GB2312" w:hAnsi="仿宋" w:eastAsia="仿宋_GB2312" w:cs="仿宋"/>
          <w:bCs/>
          <w:color w:val="000000"/>
          <w:sz w:val="32"/>
          <w:szCs w:val="32"/>
        </w:rPr>
        <w:t>2021</w:t>
      </w:r>
      <w:r>
        <w:rPr>
          <w:rFonts w:hint="eastAsia" w:ascii="仿宋_GB2312" w:hAnsi="仿宋" w:eastAsia="仿宋_GB2312" w:cs="仿宋"/>
          <w:bCs/>
          <w:color w:val="000000"/>
          <w:sz w:val="32"/>
          <w:szCs w:val="32"/>
        </w:rPr>
        <w:t>年攀枝花市第三届清凉夏季游“寻觅山水滋味盐边”宣传营销经费</w:t>
      </w:r>
      <w:r>
        <w:rPr>
          <w:rFonts w:ascii="仿宋_GB2312" w:hAnsi="仿宋" w:eastAsia="仿宋_GB2312" w:cs="仿宋"/>
          <w:bCs/>
          <w:color w:val="000000"/>
          <w:sz w:val="32"/>
          <w:szCs w:val="32"/>
        </w:rPr>
        <w:t>188.86</w:t>
      </w:r>
      <w:r>
        <w:rPr>
          <w:rFonts w:hint="eastAsia" w:ascii="仿宋_GB2312" w:hAnsi="仿宋" w:eastAsia="仿宋_GB2312" w:cs="仿宋"/>
          <w:bCs/>
          <w:color w:val="000000"/>
          <w:sz w:val="32"/>
          <w:szCs w:val="32"/>
        </w:rPr>
        <w:t>万元；二滩湖农文旅融合度假区项目规划编制经费</w:t>
      </w:r>
      <w:r>
        <w:rPr>
          <w:rFonts w:ascii="仿宋_GB2312" w:hAnsi="仿宋" w:eastAsia="仿宋_GB2312" w:cs="仿宋"/>
          <w:bCs/>
          <w:color w:val="000000"/>
          <w:sz w:val="32"/>
          <w:szCs w:val="32"/>
        </w:rPr>
        <w:t>179.99</w:t>
      </w:r>
      <w:r>
        <w:rPr>
          <w:rFonts w:hint="eastAsia" w:ascii="仿宋_GB2312" w:hAnsi="仿宋" w:eastAsia="仿宋_GB2312" w:cs="仿宋"/>
          <w:bCs/>
          <w:color w:val="000000"/>
          <w:sz w:val="32"/>
          <w:szCs w:val="32"/>
        </w:rPr>
        <w:t>万元；采购办公设备（笔记本电脑两台）</w:t>
      </w:r>
      <w:r>
        <w:rPr>
          <w:rFonts w:ascii="仿宋_GB2312" w:hAnsi="仿宋" w:eastAsia="仿宋_GB2312" w:cs="仿宋"/>
          <w:bCs/>
          <w:color w:val="000000"/>
          <w:sz w:val="32"/>
          <w:szCs w:val="32"/>
        </w:rPr>
        <w:t>1.2</w:t>
      </w:r>
      <w:r>
        <w:rPr>
          <w:rFonts w:hint="eastAsia" w:ascii="仿宋_GB2312" w:hAnsi="仿宋" w:eastAsia="仿宋_GB2312" w:cs="仿宋"/>
          <w:bCs/>
          <w:color w:val="000000"/>
          <w:sz w:val="32"/>
          <w:szCs w:val="32"/>
        </w:rPr>
        <w:t>万元。</w:t>
      </w:r>
      <w:r>
        <w:rPr>
          <w:rFonts w:hint="eastAsia" w:ascii="仿宋_GB2312" w:eastAsia="仿宋_GB2312"/>
          <w:color w:val="000000"/>
          <w:sz w:val="32"/>
          <w:szCs w:val="32"/>
        </w:rPr>
        <w:t>授予中小企业合同金额</w:t>
      </w:r>
      <w:r>
        <w:rPr>
          <w:rFonts w:ascii="仿宋_GB2312" w:eastAsia="仿宋_GB2312"/>
          <w:color w:val="000000"/>
          <w:sz w:val="32"/>
          <w:szCs w:val="32"/>
        </w:rPr>
        <w:t>534.55</w:t>
      </w:r>
      <w:r>
        <w:rPr>
          <w:rFonts w:hint="eastAsia" w:ascii="仿宋_GB2312" w:eastAsia="仿宋_GB2312"/>
          <w:color w:val="000000"/>
          <w:sz w:val="32"/>
          <w:szCs w:val="32"/>
        </w:rPr>
        <w:t>万元，占政府采购支出总额的</w:t>
      </w:r>
      <w:r>
        <w:rPr>
          <w:rFonts w:ascii="仿宋_GB2312" w:eastAsia="仿宋_GB2312"/>
          <w:color w:val="000000"/>
          <w:sz w:val="32"/>
          <w:szCs w:val="32"/>
        </w:rPr>
        <w:t>100%</w:t>
      </w:r>
      <w:r>
        <w:rPr>
          <w:rFonts w:hint="eastAsia" w:ascii="仿宋_GB2312" w:eastAsia="仿宋_GB2312"/>
          <w:color w:val="000000"/>
          <w:sz w:val="32"/>
          <w:szCs w:val="32"/>
        </w:rPr>
        <w:t>，其中：授予小微企业合同金额</w:t>
      </w:r>
      <w:r>
        <w:rPr>
          <w:rFonts w:ascii="仿宋_GB2312" w:eastAsia="仿宋_GB2312"/>
          <w:color w:val="000000"/>
          <w:sz w:val="32"/>
          <w:szCs w:val="32"/>
        </w:rPr>
        <w:t>16.57</w:t>
      </w:r>
      <w:r>
        <w:rPr>
          <w:rFonts w:hint="eastAsia" w:ascii="仿宋_GB2312" w:eastAsia="仿宋_GB2312"/>
          <w:color w:val="000000"/>
          <w:sz w:val="32"/>
          <w:szCs w:val="32"/>
        </w:rPr>
        <w:t>万元，占政府采购支出总额的</w:t>
      </w:r>
      <w:r>
        <w:rPr>
          <w:rFonts w:ascii="仿宋_GB2312" w:eastAsia="仿宋_GB2312"/>
          <w:color w:val="000000"/>
          <w:sz w:val="32"/>
          <w:szCs w:val="32"/>
        </w:rPr>
        <w:t>3.1%</w:t>
      </w:r>
      <w:r>
        <w:rPr>
          <w:rFonts w:hint="eastAsia" w:ascii="仿宋_GB2312" w:eastAsia="仿宋_GB2312"/>
          <w:color w:val="000000"/>
          <w:sz w:val="32"/>
          <w:szCs w:val="32"/>
        </w:rPr>
        <w:t>。</w:t>
      </w:r>
    </w:p>
    <w:p>
      <w:pPr>
        <w:spacing w:line="600" w:lineRule="exact"/>
        <w:ind w:firstLine="643"/>
        <w:jc w:val="left"/>
        <w:outlineLvl w:val="2"/>
        <w:rPr>
          <w:rFonts w:ascii="仿宋" w:hAnsi="仿宋" w:eastAsia="仿宋"/>
          <w:b/>
          <w:color w:val="000000"/>
          <w:sz w:val="32"/>
          <w:szCs w:val="32"/>
        </w:rPr>
      </w:pPr>
      <w:bookmarkStart w:id="88" w:name="_Toc15377224"/>
      <w:bookmarkStart w:id="89" w:name="_Toc52180094"/>
      <w:r>
        <w:rPr>
          <w:rFonts w:hint="eastAsia" w:ascii="仿宋" w:hAnsi="仿宋" w:eastAsia="仿宋"/>
          <w:b/>
          <w:color w:val="000000"/>
          <w:sz w:val="32"/>
          <w:szCs w:val="32"/>
        </w:rPr>
        <w:t>（三）国有资产占有使用情况</w:t>
      </w:r>
      <w:bookmarkEnd w:id="88"/>
      <w:bookmarkEnd w:id="89"/>
    </w:p>
    <w:p>
      <w:pPr>
        <w:spacing w:line="600" w:lineRule="exact"/>
        <w:ind w:firstLine="64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日，文广旅局共有车辆</w:t>
      </w:r>
      <w:r>
        <w:rPr>
          <w:rFonts w:ascii="仿宋_GB2312" w:eastAsia="仿宋_GB2312"/>
          <w:color w:val="000000"/>
          <w:sz w:val="32"/>
          <w:szCs w:val="32"/>
        </w:rPr>
        <w:t>1</w:t>
      </w:r>
      <w:r>
        <w:rPr>
          <w:rFonts w:hint="eastAsia" w:ascii="仿宋_GB2312" w:eastAsia="仿宋_GB2312"/>
          <w:color w:val="000000"/>
          <w:sz w:val="32"/>
          <w:szCs w:val="32"/>
        </w:rPr>
        <w:t>辆，其中：主要领导干部用车</w:t>
      </w:r>
      <w:r>
        <w:rPr>
          <w:rFonts w:ascii="仿宋_GB2312" w:eastAsia="仿宋_GB2312"/>
          <w:color w:val="000000"/>
          <w:sz w:val="32"/>
          <w:szCs w:val="32"/>
        </w:rPr>
        <w:t>0</w:t>
      </w:r>
      <w:r>
        <w:rPr>
          <w:rFonts w:hint="eastAsia" w:ascii="仿宋_GB2312" w:eastAsia="仿宋_GB2312"/>
          <w:color w:val="000000"/>
          <w:sz w:val="32"/>
          <w:szCs w:val="32"/>
        </w:rPr>
        <w:t>辆、机要通信用车</w:t>
      </w:r>
      <w:r>
        <w:rPr>
          <w:rFonts w:ascii="仿宋_GB2312" w:eastAsia="仿宋_GB2312"/>
          <w:color w:val="000000"/>
          <w:sz w:val="32"/>
          <w:szCs w:val="32"/>
        </w:rPr>
        <w:t>0</w:t>
      </w:r>
      <w:r>
        <w:rPr>
          <w:rFonts w:hint="eastAsia" w:ascii="仿宋_GB2312" w:eastAsia="仿宋_GB2312"/>
          <w:color w:val="000000"/>
          <w:sz w:val="32"/>
          <w:szCs w:val="32"/>
        </w:rPr>
        <w:t>辆、应急保障用车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1</w:t>
      </w:r>
      <w:r>
        <w:rPr>
          <w:rFonts w:hint="eastAsia" w:ascii="仿宋_GB2312" w:eastAsia="仿宋_GB2312"/>
          <w:color w:val="000000"/>
          <w:sz w:val="32"/>
          <w:szCs w:val="32"/>
        </w:rPr>
        <w:t>辆，为文化馆业务用车。单价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1</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spacing w:line="600" w:lineRule="exact"/>
        <w:ind w:firstLine="643"/>
        <w:jc w:val="left"/>
        <w:outlineLvl w:val="2"/>
        <w:rPr>
          <w:rFonts w:ascii="仿宋" w:hAnsi="仿宋" w:eastAsia="仿宋"/>
          <w:b/>
          <w:color w:val="000000"/>
          <w:sz w:val="32"/>
          <w:szCs w:val="32"/>
        </w:rPr>
      </w:pPr>
      <w:bookmarkStart w:id="90" w:name="_Toc52180095"/>
      <w:r>
        <w:rPr>
          <w:rFonts w:hint="eastAsia" w:ascii="仿宋" w:hAnsi="仿宋" w:eastAsia="仿宋"/>
          <w:b/>
          <w:color w:val="000000"/>
          <w:sz w:val="32"/>
          <w:szCs w:val="32"/>
        </w:rPr>
        <w:t>（四）预算绩效管理情况。</w:t>
      </w:r>
      <w:bookmarkEnd w:id="90"/>
    </w:p>
    <w:p>
      <w:pPr>
        <w:spacing w:line="580" w:lineRule="exact"/>
        <w:ind w:firstLine="640"/>
        <w:rPr>
          <w:rFonts w:ascii="仿宋_GB2312" w:hAnsi="仿宋_GB2312" w:eastAsia="仿宋_GB2312" w:cs="仿宋_GB2312"/>
          <w:sz w:val="32"/>
          <w:szCs w:val="32"/>
        </w:rPr>
      </w:pPr>
      <w:r>
        <w:rPr>
          <w:rFonts w:hint="eastAsia" w:ascii="仿宋_GB2312" w:eastAsia="仿宋_GB2312"/>
          <w:color w:val="000000"/>
          <w:sz w:val="32"/>
          <w:szCs w:val="32"/>
        </w:rPr>
        <w:t>根据预算绩效管理要求，文广旅局在年初预算编制阶段，组织对“中央和省补助地方公共文化服务体系建设”“</w:t>
      </w:r>
      <w:r>
        <w:rPr>
          <w:rFonts w:ascii="仿宋_GB2312" w:eastAsia="仿宋_GB2312"/>
          <w:color w:val="000000"/>
          <w:sz w:val="32"/>
          <w:szCs w:val="32"/>
        </w:rPr>
        <w:t>2021</w:t>
      </w:r>
      <w:r>
        <w:rPr>
          <w:rFonts w:hint="eastAsia" w:ascii="仿宋_GB2312" w:eastAsia="仿宋_GB2312"/>
          <w:color w:val="000000"/>
          <w:sz w:val="32"/>
          <w:szCs w:val="32"/>
        </w:rPr>
        <w:t>年清凉夏季游”“</w:t>
      </w:r>
      <w:r>
        <w:rPr>
          <w:rFonts w:ascii="仿宋_GB2312" w:eastAsia="仿宋_GB2312"/>
          <w:color w:val="000000"/>
          <w:sz w:val="32"/>
          <w:szCs w:val="32"/>
        </w:rPr>
        <w:t>2021</w:t>
      </w:r>
      <w:r>
        <w:rPr>
          <w:rFonts w:hint="eastAsia" w:ascii="仿宋_GB2312" w:eastAsia="仿宋_GB2312"/>
          <w:color w:val="000000"/>
          <w:sz w:val="32"/>
          <w:szCs w:val="32"/>
        </w:rPr>
        <w:t>年地面数字电视运行维护经费”等项目开展了预算事前绩效评估，对</w:t>
      </w:r>
      <w:r>
        <w:rPr>
          <w:rFonts w:ascii="仿宋_GB2312" w:eastAsia="仿宋_GB2312"/>
          <w:color w:val="000000"/>
          <w:sz w:val="32"/>
          <w:szCs w:val="32"/>
        </w:rPr>
        <w:t>15</w:t>
      </w:r>
      <w:r>
        <w:rPr>
          <w:rFonts w:hint="eastAsia" w:ascii="仿宋_GB2312" w:eastAsia="仿宋_GB2312"/>
          <w:color w:val="000000"/>
          <w:sz w:val="32"/>
          <w:szCs w:val="32"/>
        </w:rPr>
        <w:t>个项目编制了预算绩效目标。预算执行过</w:t>
      </w:r>
      <w:r>
        <w:rPr>
          <w:rFonts w:hint="eastAsia" w:ascii="仿宋_GB2312" w:hAnsi="仿宋_GB2312" w:eastAsia="仿宋_GB2312" w:cs="仿宋_GB2312"/>
          <w:sz w:val="32"/>
          <w:szCs w:val="32"/>
        </w:rPr>
        <w:t>程中，选取</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个项目开展了绩效目标完成情况自评。同时，本部门对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年部门整体支出开展绩效自评，《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年盐边县文化广播电视和旅游局整体绩效评价报告》见附件。</w:t>
      </w:r>
    </w:p>
    <w:p>
      <w:pPr>
        <w:numPr>
          <w:ilvl w:val="0"/>
          <w:numId w:val="4"/>
        </w:numPr>
        <w:spacing w:line="600" w:lineRule="exact"/>
        <w:ind w:firstLine="660"/>
        <w:jc w:val="center"/>
        <w:outlineLvl w:val="0"/>
        <w:rPr>
          <w:rStyle w:val="183"/>
          <w:rFonts w:ascii="黑体" w:hAnsi="黑体" w:eastAsia="黑体"/>
          <w:b w:val="0"/>
        </w:rPr>
      </w:pPr>
      <w:bookmarkStart w:id="91" w:name="_Toc52180096"/>
      <w:bookmarkStart w:id="92" w:name="_Toc15396613"/>
      <w:bookmarkStart w:id="93" w:name="_Toc15377225"/>
      <w:r>
        <w:rPr>
          <w:rFonts w:hint="eastAsia" w:ascii="黑体" w:hAnsi="黑体" w:eastAsia="黑体"/>
          <w:color w:val="000000"/>
          <w:sz w:val="44"/>
          <w:szCs w:val="44"/>
        </w:rPr>
        <w:t>名</w:t>
      </w:r>
      <w:r>
        <w:rPr>
          <w:rStyle w:val="183"/>
          <w:rFonts w:hint="eastAsia" w:ascii="黑体" w:hAnsi="黑体" w:eastAsia="黑体"/>
          <w:b w:val="0"/>
        </w:rPr>
        <w:t>词解释</w:t>
      </w:r>
      <w:bookmarkEnd w:id="91"/>
      <w:bookmarkEnd w:id="92"/>
      <w:bookmarkEnd w:id="93"/>
    </w:p>
    <w:p>
      <w:pPr>
        <w:spacing w:line="600" w:lineRule="exact"/>
        <w:jc w:val="left"/>
        <w:rPr>
          <w:rFonts w:ascii="宋体"/>
          <w:b/>
          <w:color w:val="000000"/>
          <w:sz w:val="44"/>
          <w:szCs w:val="44"/>
        </w:rPr>
      </w:pPr>
    </w:p>
    <w:p>
      <w:pPr>
        <w:pStyle w:val="195"/>
        <w:spacing w:line="560" w:lineRule="exact"/>
        <w:ind w:firstLine="640"/>
        <w:rPr>
          <w:rFonts w:ascii="仿宋_GB2312" w:hAnsi="Times New Roman" w:eastAsia="仿宋_GB2312" w:cs="Times New Roman"/>
          <w:sz w:val="32"/>
          <w:szCs w:val="32"/>
        </w:rPr>
      </w:pPr>
      <w:r>
        <w:rPr>
          <w:rFonts w:ascii="仿宋_GB2312" w:hAnsi="宋体" w:eastAsia="仿宋_GB2312" w:cs="宋体"/>
          <w:color w:val="auto"/>
          <w:sz w:val="32"/>
          <w:szCs w:val="32"/>
        </w:rPr>
        <w:t>1</w:t>
      </w:r>
      <w:r>
        <w:rPr>
          <w:rFonts w:hint="eastAsia" w:ascii="仿宋_GB2312" w:hAnsi="宋体" w:eastAsia="仿宋_GB2312" w:cs="宋体"/>
          <w:color w:val="auto"/>
          <w:sz w:val="32"/>
          <w:szCs w:val="32"/>
        </w:rPr>
        <w:t>．</w:t>
      </w:r>
      <w:r>
        <w:rPr>
          <w:rFonts w:hint="eastAsia" w:ascii="仿宋_GB2312" w:hAnsi="Times New Roman" w:eastAsia="仿宋_GB2312" w:cs="Times New Roman"/>
          <w:sz w:val="32"/>
          <w:szCs w:val="32"/>
        </w:rPr>
        <w:t>财政拨款收入：指省级财政当年拨付的资金。</w:t>
      </w:r>
    </w:p>
    <w:p>
      <w:pPr>
        <w:pStyle w:val="195"/>
        <w:spacing w:line="560" w:lineRule="exact"/>
        <w:ind w:firstLine="64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．年初结转和结余：指以前年度尚未完成、结转到本年按有关规定继续使用的资金。</w:t>
      </w:r>
    </w:p>
    <w:p>
      <w:pPr>
        <w:pStyle w:val="195"/>
        <w:spacing w:line="560" w:lineRule="exact"/>
        <w:ind w:firstLine="640"/>
        <w:rPr>
          <w:rFonts w:ascii="仿宋_GB2312" w:hAnsi="Times New Roman" w:eastAsia="仿宋_GB2312" w:cs="Times New Roman"/>
          <w:sz w:val="32"/>
          <w:szCs w:val="32"/>
        </w:rPr>
      </w:pPr>
      <w:bookmarkStart w:id="94" w:name="_Toc15377226"/>
      <w:r>
        <w:rPr>
          <w:rFonts w:ascii="仿宋_GB2312" w:hAnsi="Times New Roman" w:eastAsia="仿宋_GB2312" w:cs="Times New Roman"/>
          <w:sz w:val="32"/>
          <w:szCs w:val="32"/>
        </w:rPr>
        <w:t xml:space="preserve">3. </w:t>
      </w:r>
      <w:r>
        <w:rPr>
          <w:rFonts w:hint="eastAsia" w:ascii="仿宋_GB2312" w:hAnsi="Times New Roman" w:eastAsia="仿宋_GB2312" w:cs="Times New Roman"/>
          <w:sz w:val="32"/>
          <w:szCs w:val="32"/>
        </w:rPr>
        <w:t>信访事务</w:t>
      </w:r>
      <w:r>
        <w:rPr>
          <w:rFonts w:ascii="仿宋_GB2312" w:hAnsi="Times New Roman" w:eastAsia="仿宋_GB2312" w:cs="Times New Roman"/>
          <w:sz w:val="32"/>
          <w:szCs w:val="32"/>
        </w:rPr>
        <w:t>2010308</w:t>
      </w:r>
      <w:r>
        <w:rPr>
          <w:rFonts w:hint="eastAsia" w:ascii="仿宋_GB2312" w:hAnsi="Times New Roman" w:eastAsia="仿宋_GB2312" w:cs="Times New Roman"/>
          <w:sz w:val="32"/>
          <w:szCs w:val="32"/>
        </w:rPr>
        <w:t>：反映各级政府用于接待群众来信来访方面的支出。</w:t>
      </w:r>
    </w:p>
    <w:p>
      <w:pPr>
        <w:pStyle w:val="195"/>
        <w:spacing w:line="560" w:lineRule="exact"/>
        <w:ind w:firstLine="640"/>
        <w:rPr>
          <w:rStyle w:val="34"/>
          <w:rFonts w:ascii="仿宋_GB2312" w:eastAsia="仿宋_GB2312"/>
          <w:b w:val="0"/>
          <w:bCs/>
          <w:sz w:val="32"/>
          <w:szCs w:val="32"/>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w:t>
      </w:r>
      <w:r>
        <w:rPr>
          <w:rStyle w:val="34"/>
          <w:rFonts w:hint="eastAsia" w:ascii="仿宋_GB2312" w:eastAsia="仿宋_GB2312"/>
          <w:b w:val="0"/>
          <w:bCs/>
          <w:sz w:val="32"/>
          <w:szCs w:val="32"/>
        </w:rPr>
        <w:t>文化和旅游行政运行</w:t>
      </w:r>
      <w:r>
        <w:rPr>
          <w:rStyle w:val="34"/>
          <w:rFonts w:ascii="仿宋_GB2312" w:eastAsia="仿宋_GB2312"/>
          <w:b w:val="0"/>
          <w:bCs/>
          <w:sz w:val="32"/>
          <w:szCs w:val="32"/>
        </w:rPr>
        <w:t>2070101</w:t>
      </w:r>
      <w:r>
        <w:rPr>
          <w:rStyle w:val="34"/>
          <w:rFonts w:hint="eastAsia" w:ascii="仿宋_GB2312" w:eastAsia="仿宋_GB2312"/>
          <w:b w:val="0"/>
          <w:bCs/>
          <w:sz w:val="32"/>
          <w:szCs w:val="32"/>
        </w:rPr>
        <w:t>：反映文化、旅游、广播电视等行政单位（包括实行公务员管理的事业单位）的基本支出。</w:t>
      </w:r>
    </w:p>
    <w:p>
      <w:pPr>
        <w:pStyle w:val="195"/>
        <w:spacing w:line="560" w:lineRule="exact"/>
        <w:ind w:firstLine="640"/>
        <w:rPr>
          <w:rStyle w:val="34"/>
          <w:rFonts w:ascii="仿宋_GB2312" w:eastAsia="仿宋_GB2312"/>
          <w:b w:val="0"/>
          <w:bCs/>
          <w:sz w:val="32"/>
          <w:szCs w:val="32"/>
        </w:rPr>
      </w:pPr>
      <w:r>
        <w:rPr>
          <w:rStyle w:val="34"/>
          <w:rFonts w:ascii="仿宋_GB2312" w:eastAsia="仿宋_GB2312"/>
          <w:b w:val="0"/>
          <w:bCs/>
          <w:sz w:val="32"/>
          <w:szCs w:val="32"/>
        </w:rPr>
        <w:t>5.</w:t>
      </w:r>
      <w:r>
        <w:rPr>
          <w:rFonts w:hint="eastAsia" w:ascii="仿宋_GB2312" w:eastAsia="仿宋_GB2312"/>
          <w:sz w:val="32"/>
          <w:szCs w:val="32"/>
        </w:rPr>
        <w:t>文化和旅游一般行政管理事务</w:t>
      </w:r>
      <w:r>
        <w:rPr>
          <w:rFonts w:ascii="仿宋_GB2312" w:eastAsia="仿宋_GB2312"/>
          <w:sz w:val="32"/>
          <w:szCs w:val="32"/>
        </w:rPr>
        <w:t>2070102</w:t>
      </w:r>
      <w:r>
        <w:rPr>
          <w:rFonts w:hint="eastAsia" w:ascii="仿宋_GB2312" w:eastAsia="仿宋_GB2312"/>
          <w:sz w:val="32"/>
          <w:szCs w:val="32"/>
        </w:rPr>
        <w:t>：</w:t>
      </w:r>
      <w:r>
        <w:rPr>
          <w:rStyle w:val="34"/>
          <w:rFonts w:hint="eastAsia" w:ascii="仿宋_GB2312" w:eastAsia="仿宋_GB2312"/>
          <w:b w:val="0"/>
          <w:bCs/>
          <w:sz w:val="32"/>
          <w:szCs w:val="32"/>
        </w:rPr>
        <w:t>反映文化、旅游、广播电视等行政单位（包括实行公务员管理的事业单位）未单独设置项级科目的其他项目支出。</w:t>
      </w:r>
    </w:p>
    <w:p>
      <w:pPr>
        <w:pStyle w:val="195"/>
        <w:spacing w:line="560" w:lineRule="exact"/>
        <w:ind w:firstLine="640"/>
        <w:rPr>
          <w:rFonts w:ascii="仿宋_GB2312" w:eastAsia="仿宋_GB2312"/>
          <w:sz w:val="32"/>
          <w:szCs w:val="32"/>
        </w:rPr>
      </w:pPr>
      <w:r>
        <w:rPr>
          <w:rStyle w:val="34"/>
          <w:rFonts w:ascii="仿宋_GB2312" w:eastAsia="仿宋_GB2312"/>
          <w:b w:val="0"/>
          <w:bCs/>
          <w:sz w:val="32"/>
          <w:szCs w:val="32"/>
        </w:rPr>
        <w:t>6.</w:t>
      </w:r>
      <w:r>
        <w:rPr>
          <w:rStyle w:val="34"/>
          <w:rFonts w:hint="eastAsia" w:ascii="仿宋_GB2312" w:eastAsia="仿宋_GB2312"/>
          <w:b w:val="0"/>
          <w:bCs/>
          <w:sz w:val="32"/>
          <w:szCs w:val="32"/>
        </w:rPr>
        <w:t>艺术表演团体</w:t>
      </w:r>
      <w:r>
        <w:rPr>
          <w:rStyle w:val="34"/>
          <w:rFonts w:ascii="仿宋_GB2312" w:eastAsia="仿宋_GB2312"/>
          <w:b w:val="0"/>
          <w:bCs/>
          <w:sz w:val="32"/>
          <w:szCs w:val="32"/>
        </w:rPr>
        <w:t>2070107</w:t>
      </w:r>
      <w:r>
        <w:rPr>
          <w:rStyle w:val="34"/>
          <w:rFonts w:hint="eastAsia" w:ascii="仿宋_GB2312" w:eastAsia="仿宋_GB2312"/>
          <w:b w:val="0"/>
          <w:bCs/>
          <w:sz w:val="32"/>
          <w:szCs w:val="32"/>
        </w:rPr>
        <w:t>：反映文化及其他部门主管的剧院（团）等艺术表演团体的支出。</w:t>
      </w:r>
    </w:p>
    <w:p>
      <w:pPr>
        <w:pStyle w:val="195"/>
        <w:spacing w:line="560" w:lineRule="exact"/>
        <w:ind w:firstLine="640"/>
        <w:rPr>
          <w:rStyle w:val="34"/>
          <w:rFonts w:hint="eastAsia" w:ascii="仿宋_GB2312" w:eastAsia="仿宋_GB2312"/>
          <w:b w:val="0"/>
          <w:bCs/>
          <w:sz w:val="32"/>
          <w:szCs w:val="32"/>
        </w:rPr>
      </w:pPr>
      <w:r>
        <w:rPr>
          <w:rFonts w:ascii="仿宋_GB2312" w:eastAsia="仿宋_GB2312"/>
          <w:sz w:val="32"/>
          <w:szCs w:val="32"/>
        </w:rPr>
        <w:t>7.</w:t>
      </w:r>
      <w:r>
        <w:rPr>
          <w:rStyle w:val="34"/>
          <w:rFonts w:hint="eastAsia" w:ascii="仿宋_GB2312" w:eastAsia="仿宋_GB2312"/>
          <w:b w:val="0"/>
          <w:bCs/>
          <w:sz w:val="32"/>
          <w:szCs w:val="32"/>
        </w:rPr>
        <w:t>文化活动</w:t>
      </w:r>
      <w:r>
        <w:rPr>
          <w:rStyle w:val="34"/>
          <w:rFonts w:ascii="仿宋_GB2312" w:eastAsia="仿宋_GB2312"/>
          <w:b w:val="0"/>
          <w:bCs/>
          <w:sz w:val="32"/>
          <w:szCs w:val="32"/>
        </w:rPr>
        <w:t>2070108</w:t>
      </w:r>
      <w:r>
        <w:rPr>
          <w:rStyle w:val="34"/>
          <w:rFonts w:hint="eastAsia" w:ascii="仿宋_GB2312" w:eastAsia="仿宋_GB2312"/>
          <w:b w:val="0"/>
          <w:bCs/>
          <w:sz w:val="32"/>
          <w:szCs w:val="32"/>
        </w:rPr>
        <w:t>：反映举办大型文化艺术活动的支出。</w:t>
      </w:r>
    </w:p>
    <w:p>
      <w:pPr>
        <w:pStyle w:val="195"/>
        <w:spacing w:line="560" w:lineRule="exact"/>
        <w:ind w:firstLine="640"/>
        <w:rPr>
          <w:rStyle w:val="34"/>
          <w:rFonts w:hint="default" w:ascii="仿宋_GB2312" w:eastAsia="仿宋_GB2312"/>
          <w:b w:val="0"/>
          <w:bCs/>
          <w:sz w:val="32"/>
          <w:szCs w:val="32"/>
          <w:lang w:val="en-US" w:eastAsia="zh-CN"/>
        </w:rPr>
      </w:pPr>
      <w:r>
        <w:rPr>
          <w:rStyle w:val="34"/>
          <w:rFonts w:hint="eastAsia" w:ascii="仿宋_GB2312" w:eastAsia="仿宋_GB2312"/>
          <w:b w:val="0"/>
          <w:bCs/>
          <w:sz w:val="32"/>
          <w:szCs w:val="32"/>
          <w:lang w:val="en-US" w:eastAsia="zh-CN"/>
        </w:rPr>
        <w:t>8.群众文化：反应举办大型文化艺术活动的支出。</w:t>
      </w:r>
    </w:p>
    <w:p>
      <w:pPr>
        <w:pStyle w:val="195"/>
        <w:spacing w:line="560" w:lineRule="exact"/>
        <w:ind w:firstLine="640"/>
        <w:rPr>
          <w:rStyle w:val="34"/>
          <w:rFonts w:ascii="仿宋_GB2312" w:eastAsia="仿宋_GB2312"/>
          <w:b w:val="0"/>
          <w:bCs/>
          <w:sz w:val="32"/>
          <w:szCs w:val="32"/>
        </w:rPr>
      </w:pPr>
      <w:r>
        <w:rPr>
          <w:rStyle w:val="34"/>
          <w:rFonts w:hint="eastAsia" w:ascii="仿宋_GB2312" w:eastAsia="仿宋_GB2312"/>
          <w:b w:val="0"/>
          <w:bCs/>
          <w:sz w:val="32"/>
          <w:szCs w:val="32"/>
          <w:lang w:val="en-US" w:eastAsia="zh-CN"/>
        </w:rPr>
        <w:t>9</w:t>
      </w:r>
      <w:r>
        <w:rPr>
          <w:rStyle w:val="34"/>
          <w:rFonts w:ascii="仿宋_GB2312" w:eastAsia="仿宋_GB2312"/>
          <w:b w:val="0"/>
          <w:bCs/>
          <w:sz w:val="32"/>
          <w:szCs w:val="32"/>
        </w:rPr>
        <w:t>.</w:t>
      </w:r>
      <w:r>
        <w:rPr>
          <w:rStyle w:val="34"/>
          <w:rFonts w:hint="eastAsia" w:ascii="仿宋_GB2312" w:eastAsia="仿宋_GB2312"/>
          <w:b w:val="0"/>
          <w:bCs/>
          <w:sz w:val="32"/>
          <w:szCs w:val="32"/>
        </w:rPr>
        <w:t>文化创作和保护</w:t>
      </w:r>
      <w:r>
        <w:rPr>
          <w:rStyle w:val="34"/>
          <w:rFonts w:ascii="仿宋_GB2312" w:eastAsia="仿宋_GB2312"/>
          <w:b w:val="0"/>
          <w:bCs/>
          <w:sz w:val="32"/>
          <w:szCs w:val="32"/>
        </w:rPr>
        <w:t>2070111</w:t>
      </w:r>
      <w:r>
        <w:rPr>
          <w:rStyle w:val="34"/>
          <w:rFonts w:hint="eastAsia" w:ascii="仿宋_GB2312" w:eastAsia="仿宋_GB2312"/>
          <w:b w:val="0"/>
          <w:bCs/>
          <w:sz w:val="32"/>
          <w:szCs w:val="32"/>
        </w:rPr>
        <w:t>：反映鼓励文学、艺术创作和优秀传统文化保护方面的支出。</w:t>
      </w:r>
    </w:p>
    <w:p>
      <w:pPr>
        <w:pStyle w:val="195"/>
        <w:spacing w:line="560" w:lineRule="exact"/>
        <w:ind w:firstLine="640"/>
        <w:rPr>
          <w:rStyle w:val="34"/>
          <w:rFonts w:ascii="仿宋_GB2312" w:eastAsia="仿宋_GB2312"/>
          <w:b w:val="0"/>
          <w:bCs/>
          <w:sz w:val="32"/>
          <w:szCs w:val="32"/>
        </w:rPr>
      </w:pPr>
      <w:r>
        <w:rPr>
          <w:rStyle w:val="34"/>
          <w:rFonts w:hint="eastAsia" w:ascii="仿宋_GB2312" w:eastAsia="仿宋_GB2312"/>
          <w:b w:val="0"/>
          <w:bCs/>
          <w:sz w:val="32"/>
          <w:szCs w:val="32"/>
          <w:lang w:val="en-US" w:eastAsia="zh-CN"/>
        </w:rPr>
        <w:t>10</w:t>
      </w:r>
      <w:r>
        <w:rPr>
          <w:rStyle w:val="34"/>
          <w:rFonts w:ascii="仿宋_GB2312" w:eastAsia="仿宋_GB2312"/>
          <w:b w:val="0"/>
          <w:bCs/>
          <w:sz w:val="32"/>
          <w:szCs w:val="32"/>
        </w:rPr>
        <w:t>.</w:t>
      </w:r>
      <w:r>
        <w:rPr>
          <w:rStyle w:val="34"/>
          <w:rFonts w:hint="eastAsia" w:ascii="仿宋_GB2312" w:eastAsia="仿宋_GB2312"/>
          <w:b w:val="0"/>
          <w:bCs/>
          <w:sz w:val="32"/>
          <w:szCs w:val="32"/>
        </w:rPr>
        <w:t>旅游宣传</w:t>
      </w:r>
      <w:r>
        <w:rPr>
          <w:rStyle w:val="34"/>
          <w:rFonts w:ascii="仿宋_GB2312" w:eastAsia="仿宋_GB2312"/>
          <w:b w:val="0"/>
          <w:bCs/>
          <w:sz w:val="32"/>
          <w:szCs w:val="32"/>
        </w:rPr>
        <w:t>2070113</w:t>
      </w:r>
      <w:r>
        <w:rPr>
          <w:rStyle w:val="34"/>
          <w:rFonts w:hint="eastAsia" w:ascii="仿宋_GB2312" w:eastAsia="仿宋_GB2312"/>
          <w:b w:val="0"/>
          <w:bCs/>
          <w:sz w:val="32"/>
          <w:szCs w:val="32"/>
        </w:rPr>
        <w:t>：反映在境内外开展各类旅游宣传促销活动的支出。</w:t>
      </w:r>
    </w:p>
    <w:p>
      <w:pPr>
        <w:pStyle w:val="195"/>
        <w:spacing w:line="560" w:lineRule="exact"/>
        <w:ind w:firstLine="640"/>
        <w:rPr>
          <w:rFonts w:ascii="仿宋_GB2312" w:hAnsi="Times New Roman" w:eastAsia="仿宋_GB2312" w:cs="Times New Roman"/>
          <w:sz w:val="32"/>
          <w:szCs w:val="32"/>
        </w:rPr>
      </w:pPr>
      <w:r>
        <w:rPr>
          <w:rStyle w:val="34"/>
          <w:rFonts w:ascii="仿宋_GB2312" w:eastAsia="仿宋_GB2312"/>
          <w:b w:val="0"/>
          <w:bCs/>
          <w:sz w:val="32"/>
          <w:szCs w:val="32"/>
        </w:rPr>
        <w:t>1</w:t>
      </w:r>
      <w:r>
        <w:rPr>
          <w:rStyle w:val="34"/>
          <w:rFonts w:hint="eastAsia" w:ascii="仿宋_GB2312" w:eastAsia="仿宋_GB2312"/>
          <w:b w:val="0"/>
          <w:bCs/>
          <w:sz w:val="32"/>
          <w:szCs w:val="32"/>
          <w:lang w:val="en-US" w:eastAsia="zh-CN"/>
        </w:rPr>
        <w:t>1</w:t>
      </w:r>
      <w:r>
        <w:rPr>
          <w:rStyle w:val="34"/>
          <w:rFonts w:ascii="仿宋_GB2312" w:eastAsia="仿宋_GB2312"/>
          <w:b w:val="0"/>
          <w:bCs/>
          <w:sz w:val="32"/>
          <w:szCs w:val="32"/>
        </w:rPr>
        <w:t>.</w:t>
      </w:r>
      <w:r>
        <w:rPr>
          <w:rStyle w:val="34"/>
          <w:rFonts w:hint="eastAsia" w:ascii="仿宋_GB2312" w:eastAsia="仿宋_GB2312"/>
          <w:b w:val="0"/>
          <w:bCs/>
          <w:sz w:val="32"/>
          <w:szCs w:val="32"/>
        </w:rPr>
        <w:t>文化和旅游管理事务</w:t>
      </w:r>
      <w:r>
        <w:rPr>
          <w:rStyle w:val="34"/>
          <w:rFonts w:ascii="仿宋_GB2312" w:eastAsia="仿宋_GB2312"/>
          <w:b w:val="0"/>
          <w:bCs/>
          <w:sz w:val="32"/>
          <w:szCs w:val="32"/>
        </w:rPr>
        <w:t>2070114</w:t>
      </w:r>
      <w:r>
        <w:rPr>
          <w:rStyle w:val="34"/>
          <w:rFonts w:hint="eastAsia" w:ascii="仿宋_GB2312" w:eastAsia="仿宋_GB2312"/>
          <w:b w:val="0"/>
          <w:bCs/>
          <w:sz w:val="32"/>
          <w:szCs w:val="32"/>
        </w:rPr>
        <w:t>：反映文化和旅游管理事务支出。</w:t>
      </w:r>
    </w:p>
    <w:p>
      <w:pPr>
        <w:pStyle w:val="195"/>
        <w:spacing w:line="560" w:lineRule="exact"/>
        <w:ind w:firstLine="64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2</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其他文化支出</w:t>
      </w:r>
      <w:r>
        <w:rPr>
          <w:rFonts w:ascii="仿宋_GB2312" w:hAnsi="Times New Roman" w:eastAsia="仿宋_GB2312" w:cs="Times New Roman"/>
          <w:sz w:val="32"/>
          <w:szCs w:val="32"/>
        </w:rPr>
        <w:t>2070199</w:t>
      </w:r>
      <w:r>
        <w:rPr>
          <w:rFonts w:hint="eastAsia" w:ascii="仿宋_GB2312" w:hAnsi="Times New Roman" w:eastAsia="仿宋_GB2312" w:cs="Times New Roman"/>
          <w:sz w:val="32"/>
          <w:szCs w:val="32"/>
        </w:rPr>
        <w:t>：指用于其他文化方面的支出。</w:t>
      </w:r>
    </w:p>
    <w:p>
      <w:pPr>
        <w:pStyle w:val="195"/>
        <w:spacing w:line="560" w:lineRule="exact"/>
        <w:ind w:firstLine="64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3</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文物保护</w:t>
      </w:r>
      <w:r>
        <w:rPr>
          <w:rFonts w:ascii="仿宋_GB2312" w:hAnsi="Times New Roman" w:eastAsia="仿宋_GB2312" w:cs="Times New Roman"/>
          <w:sz w:val="32"/>
          <w:szCs w:val="32"/>
        </w:rPr>
        <w:t>2070204</w:t>
      </w:r>
      <w:r>
        <w:rPr>
          <w:rFonts w:hint="eastAsia" w:ascii="仿宋_GB2312" w:hAnsi="Times New Roman" w:eastAsia="仿宋_GB2312" w:cs="Times New Roman"/>
          <w:sz w:val="32"/>
          <w:szCs w:val="32"/>
        </w:rPr>
        <w:t>：反映考古发掘及文物保护方面的支出。</w:t>
      </w:r>
    </w:p>
    <w:p>
      <w:pPr>
        <w:pStyle w:val="195"/>
        <w:spacing w:line="560" w:lineRule="exact"/>
        <w:ind w:firstLine="64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4</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体育竞赛</w:t>
      </w:r>
      <w:r>
        <w:rPr>
          <w:rFonts w:ascii="仿宋_GB2312" w:hAnsi="Times New Roman" w:eastAsia="仿宋_GB2312" w:cs="Times New Roman"/>
          <w:sz w:val="32"/>
          <w:szCs w:val="32"/>
        </w:rPr>
        <w:t>2070305</w:t>
      </w:r>
      <w:r>
        <w:rPr>
          <w:rFonts w:hint="eastAsia" w:ascii="仿宋_GB2312" w:hAnsi="Times New Roman" w:eastAsia="仿宋_GB2312" w:cs="Times New Roman"/>
          <w:sz w:val="32"/>
          <w:szCs w:val="32"/>
        </w:rPr>
        <w:t>：反映综合性运动会及单项体育比赛支出。</w:t>
      </w:r>
    </w:p>
    <w:p>
      <w:pPr>
        <w:pStyle w:val="195"/>
        <w:spacing w:line="560" w:lineRule="exact"/>
        <w:ind w:firstLine="64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5</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电影</w:t>
      </w:r>
      <w:r>
        <w:rPr>
          <w:rFonts w:ascii="仿宋_GB2312" w:hAnsi="Times New Roman" w:eastAsia="仿宋_GB2312" w:cs="Times New Roman"/>
          <w:sz w:val="32"/>
          <w:szCs w:val="32"/>
        </w:rPr>
        <w:t>2070607</w:t>
      </w:r>
      <w:r>
        <w:rPr>
          <w:rFonts w:hint="eastAsia" w:ascii="仿宋_GB2312" w:hAnsi="Times New Roman" w:eastAsia="仿宋_GB2312" w:cs="Times New Roman"/>
          <w:sz w:val="32"/>
          <w:szCs w:val="32"/>
        </w:rPr>
        <w:t>：反映电影制片、发行、放映等方面的支出。</w:t>
      </w:r>
    </w:p>
    <w:p>
      <w:pPr>
        <w:ind w:firstLine="64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其他新闻出版</w:t>
      </w:r>
      <w:r>
        <w:rPr>
          <w:rStyle w:val="34"/>
          <w:rFonts w:hint="eastAsia" w:ascii="仿宋_GB2312" w:eastAsia="仿宋_GB2312"/>
          <w:b w:val="0"/>
          <w:bCs/>
          <w:color w:val="000000"/>
          <w:sz w:val="32"/>
          <w:szCs w:val="32"/>
        </w:rPr>
        <w:t>电影</w:t>
      </w:r>
      <w:r>
        <w:rPr>
          <w:rStyle w:val="34"/>
          <w:rFonts w:ascii="仿宋_GB2312" w:eastAsia="仿宋_GB2312"/>
          <w:b w:val="0"/>
          <w:bCs/>
          <w:color w:val="000000"/>
          <w:sz w:val="32"/>
          <w:szCs w:val="32"/>
        </w:rPr>
        <w:t>2070699</w:t>
      </w:r>
      <w:r>
        <w:rPr>
          <w:rStyle w:val="34"/>
          <w:rFonts w:hint="eastAsia" w:ascii="仿宋_GB2312" w:eastAsia="仿宋_GB2312"/>
          <w:b w:val="0"/>
          <w:bCs/>
          <w:color w:val="000000"/>
          <w:sz w:val="32"/>
          <w:szCs w:val="32"/>
        </w:rPr>
        <w:t>：反映其他用于新闻出版电影方面的支出。</w:t>
      </w:r>
    </w:p>
    <w:p>
      <w:pPr>
        <w:ind w:firstLine="64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7</w:t>
      </w:r>
      <w:r>
        <w:rPr>
          <w:rFonts w:ascii="仿宋_GB2312" w:eastAsia="仿宋_GB2312"/>
          <w:color w:val="000000"/>
          <w:sz w:val="32"/>
          <w:szCs w:val="32"/>
        </w:rPr>
        <w:t xml:space="preserve">. </w:t>
      </w:r>
      <w:r>
        <w:rPr>
          <w:rFonts w:hint="eastAsia" w:ascii="仿宋_GB2312" w:eastAsia="仿宋_GB2312"/>
          <w:color w:val="000000"/>
          <w:sz w:val="32"/>
          <w:szCs w:val="32"/>
        </w:rPr>
        <w:t>其他广播电视支出</w:t>
      </w:r>
      <w:r>
        <w:rPr>
          <w:rFonts w:ascii="仿宋_GB2312" w:eastAsia="仿宋_GB2312"/>
          <w:color w:val="000000"/>
          <w:sz w:val="32"/>
          <w:szCs w:val="32"/>
        </w:rPr>
        <w:t>2070899</w:t>
      </w:r>
      <w:r>
        <w:rPr>
          <w:rFonts w:hint="eastAsia" w:ascii="仿宋_GB2312" w:eastAsia="仿宋_GB2312"/>
          <w:color w:val="000000"/>
          <w:sz w:val="32"/>
          <w:szCs w:val="32"/>
        </w:rPr>
        <w:t>：反映其他用于广播电视方面的支出。</w:t>
      </w:r>
    </w:p>
    <w:p>
      <w:pPr>
        <w:ind w:firstLine="48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其他文化体育与传媒支出</w:t>
      </w:r>
      <w:r>
        <w:rPr>
          <w:rFonts w:ascii="仿宋_GB2312" w:eastAsia="仿宋_GB2312"/>
          <w:color w:val="000000"/>
          <w:sz w:val="32"/>
          <w:szCs w:val="32"/>
        </w:rPr>
        <w:t>2079999</w:t>
      </w:r>
      <w:r>
        <w:rPr>
          <w:rFonts w:hint="eastAsia" w:ascii="仿宋_GB2312" w:eastAsia="仿宋_GB2312"/>
          <w:color w:val="000000"/>
          <w:sz w:val="32"/>
          <w:szCs w:val="32"/>
        </w:rPr>
        <w:t>：指其他用于文化体育与传媒支出的支出。</w:t>
      </w:r>
    </w:p>
    <w:p>
      <w:pPr>
        <w:ind w:firstLine="320"/>
        <w:rPr>
          <w:rFonts w:ascii="仿宋_GB2312" w:eastAsia="仿宋_GB2312"/>
          <w:color w:val="000000"/>
          <w:sz w:val="32"/>
          <w:szCs w:val="32"/>
        </w:rPr>
      </w:pPr>
      <w:r>
        <w:rPr>
          <w:rFonts w:ascii="仿宋_GB2312" w:eastAsia="仿宋_GB2312"/>
          <w:sz w:val="32"/>
          <w:szCs w:val="32"/>
        </w:rPr>
        <w:t xml:space="preserve"> 1</w:t>
      </w: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归口管理的行政单位离退休</w:t>
      </w:r>
      <w:r>
        <w:rPr>
          <w:rFonts w:ascii="仿宋_GB2312" w:eastAsia="仿宋_GB2312"/>
          <w:sz w:val="32"/>
          <w:szCs w:val="32"/>
        </w:rPr>
        <w:t>2080501</w:t>
      </w:r>
      <w:r>
        <w:rPr>
          <w:rFonts w:hint="eastAsia" w:ascii="仿宋_GB2312" w:eastAsia="仿宋_GB2312"/>
          <w:sz w:val="32"/>
          <w:szCs w:val="32"/>
        </w:rPr>
        <w:t>：</w:t>
      </w:r>
      <w:r>
        <w:rPr>
          <w:rFonts w:hint="eastAsia" w:ascii="仿宋_GB2312" w:eastAsia="仿宋_GB2312"/>
          <w:color w:val="000000"/>
          <w:sz w:val="32"/>
          <w:szCs w:val="32"/>
        </w:rPr>
        <w:t>指反映行政单位（包括实行公务员管理的事业单位）开支的离退休经费。</w:t>
      </w:r>
    </w:p>
    <w:p>
      <w:pPr>
        <w:ind w:firstLine="480"/>
        <w:rPr>
          <w:rFonts w:ascii="仿宋_GB2312" w:eastAsia="仿宋_GB2312"/>
          <w:color w:val="000000"/>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事业单位离退休</w:t>
      </w:r>
      <w:r>
        <w:rPr>
          <w:rFonts w:ascii="仿宋_GB2312" w:eastAsia="仿宋_GB2312"/>
          <w:sz w:val="32"/>
          <w:szCs w:val="32"/>
        </w:rPr>
        <w:t>2080502</w:t>
      </w:r>
      <w:r>
        <w:rPr>
          <w:rFonts w:hint="eastAsia" w:ascii="仿宋_GB2312" w:eastAsia="仿宋_GB2312"/>
          <w:sz w:val="32"/>
          <w:szCs w:val="32"/>
        </w:rPr>
        <w:t>：</w:t>
      </w:r>
      <w:r>
        <w:rPr>
          <w:rFonts w:hint="eastAsia" w:ascii="仿宋_GB2312" w:eastAsia="仿宋_GB2312"/>
          <w:color w:val="000000"/>
          <w:sz w:val="32"/>
          <w:szCs w:val="32"/>
        </w:rPr>
        <w:t>指反映事业单位开支的离退休经费。</w:t>
      </w:r>
    </w:p>
    <w:p>
      <w:pPr>
        <w:ind w:firstLine="48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机关事业单位基本养老保险缴费支出</w:t>
      </w:r>
      <w:r>
        <w:rPr>
          <w:rFonts w:ascii="仿宋_GB2312" w:eastAsia="仿宋_GB2312"/>
          <w:color w:val="000000"/>
          <w:sz w:val="32"/>
          <w:szCs w:val="32"/>
        </w:rPr>
        <w:t>2080505</w:t>
      </w:r>
      <w:r>
        <w:rPr>
          <w:rFonts w:hint="eastAsia" w:ascii="仿宋_GB2312" w:eastAsia="仿宋_GB2312"/>
          <w:color w:val="000000"/>
          <w:sz w:val="32"/>
          <w:szCs w:val="32"/>
        </w:rPr>
        <w:t>：指反映机关事业单位实施养老保险制度由单位缴纳的基本养老保险费支出。</w:t>
      </w:r>
    </w:p>
    <w:p>
      <w:pPr>
        <w:pStyle w:val="14"/>
        <w:ind w:firstLine="48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机关事业单位职业年金缴费支出</w:t>
      </w:r>
      <w:r>
        <w:rPr>
          <w:rFonts w:ascii="仿宋_GB2312" w:eastAsia="仿宋_GB2312"/>
          <w:color w:val="000000"/>
          <w:sz w:val="32"/>
          <w:szCs w:val="32"/>
        </w:rPr>
        <w:t>2080506</w:t>
      </w:r>
      <w:r>
        <w:rPr>
          <w:rFonts w:hint="eastAsia" w:ascii="仿宋_GB2312" w:eastAsia="仿宋_GB2312"/>
          <w:color w:val="000000"/>
          <w:sz w:val="32"/>
          <w:szCs w:val="32"/>
        </w:rPr>
        <w:t>：反映机关事业单位实施养老保险制度由单位实际缴纳的职业年金支出。</w:t>
      </w:r>
    </w:p>
    <w:p>
      <w:pPr>
        <w:ind w:firstLine="64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死亡抚恤</w:t>
      </w:r>
      <w:r>
        <w:rPr>
          <w:rFonts w:ascii="仿宋_GB2312" w:eastAsia="仿宋_GB2312"/>
          <w:color w:val="000000"/>
          <w:sz w:val="32"/>
          <w:szCs w:val="32"/>
        </w:rPr>
        <w:t>2080801</w:t>
      </w:r>
      <w:r>
        <w:rPr>
          <w:rFonts w:hint="eastAsia" w:ascii="仿宋_GB2312" w:eastAsia="仿宋_GB2312"/>
          <w:color w:val="000000"/>
          <w:sz w:val="32"/>
          <w:szCs w:val="32"/>
        </w:rPr>
        <w:t>：反映按规定用于烈士和牺牲、病故人员家属的一次性和定期抚恤金以及丧葬补助费。</w:t>
      </w:r>
    </w:p>
    <w:p>
      <w:pPr>
        <w:pStyle w:val="14"/>
        <w:ind w:firstLine="48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行政单位医疗</w:t>
      </w:r>
      <w:r>
        <w:rPr>
          <w:rFonts w:ascii="仿宋_GB2312" w:eastAsia="仿宋_GB2312"/>
          <w:color w:val="000000"/>
          <w:sz w:val="32"/>
          <w:szCs w:val="32"/>
        </w:rPr>
        <w:t>201101</w:t>
      </w:r>
      <w:r>
        <w:rPr>
          <w:rFonts w:hint="eastAsia" w:ascii="仿宋_GB2312" w:eastAsia="仿宋_GB2312"/>
          <w:color w:val="000000"/>
          <w:sz w:val="32"/>
          <w:szCs w:val="32"/>
        </w:rPr>
        <w:t>：反映财政部门安排的行政单位（包括实行公务员管理的事业单位）基本医疗保险缴费经费。</w:t>
      </w:r>
    </w:p>
    <w:p>
      <w:pPr>
        <w:pStyle w:val="14"/>
        <w:ind w:firstLine="480"/>
        <w:rPr>
          <w:rFonts w:ascii="仿宋_GB2312" w:eastAsia="仿宋_GB2312"/>
          <w:color w:val="000000"/>
          <w:sz w:val="32"/>
          <w:szCs w:val="32"/>
        </w:rPr>
      </w:pPr>
      <w:r>
        <w:rPr>
          <w:rFonts w:ascii="仿宋_GB2312" w:eastAsia="仿宋_GB2312"/>
          <w:sz w:val="32"/>
          <w:szCs w:val="32"/>
        </w:rPr>
        <w:t>2</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事业单位医疗</w:t>
      </w:r>
      <w:r>
        <w:rPr>
          <w:rFonts w:ascii="仿宋_GB2312" w:eastAsia="仿宋_GB2312"/>
          <w:sz w:val="32"/>
          <w:szCs w:val="32"/>
        </w:rPr>
        <w:t>2101102</w:t>
      </w:r>
      <w:r>
        <w:rPr>
          <w:rFonts w:hint="eastAsia" w:ascii="仿宋_GB2312" w:eastAsia="仿宋_GB2312"/>
          <w:sz w:val="32"/>
          <w:szCs w:val="32"/>
        </w:rPr>
        <w:t>：</w:t>
      </w:r>
      <w:r>
        <w:rPr>
          <w:rFonts w:hint="eastAsia" w:ascii="仿宋_GB2312" w:eastAsia="仿宋_GB2312"/>
          <w:color w:val="000000"/>
          <w:sz w:val="32"/>
          <w:szCs w:val="32"/>
        </w:rPr>
        <w:t>反映财政部门安排的事业单位基本医疗保险缴费经费。</w:t>
      </w:r>
    </w:p>
    <w:p>
      <w:pPr>
        <w:rPr>
          <w:rFonts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公务员医疗补助</w:t>
      </w:r>
      <w:r>
        <w:rPr>
          <w:rFonts w:ascii="仿宋_GB2312" w:eastAsia="仿宋_GB2312"/>
          <w:sz w:val="32"/>
          <w:szCs w:val="32"/>
        </w:rPr>
        <w:t>2101103</w:t>
      </w:r>
      <w:r>
        <w:rPr>
          <w:rFonts w:hint="eastAsia" w:ascii="仿宋_GB2312" w:eastAsia="仿宋_GB2312"/>
          <w:sz w:val="32"/>
          <w:szCs w:val="32"/>
        </w:rPr>
        <w:t>：反映财政部门安排的公务员医疗补助经费。</w:t>
      </w:r>
    </w:p>
    <w:p>
      <w:pPr>
        <w:ind w:firstLine="480"/>
        <w:rPr>
          <w:rStyle w:val="34"/>
          <w:rFonts w:ascii="仿宋_GB2312" w:eastAsia="仿宋_GB2312"/>
          <w:b w:val="0"/>
          <w:bCs/>
          <w:color w:val="000000"/>
          <w:sz w:val="32"/>
          <w:szCs w:val="32"/>
        </w:rPr>
      </w:pPr>
      <w:r>
        <w:rPr>
          <w:rStyle w:val="34"/>
          <w:rFonts w:ascii="仿宋_GB2312" w:eastAsia="仿宋_GB2312"/>
          <w:b w:val="0"/>
          <w:bCs/>
          <w:color w:val="000000"/>
          <w:sz w:val="32"/>
          <w:szCs w:val="32"/>
        </w:rPr>
        <w:t>2</w:t>
      </w:r>
      <w:r>
        <w:rPr>
          <w:rStyle w:val="34"/>
          <w:rFonts w:hint="eastAsia" w:ascii="仿宋_GB2312" w:eastAsia="仿宋_GB2312"/>
          <w:b w:val="0"/>
          <w:bCs/>
          <w:color w:val="000000"/>
          <w:sz w:val="32"/>
          <w:szCs w:val="32"/>
          <w:lang w:val="en-US" w:eastAsia="zh-CN"/>
        </w:rPr>
        <w:t>7</w:t>
      </w:r>
      <w:r>
        <w:rPr>
          <w:rStyle w:val="34"/>
          <w:rFonts w:ascii="仿宋_GB2312" w:eastAsia="仿宋_GB2312"/>
          <w:b w:val="0"/>
          <w:bCs/>
          <w:color w:val="000000"/>
          <w:sz w:val="32"/>
          <w:szCs w:val="32"/>
        </w:rPr>
        <w:t>.</w:t>
      </w:r>
      <w:r>
        <w:rPr>
          <w:rStyle w:val="34"/>
          <w:rFonts w:hint="eastAsia" w:ascii="仿宋_GB2312" w:eastAsia="仿宋_GB2312"/>
          <w:b w:val="0"/>
          <w:bCs/>
          <w:color w:val="000000"/>
          <w:sz w:val="32"/>
          <w:szCs w:val="32"/>
        </w:rPr>
        <w:t>农村基层设施建设支出</w:t>
      </w:r>
      <w:r>
        <w:rPr>
          <w:rStyle w:val="34"/>
          <w:rFonts w:ascii="仿宋_GB2312" w:eastAsia="仿宋_GB2312"/>
          <w:b w:val="0"/>
          <w:bCs/>
          <w:color w:val="000000"/>
          <w:sz w:val="32"/>
          <w:szCs w:val="32"/>
        </w:rPr>
        <w:t>2120804</w:t>
      </w:r>
      <w:r>
        <w:rPr>
          <w:rStyle w:val="34"/>
          <w:rFonts w:hint="eastAsia" w:ascii="仿宋_GB2312" w:eastAsia="仿宋_GB2312"/>
          <w:b w:val="0"/>
          <w:bCs/>
          <w:color w:val="000000"/>
          <w:sz w:val="32"/>
          <w:szCs w:val="32"/>
        </w:rPr>
        <w:t>：指反映土地出让收入用于农村饮水、环境、卫生、教育、以及文化等基础设施建设支出。</w:t>
      </w:r>
    </w:p>
    <w:p>
      <w:pPr>
        <w:pStyle w:val="14"/>
        <w:rPr>
          <w:rFonts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其他农林水支出</w:t>
      </w:r>
      <w:r>
        <w:rPr>
          <w:rFonts w:ascii="仿宋_GB2312" w:eastAsia="仿宋_GB2312"/>
          <w:sz w:val="32"/>
          <w:szCs w:val="32"/>
        </w:rPr>
        <w:t>2139999</w:t>
      </w:r>
      <w:r>
        <w:rPr>
          <w:rFonts w:hint="eastAsia" w:ascii="仿宋_GB2312" w:eastAsia="仿宋_GB2312"/>
          <w:sz w:val="32"/>
          <w:szCs w:val="32"/>
        </w:rPr>
        <w:t>：反映除化解债务支出以外其他用于农林水方面的支出。</w:t>
      </w:r>
    </w:p>
    <w:p>
      <w:pPr>
        <w:ind w:firstLine="48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住房公积金</w:t>
      </w:r>
      <w:r>
        <w:rPr>
          <w:rFonts w:ascii="仿宋_GB2312" w:eastAsia="仿宋_GB2312"/>
          <w:color w:val="000000"/>
          <w:sz w:val="32"/>
          <w:szCs w:val="32"/>
        </w:rPr>
        <w:t>2210201</w:t>
      </w:r>
      <w:r>
        <w:rPr>
          <w:rFonts w:hint="eastAsia" w:ascii="仿宋_GB2312" w:eastAsia="仿宋_GB2312"/>
          <w:color w:val="000000"/>
          <w:sz w:val="32"/>
          <w:szCs w:val="32"/>
        </w:rPr>
        <w:t>：指反映行政事业单位按照规定的比例为职工缴纳的住房公积金。</w:t>
      </w:r>
    </w:p>
    <w:p>
      <w:pPr>
        <w:pStyle w:val="14"/>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30</w:t>
      </w:r>
      <w:r>
        <w:rPr>
          <w:rFonts w:ascii="仿宋_GB2312" w:eastAsia="仿宋_GB2312"/>
          <w:sz w:val="32"/>
          <w:szCs w:val="32"/>
        </w:rPr>
        <w:t>.</w:t>
      </w:r>
      <w:r>
        <w:rPr>
          <w:rFonts w:hint="eastAsia" w:ascii="仿宋_GB2312" w:eastAsia="仿宋_GB2312"/>
          <w:sz w:val="32"/>
          <w:szCs w:val="32"/>
        </w:rPr>
        <w:t>其他支出</w:t>
      </w:r>
      <w:r>
        <w:rPr>
          <w:rFonts w:ascii="仿宋_GB2312" w:eastAsia="仿宋_GB2312"/>
          <w:sz w:val="32"/>
          <w:szCs w:val="32"/>
        </w:rPr>
        <w:t>2299999:</w:t>
      </w:r>
      <w:r>
        <w:rPr>
          <w:rFonts w:hint="eastAsia" w:ascii="仿宋_GB2312" w:eastAsia="仿宋_GB2312"/>
          <w:sz w:val="32"/>
          <w:szCs w:val="32"/>
        </w:rPr>
        <w:t>反映除上述项目以外其他不能划分到具体功能科目中的支出项目。</w:t>
      </w:r>
    </w:p>
    <w:p>
      <w:pPr>
        <w:ind w:firstLine="48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年末结转和结余：指本年度或以前年度预算安排、因客观条件发生变化无法按原计划实施，需延迟到以后年度按有关规定继续使用的资金。</w:t>
      </w:r>
    </w:p>
    <w:p>
      <w:pPr>
        <w:ind w:firstLine="48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48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pStyle w:val="195"/>
        <w:spacing w:line="560" w:lineRule="exact"/>
        <w:ind w:firstLine="480"/>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lang w:val="en-US" w:eastAsia="zh-CN"/>
        </w:rPr>
        <w:t>4</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三公”经费：纳入省级财政预决算管理的“三公”经费，公务用车购置及运行费和公务接待费。其中公务用车购置及运行费反映单位公务用车车辆购置支出含租用费、燃料费、维修费、过路过桥费、保险费、安全奖励费用等支出；公务接待费反映单位按规定开支的各类公务接待支出。</w:t>
      </w:r>
    </w:p>
    <w:p>
      <w:pPr>
        <w:pStyle w:val="195"/>
        <w:spacing w:line="560" w:lineRule="exact"/>
        <w:ind w:firstLine="480"/>
        <w:rPr>
          <w:rFonts w:ascii="??_GB2312" w:hAnsi="Times New Roman" w:eastAsia="Times New Roman"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lang w:val="en-US" w:eastAsia="zh-CN"/>
        </w:rPr>
        <w:t>5</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机关运行经费：为保障单位运行用于购买货物和服务的各项资金，包括办公及印刷费、邮电费、差旅费、会议费、福利费、日常维修费、专用材料及一般设备购置费、办公用房水电费、办公用房物业管理费、公务用车运行维护费。</w:t>
      </w:r>
    </w:p>
    <w:p>
      <w:pPr>
        <w:rPr>
          <w:rFonts w:ascii="??_GB2312"/>
          <w:color w:val="000000"/>
          <w:sz w:val="32"/>
          <w:szCs w:val="32"/>
        </w:rPr>
      </w:pPr>
    </w:p>
    <w:p>
      <w:pPr>
        <w:spacing w:line="580" w:lineRule="exact"/>
        <w:rPr>
          <w:rFonts w:ascii="黑体" w:hAnsi="黑体" w:eastAsia="黑体" w:cs="黑体"/>
          <w:sz w:val="32"/>
          <w:szCs w:val="32"/>
        </w:rPr>
      </w:pPr>
    </w:p>
    <w:p>
      <w:pPr>
        <w:numPr>
          <w:ilvl w:val="0"/>
          <w:numId w:val="4"/>
        </w:numPr>
        <w:spacing w:line="600" w:lineRule="exact"/>
        <w:ind w:firstLine="660"/>
        <w:jc w:val="center"/>
        <w:outlineLvl w:val="0"/>
        <w:rPr>
          <w:rFonts w:ascii="黑体" w:hAnsi="黑体" w:eastAsia="黑体"/>
          <w:bCs/>
          <w:sz w:val="44"/>
          <w:szCs w:val="44"/>
        </w:rPr>
      </w:pPr>
      <w:r>
        <w:rPr>
          <w:rFonts w:hint="eastAsia" w:ascii="黑体" w:hAnsi="黑体" w:eastAsia="黑体"/>
          <w:color w:val="000000"/>
          <w:sz w:val="44"/>
          <w:szCs w:val="44"/>
        </w:rPr>
        <w:t>附件</w:t>
      </w:r>
    </w:p>
    <w:p>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eastAsia="方正小标宋_GBK"/>
          <w:sz w:val="44"/>
          <w:szCs w:val="44"/>
        </w:rPr>
      </w:pPr>
      <w:r>
        <w:rPr>
          <w:rFonts w:hint="eastAsia" w:eastAsia="方正小标宋_GBK"/>
          <w:sz w:val="44"/>
          <w:szCs w:val="44"/>
        </w:rPr>
        <w:t>盐边县文化广播电视和旅游局</w:t>
      </w:r>
    </w:p>
    <w:p>
      <w:pPr>
        <w:jc w:val="center"/>
        <w:rPr>
          <w:rFonts w:eastAsia="方正小标宋_GBK"/>
          <w:sz w:val="44"/>
          <w:szCs w:val="44"/>
        </w:rPr>
      </w:pPr>
      <w:r>
        <w:rPr>
          <w:rFonts w:eastAsia="方正小标宋_GBK"/>
          <w:sz w:val="44"/>
          <w:szCs w:val="44"/>
        </w:rPr>
        <w:t>2021</w:t>
      </w:r>
      <w:r>
        <w:rPr>
          <w:rFonts w:hint="eastAsia" w:eastAsia="方正小标宋_GBK"/>
          <w:sz w:val="44"/>
          <w:szCs w:val="44"/>
        </w:rPr>
        <w:t>年度部门整体绩效评价报告</w:t>
      </w:r>
    </w:p>
    <w:p>
      <w:pPr>
        <w:spacing w:line="560" w:lineRule="exact"/>
        <w:ind w:firstLine="640"/>
        <w:jc w:val="left"/>
        <w:rPr>
          <w:rFonts w:eastAsia="黑体"/>
          <w:sz w:val="32"/>
          <w:szCs w:val="32"/>
        </w:rPr>
      </w:pPr>
      <w:r>
        <w:rPr>
          <w:rFonts w:hint="eastAsia" w:eastAsia="黑体"/>
          <w:sz w:val="32"/>
          <w:szCs w:val="32"/>
        </w:rPr>
        <w:t>一、部门概况</w:t>
      </w:r>
    </w:p>
    <w:p>
      <w:pPr>
        <w:widowControl/>
        <w:spacing w:line="590" w:lineRule="exact"/>
        <w:ind w:firstLine="643"/>
        <w:jc w:val="left"/>
        <w:rPr>
          <w:rFonts w:ascii="仿宋_GB2312" w:hAnsi="宋体" w:eastAsia="仿宋_GB2312"/>
          <w:b/>
          <w:color w:val="000000"/>
          <w:sz w:val="32"/>
          <w:szCs w:val="32"/>
        </w:rPr>
      </w:pPr>
      <w:r>
        <w:rPr>
          <w:rFonts w:hint="eastAsia" w:ascii="仿宋_GB2312" w:hAnsi="宋体" w:eastAsia="仿宋_GB2312" w:cs="??_GB2312"/>
          <w:b/>
          <w:color w:val="000000"/>
          <w:sz w:val="32"/>
          <w:szCs w:val="32"/>
          <w:shd w:val="clear" w:color="auto" w:fill="FFFFFF"/>
          <w:lang w:val="zh-CN"/>
        </w:rPr>
        <w:t>（一）机构组成</w:t>
      </w:r>
    </w:p>
    <w:p>
      <w:pPr>
        <w:pStyle w:val="2"/>
        <w:spacing w:before="93" w:line="600" w:lineRule="exact"/>
        <w:ind w:firstLine="480"/>
        <w:rPr>
          <w:color w:val="000000"/>
        </w:rPr>
      </w:pPr>
      <w:r>
        <w:rPr>
          <w:rFonts w:hint="eastAsia"/>
          <w:color w:val="000000"/>
          <w:sz w:val="32"/>
          <w:szCs w:val="32"/>
        </w:rPr>
        <w:t>文广旅局下属二级单位</w:t>
      </w:r>
      <w:r>
        <w:rPr>
          <w:color w:val="000000"/>
          <w:sz w:val="32"/>
          <w:szCs w:val="32"/>
        </w:rPr>
        <w:t>2</w:t>
      </w:r>
      <w:r>
        <w:rPr>
          <w:rFonts w:hint="eastAsia"/>
          <w:color w:val="000000"/>
          <w:sz w:val="32"/>
          <w:szCs w:val="32"/>
        </w:rPr>
        <w:t>个，其他事业单位</w:t>
      </w:r>
      <w:r>
        <w:rPr>
          <w:color w:val="000000"/>
          <w:sz w:val="32"/>
          <w:szCs w:val="32"/>
        </w:rPr>
        <w:t>2</w:t>
      </w:r>
      <w:r>
        <w:rPr>
          <w:rFonts w:hint="eastAsia"/>
          <w:color w:val="000000"/>
          <w:sz w:val="32"/>
          <w:szCs w:val="32"/>
        </w:rPr>
        <w:t>个。盐边县文化广播电视和旅游局属于县政府工作部门，为正科级。下设县文化馆、县文化市场综合执法大队</w:t>
      </w:r>
      <w:r>
        <w:rPr>
          <w:color w:val="000000"/>
          <w:sz w:val="32"/>
          <w:szCs w:val="32"/>
        </w:rPr>
        <w:t>2</w:t>
      </w:r>
      <w:r>
        <w:rPr>
          <w:rFonts w:hint="eastAsia"/>
          <w:color w:val="000000"/>
          <w:sz w:val="32"/>
          <w:szCs w:val="32"/>
        </w:rPr>
        <w:t>个事业单位，其中文化馆为财政独立核算。县文广旅局与攀西大裂谷</w:t>
      </w:r>
      <w:r>
        <w:rPr>
          <w:rFonts w:hint="eastAsia" w:hAnsi="仿宋"/>
          <w:color w:val="000000"/>
          <w:sz w:val="32"/>
          <w:szCs w:val="32"/>
        </w:rPr>
        <w:t>格萨拉生态旅游区管理委员会</w:t>
      </w:r>
      <w:r>
        <w:rPr>
          <w:rFonts w:hint="eastAsia"/>
          <w:color w:val="000000"/>
          <w:sz w:val="32"/>
          <w:szCs w:val="32"/>
        </w:rPr>
        <w:t>、盐边县文化和旅游公共服务中心合署办公。</w:t>
      </w:r>
    </w:p>
    <w:p>
      <w:pPr>
        <w:widowControl/>
        <w:spacing w:line="580" w:lineRule="exact"/>
        <w:ind w:firstLine="643"/>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（二）机构职能。</w:t>
      </w:r>
    </w:p>
    <w:p>
      <w:pPr>
        <w:widowControl/>
        <w:spacing w:line="590" w:lineRule="exact"/>
        <w:ind w:firstLine="640"/>
        <w:rPr>
          <w:rFonts w:ascii="仿宋_GB2312" w:hAnsi="宋体" w:eastAsia="仿宋_GB2312"/>
          <w:color w:val="000000"/>
          <w:sz w:val="32"/>
          <w:szCs w:val="32"/>
        </w:rPr>
      </w:pPr>
      <w:r>
        <w:rPr>
          <w:rFonts w:hint="eastAsia" w:ascii="仿宋_GB2312" w:eastAsia="仿宋_GB2312"/>
          <w:color w:val="000000"/>
          <w:sz w:val="32"/>
          <w:szCs w:val="32"/>
        </w:rPr>
        <w:t>组织推动全县文化、广播电视和旅游业发展，拟定发展规划并组织实施，推进文化广播电视和旅游体制机制改革，推进文化广播电视和旅游融合发展；指导、管理全县文化、广播电视和旅游发展领域的公共服务体系建设；组织、指导、管理全县文化、广播电视和旅游基础设施重大工程设施建设，组织全县文化广播电视和旅游宣传推广，促进文化广播电视和旅游产业对外合作与市场推广，制定旅游市场开发战略并组织实施，推进全域旅游；</w:t>
      </w:r>
      <w:r>
        <w:rPr>
          <w:rFonts w:hint="eastAsia" w:ascii="仿宋_GB2312" w:hAnsi="宋体" w:eastAsia="仿宋_GB2312"/>
          <w:color w:val="000000"/>
          <w:sz w:val="32"/>
          <w:szCs w:val="32"/>
        </w:rPr>
        <w:t>指导、管理县级公共文化设施；</w:t>
      </w:r>
      <w:r>
        <w:rPr>
          <w:rFonts w:hint="eastAsia" w:ascii="仿宋_GB2312" w:eastAsia="仿宋_GB2312"/>
          <w:color w:val="000000"/>
          <w:sz w:val="32"/>
          <w:szCs w:val="32"/>
        </w:rPr>
        <w:t>组织、指导开展社会群众文化活动。依法管理社会文化和旅游市场。负责文化旅游市场领域综合行政执法工作，组织查处全县性、跨区域文化、文物、广播电视、旅游等市场的违法行为，开展扫黄打非集中行动，维护市场秩序。</w:t>
      </w:r>
      <w:r>
        <w:rPr>
          <w:rFonts w:hint="eastAsia" w:ascii="仿宋_GB2312" w:hAnsi="宋体" w:eastAsia="仿宋_GB2312"/>
          <w:color w:val="000000"/>
          <w:sz w:val="32"/>
          <w:szCs w:val="32"/>
        </w:rPr>
        <w:t>负责全县广播电视与新媒体新技术新业态融合发展，推进“三网融合”。负责广播电视节目传输覆盖、监测和安全播出的监督管理，指导、推进应急广播电视体系。</w:t>
      </w:r>
    </w:p>
    <w:p>
      <w:pPr>
        <w:widowControl/>
        <w:spacing w:line="580" w:lineRule="exact"/>
        <w:ind w:firstLine="643"/>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（三）人员概况。</w:t>
      </w:r>
    </w:p>
    <w:p>
      <w:pPr>
        <w:widowControl/>
        <w:spacing w:line="580" w:lineRule="exact"/>
        <w:ind w:firstLine="640"/>
        <w:jc w:val="left"/>
        <w:rPr>
          <w:rFonts w:ascii="??_GB2312"/>
          <w:color w:val="000000"/>
          <w:sz w:val="32"/>
          <w:szCs w:val="32"/>
        </w:rPr>
      </w:pPr>
      <w:r>
        <w:rPr>
          <w:rFonts w:hint="eastAsia" w:ascii="仿宋_GB2312" w:eastAsia="仿宋_GB2312"/>
          <w:color w:val="000000"/>
          <w:sz w:val="32"/>
          <w:szCs w:val="32"/>
        </w:rPr>
        <w:t>我局编制</w:t>
      </w:r>
      <w:r>
        <w:rPr>
          <w:rFonts w:ascii="仿宋_GB2312" w:eastAsia="仿宋_GB2312"/>
          <w:color w:val="000000"/>
          <w:sz w:val="32"/>
          <w:szCs w:val="32"/>
        </w:rPr>
        <w:t>32</w:t>
      </w:r>
      <w:r>
        <w:rPr>
          <w:rFonts w:hint="eastAsia" w:ascii="仿宋_GB2312" w:eastAsia="仿宋_GB2312"/>
          <w:color w:val="000000"/>
          <w:sz w:val="32"/>
          <w:szCs w:val="32"/>
        </w:rPr>
        <w:t>人（其中文化馆</w:t>
      </w:r>
      <w:r>
        <w:rPr>
          <w:rFonts w:ascii="仿宋_GB2312" w:eastAsia="仿宋_GB2312"/>
          <w:color w:val="000000"/>
          <w:sz w:val="32"/>
          <w:szCs w:val="32"/>
        </w:rPr>
        <w:t>7</w:t>
      </w:r>
      <w:r>
        <w:rPr>
          <w:rFonts w:hint="eastAsia" w:ascii="仿宋_GB2312" w:eastAsia="仿宋_GB2312"/>
          <w:color w:val="000000"/>
          <w:sz w:val="32"/>
          <w:szCs w:val="32"/>
        </w:rPr>
        <w:t>人，执法队</w:t>
      </w:r>
      <w:r>
        <w:rPr>
          <w:rFonts w:ascii="仿宋_GB2312" w:eastAsia="仿宋_GB2312"/>
          <w:color w:val="000000"/>
          <w:sz w:val="32"/>
          <w:szCs w:val="32"/>
        </w:rPr>
        <w:t>7</w:t>
      </w:r>
      <w:r>
        <w:rPr>
          <w:rFonts w:hint="eastAsia" w:ascii="仿宋_GB2312" w:eastAsia="仿宋_GB2312"/>
          <w:color w:val="000000"/>
          <w:sz w:val="32"/>
          <w:szCs w:val="32"/>
        </w:rPr>
        <w:t>人），目前在岗</w:t>
      </w:r>
      <w:r>
        <w:rPr>
          <w:rFonts w:ascii="仿宋_GB2312" w:eastAsia="仿宋_GB2312"/>
          <w:color w:val="000000"/>
          <w:sz w:val="32"/>
          <w:szCs w:val="32"/>
        </w:rPr>
        <w:t>32</w:t>
      </w:r>
      <w:r>
        <w:rPr>
          <w:rFonts w:hint="eastAsia" w:ascii="仿宋_GB2312" w:eastAsia="仿宋_GB2312"/>
          <w:color w:val="000000"/>
          <w:sz w:val="32"/>
          <w:szCs w:val="32"/>
        </w:rPr>
        <w:t>人，退休</w:t>
      </w:r>
      <w:r>
        <w:rPr>
          <w:rFonts w:ascii="仿宋_GB2312" w:eastAsia="仿宋_GB2312"/>
          <w:color w:val="000000"/>
          <w:sz w:val="32"/>
          <w:szCs w:val="32"/>
        </w:rPr>
        <w:t>23</w:t>
      </w:r>
      <w:r>
        <w:rPr>
          <w:rFonts w:hint="eastAsia" w:ascii="仿宋_GB2312" w:eastAsia="仿宋_GB2312"/>
          <w:color w:val="000000"/>
          <w:sz w:val="32"/>
          <w:szCs w:val="32"/>
        </w:rPr>
        <w:t>人</w:t>
      </w:r>
      <w:r>
        <w:rPr>
          <w:rFonts w:ascii="??_GB2312" w:eastAsia="Times New Roman"/>
          <w:color w:val="000000"/>
          <w:sz w:val="32"/>
          <w:szCs w:val="32"/>
        </w:rPr>
        <w:t>。</w:t>
      </w:r>
    </w:p>
    <w:p>
      <w:pPr>
        <w:pStyle w:val="17"/>
        <w:spacing w:line="600" w:lineRule="exact"/>
        <w:ind w:firstLine="640"/>
        <w:jc w:val="left"/>
        <w:rPr>
          <w:rFonts w:ascii="Times New Roman" w:hAnsi="Times New Roman"/>
          <w:sz w:val="32"/>
          <w:szCs w:val="32"/>
        </w:rPr>
      </w:pPr>
      <w:r>
        <w:rPr>
          <w:rFonts w:hint="eastAsia" w:ascii="Times New Roman" w:hAnsi="Times New Roman" w:eastAsia="黑体"/>
          <w:sz w:val="32"/>
          <w:szCs w:val="32"/>
        </w:rPr>
        <w:t>二、部门财政资金收支情况</w:t>
      </w:r>
    </w:p>
    <w:p>
      <w:pPr>
        <w:widowControl/>
        <w:spacing w:line="580" w:lineRule="exact"/>
        <w:ind w:firstLine="472"/>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（一）部门财政资金收入情况</w:t>
      </w:r>
    </w:p>
    <w:p>
      <w:pPr>
        <w:pStyle w:val="17"/>
        <w:spacing w:line="600" w:lineRule="exact"/>
        <w:ind w:firstLine="640"/>
        <w:jc w:val="left"/>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宋体" w:eastAsia="仿宋_GB2312" w:cs="宋体"/>
          <w:sz w:val="32"/>
          <w:szCs w:val="32"/>
        </w:rPr>
        <w:t>基本支出收入情况</w:t>
      </w:r>
    </w:p>
    <w:p>
      <w:pPr>
        <w:spacing w:line="360" w:lineRule="auto"/>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年我单位年初基本预算资金安排</w:t>
      </w:r>
      <w:r>
        <w:rPr>
          <w:rFonts w:ascii="仿宋_GB2312" w:eastAsia="仿宋_GB2312"/>
          <w:sz w:val="32"/>
          <w:szCs w:val="32"/>
        </w:rPr>
        <w:t>443.07</w:t>
      </w:r>
      <w:r>
        <w:rPr>
          <w:rFonts w:hint="eastAsia" w:ascii="仿宋_GB2312" w:eastAsia="仿宋_GB2312"/>
          <w:sz w:val="32"/>
          <w:szCs w:val="32"/>
        </w:rPr>
        <w:t>万元，中途增加预算</w:t>
      </w:r>
      <w:r>
        <w:rPr>
          <w:rFonts w:ascii="仿宋_GB2312" w:eastAsia="仿宋_GB2312"/>
          <w:sz w:val="32"/>
          <w:szCs w:val="32"/>
        </w:rPr>
        <w:t>213.73</w:t>
      </w:r>
      <w:r>
        <w:rPr>
          <w:rFonts w:hint="eastAsia" w:ascii="仿宋_GB2312" w:eastAsia="仿宋_GB2312"/>
          <w:sz w:val="32"/>
          <w:szCs w:val="32"/>
        </w:rPr>
        <w:t>万元，决算收入</w:t>
      </w:r>
      <w:r>
        <w:rPr>
          <w:rFonts w:ascii="仿宋_GB2312" w:eastAsia="仿宋_GB2312"/>
          <w:sz w:val="32"/>
          <w:szCs w:val="32"/>
        </w:rPr>
        <w:t>656.8</w:t>
      </w:r>
      <w:r>
        <w:rPr>
          <w:rFonts w:hint="eastAsia" w:ascii="仿宋_GB2312" w:eastAsia="仿宋_GB2312"/>
          <w:sz w:val="32"/>
          <w:szCs w:val="32"/>
        </w:rPr>
        <w:t>万元。其中人员经费</w:t>
      </w:r>
      <w:r>
        <w:rPr>
          <w:rFonts w:ascii="仿宋_GB2312" w:eastAsia="仿宋_GB2312"/>
          <w:sz w:val="32"/>
          <w:szCs w:val="32"/>
        </w:rPr>
        <w:t>607.25</w:t>
      </w:r>
      <w:r>
        <w:rPr>
          <w:rFonts w:hint="eastAsia" w:ascii="仿宋_GB2312" w:eastAsia="仿宋_GB2312"/>
          <w:sz w:val="32"/>
          <w:szCs w:val="32"/>
        </w:rPr>
        <w:t>万元，日常公用经费</w:t>
      </w:r>
      <w:r>
        <w:rPr>
          <w:rFonts w:ascii="仿宋_GB2312" w:eastAsia="仿宋_GB2312"/>
          <w:sz w:val="32"/>
          <w:szCs w:val="32"/>
        </w:rPr>
        <w:t>49.55</w:t>
      </w:r>
      <w:r>
        <w:rPr>
          <w:rFonts w:hint="eastAsia" w:ascii="仿宋_GB2312" w:eastAsia="仿宋_GB2312"/>
          <w:sz w:val="32"/>
          <w:szCs w:val="32"/>
        </w:rPr>
        <w:t>万元。增加原因为</w:t>
      </w:r>
      <w:r>
        <w:rPr>
          <w:rFonts w:ascii="仿宋_GB2312" w:eastAsia="仿宋_GB2312"/>
          <w:sz w:val="32"/>
          <w:szCs w:val="32"/>
        </w:rPr>
        <w:t>2020</w:t>
      </w:r>
      <w:r>
        <w:rPr>
          <w:rFonts w:hint="eastAsia" w:ascii="仿宋_GB2312" w:eastAsia="仿宋_GB2312"/>
          <w:sz w:val="32"/>
          <w:szCs w:val="32"/>
        </w:rPr>
        <w:t>年目标考核奖及</w:t>
      </w:r>
      <w:r>
        <w:rPr>
          <w:rFonts w:ascii="仿宋_GB2312" w:eastAsia="仿宋_GB2312"/>
          <w:sz w:val="32"/>
          <w:szCs w:val="32"/>
        </w:rPr>
        <w:t>2021</w:t>
      </w:r>
      <w:r>
        <w:rPr>
          <w:rFonts w:hint="eastAsia" w:ascii="仿宋_GB2312" w:eastAsia="仿宋_GB2312"/>
          <w:sz w:val="32"/>
          <w:szCs w:val="32"/>
        </w:rPr>
        <w:t>年人员经费等。</w:t>
      </w:r>
    </w:p>
    <w:p>
      <w:pPr>
        <w:pStyle w:val="17"/>
        <w:spacing w:line="600" w:lineRule="exact"/>
        <w:ind w:firstLine="640"/>
        <w:jc w:val="left"/>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宋体" w:eastAsia="仿宋_GB2312" w:cs="宋体"/>
          <w:sz w:val="32"/>
          <w:szCs w:val="32"/>
        </w:rPr>
        <w:t>部门预算项目收入情况</w:t>
      </w:r>
    </w:p>
    <w:p>
      <w:pPr>
        <w:spacing w:line="360" w:lineRule="auto"/>
        <w:ind w:firstLine="640"/>
        <w:rPr>
          <w:rFonts w:ascii="仿宋_GB2312" w:eastAsia="仿宋_GB2312"/>
          <w:sz w:val="32"/>
          <w:szCs w:val="32"/>
        </w:rPr>
      </w:pPr>
      <w:r>
        <w:rPr>
          <w:rFonts w:hint="eastAsia" w:ascii="仿宋_GB2312" w:eastAsia="仿宋_GB2312"/>
          <w:sz w:val="32"/>
          <w:szCs w:val="32"/>
        </w:rPr>
        <w:t>项目预算资金安排</w:t>
      </w:r>
      <w:r>
        <w:rPr>
          <w:rFonts w:ascii="仿宋_GB2312" w:eastAsia="仿宋_GB2312"/>
          <w:sz w:val="32"/>
          <w:szCs w:val="32"/>
        </w:rPr>
        <w:t>635.05</w:t>
      </w:r>
      <w:r>
        <w:rPr>
          <w:rFonts w:hint="eastAsia" w:ascii="仿宋_GB2312" w:eastAsia="仿宋_GB2312"/>
          <w:sz w:val="32"/>
          <w:szCs w:val="32"/>
        </w:rPr>
        <w:t>万元（上年结转），年中追加项目经费</w:t>
      </w:r>
      <w:r>
        <w:rPr>
          <w:rFonts w:ascii="仿宋_GB2312" w:eastAsia="仿宋_GB2312"/>
          <w:sz w:val="32"/>
          <w:szCs w:val="32"/>
        </w:rPr>
        <w:t>6514.95</w:t>
      </w:r>
      <w:r>
        <w:rPr>
          <w:rFonts w:hint="eastAsia" w:ascii="仿宋_GB2312" w:eastAsia="仿宋_GB2312"/>
          <w:sz w:val="32"/>
          <w:szCs w:val="32"/>
        </w:rPr>
        <w:t>万元，项目收入</w:t>
      </w:r>
      <w:r>
        <w:rPr>
          <w:rFonts w:ascii="仿宋_GB2312" w:eastAsia="仿宋_GB2312"/>
          <w:sz w:val="32"/>
          <w:szCs w:val="32"/>
        </w:rPr>
        <w:t>7150</w:t>
      </w:r>
      <w:r>
        <w:rPr>
          <w:rFonts w:hint="eastAsia" w:ascii="仿宋_GB2312" w:eastAsia="仿宋_GB2312"/>
          <w:sz w:val="32"/>
          <w:szCs w:val="32"/>
        </w:rPr>
        <w:t>万元。增加</w:t>
      </w:r>
      <w:r>
        <w:rPr>
          <w:rFonts w:hint="eastAsia" w:ascii="仿宋_GB2312" w:hAnsi="宋体" w:eastAsia="仿宋_GB2312"/>
          <w:sz w:val="32"/>
          <w:szCs w:val="32"/>
        </w:rPr>
        <w:t>旅游基础设施建设的项目经费及财政用存量资金化解历年暂付款。</w:t>
      </w:r>
    </w:p>
    <w:p>
      <w:pPr>
        <w:pStyle w:val="17"/>
        <w:spacing w:line="600" w:lineRule="exact"/>
        <w:ind w:firstLine="482"/>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（二）部门财政资金支出管理情况</w:t>
      </w:r>
    </w:p>
    <w:p>
      <w:pPr>
        <w:spacing w:line="360" w:lineRule="auto"/>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年财政预算拨款决算支出</w:t>
      </w:r>
      <w:r>
        <w:rPr>
          <w:rFonts w:ascii="仿宋_GB2312" w:eastAsia="仿宋_GB2312"/>
          <w:sz w:val="32"/>
          <w:szCs w:val="32"/>
        </w:rPr>
        <w:t>7806.8</w:t>
      </w:r>
      <w:r>
        <w:rPr>
          <w:rFonts w:hint="eastAsia" w:ascii="仿宋_GB2312" w:eastAsia="仿宋_GB2312"/>
          <w:sz w:val="32"/>
          <w:szCs w:val="32"/>
        </w:rPr>
        <w:t>元，其中一般公共预算财政拨款支出</w:t>
      </w:r>
      <w:r>
        <w:rPr>
          <w:rFonts w:ascii="仿宋_GB2312" w:eastAsia="仿宋_GB2312"/>
          <w:sz w:val="32"/>
          <w:szCs w:val="32"/>
        </w:rPr>
        <w:t>3217.8</w:t>
      </w:r>
      <w:r>
        <w:rPr>
          <w:rFonts w:hint="eastAsia" w:ascii="仿宋_GB2312" w:eastAsia="仿宋_GB2312"/>
          <w:sz w:val="32"/>
          <w:szCs w:val="32"/>
        </w:rPr>
        <w:t>万元，政府性基金预算财政拨款</w:t>
      </w:r>
      <w:r>
        <w:rPr>
          <w:rFonts w:ascii="仿宋_GB2312" w:eastAsia="仿宋_GB2312"/>
          <w:sz w:val="32"/>
          <w:szCs w:val="32"/>
        </w:rPr>
        <w:t>4589</w:t>
      </w:r>
      <w:r>
        <w:rPr>
          <w:rFonts w:hint="eastAsia" w:ascii="仿宋_GB2312" w:eastAsia="仿宋_GB2312"/>
          <w:sz w:val="32"/>
          <w:szCs w:val="32"/>
        </w:rPr>
        <w:t>万元。</w:t>
      </w:r>
    </w:p>
    <w:p>
      <w:pPr>
        <w:pStyle w:val="17"/>
        <w:spacing w:line="600" w:lineRule="exact"/>
        <w:ind w:firstLine="640"/>
        <w:jc w:val="left"/>
        <w:rPr>
          <w:rFonts w:ascii="黑体" w:hAnsi="宋体" w:eastAsia="黑体" w:cs="??_GB2312"/>
          <w:color w:val="000000"/>
          <w:sz w:val="32"/>
          <w:szCs w:val="32"/>
          <w:shd w:val="clear" w:color="auto" w:fill="FFFFFF"/>
          <w:lang w:val="zh-CN"/>
        </w:rPr>
      </w:pPr>
      <w:r>
        <w:rPr>
          <w:rFonts w:hint="eastAsia" w:ascii="黑体" w:hAnsi="宋体" w:eastAsia="黑体" w:cs="??_GB2312"/>
          <w:color w:val="000000"/>
          <w:sz w:val="32"/>
          <w:szCs w:val="32"/>
          <w:shd w:val="clear" w:color="auto" w:fill="FFFFFF"/>
          <w:lang w:val="zh-CN"/>
        </w:rPr>
        <w:t>三、部门整体预算绩效管理情况</w:t>
      </w:r>
    </w:p>
    <w:p>
      <w:pPr>
        <w:pStyle w:val="17"/>
        <w:spacing w:line="600" w:lineRule="exact"/>
        <w:ind w:firstLine="643"/>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（一）部门预算项目绩效管理。</w:t>
      </w:r>
    </w:p>
    <w:p>
      <w:pPr>
        <w:pStyle w:val="17"/>
        <w:spacing w:line="600" w:lineRule="exact"/>
        <w:ind w:firstLine="640"/>
        <w:jc w:val="left"/>
        <w:rPr>
          <w:rFonts w:ascii="仿宋_GB2312" w:hAnsi="宋体" w:eastAsia="仿宋_GB2312" w:cs="??_GB2312"/>
          <w:color w:val="000000"/>
          <w:sz w:val="32"/>
          <w:szCs w:val="32"/>
          <w:shd w:val="clear" w:color="auto" w:fill="FFFFFF"/>
          <w:lang w:val="zh-CN"/>
        </w:rPr>
      </w:pPr>
      <w:r>
        <w:rPr>
          <w:rFonts w:ascii="仿宋_GB2312" w:hAnsi="宋体" w:eastAsia="仿宋_GB2312" w:cs="??_GB2312"/>
          <w:color w:val="000000"/>
          <w:sz w:val="32"/>
          <w:szCs w:val="32"/>
          <w:shd w:val="clear" w:color="auto" w:fill="FFFFFF"/>
          <w:lang w:val="zh-CN"/>
        </w:rPr>
        <w:t>1.</w:t>
      </w:r>
      <w:r>
        <w:rPr>
          <w:rFonts w:hint="eastAsia" w:ascii="仿宋_GB2312" w:hAnsi="宋体" w:eastAsia="仿宋_GB2312" w:cs="??_GB2312"/>
          <w:color w:val="000000"/>
          <w:sz w:val="32"/>
          <w:szCs w:val="32"/>
          <w:shd w:val="clear" w:color="auto" w:fill="FFFFFF"/>
          <w:lang w:val="zh-CN"/>
        </w:rPr>
        <w:t>部门绩效目标制定。</w:t>
      </w:r>
    </w:p>
    <w:p>
      <w:pPr>
        <w:pStyle w:val="17"/>
        <w:spacing w:line="600" w:lineRule="exact"/>
        <w:ind w:firstLine="640"/>
        <w:jc w:val="left"/>
        <w:rPr>
          <w:rFonts w:ascii="仿宋_GB2312" w:hAnsi="Times New Roman" w:eastAsia="仿宋_GB2312"/>
          <w:sz w:val="32"/>
          <w:szCs w:val="32"/>
        </w:rPr>
      </w:pPr>
      <w:r>
        <w:rPr>
          <w:rFonts w:hint="eastAsia" w:ascii="仿宋_GB2312" w:hAnsi="宋体" w:eastAsia="仿宋_GB2312" w:cs="宋体"/>
          <w:sz w:val="32"/>
          <w:szCs w:val="32"/>
        </w:rPr>
        <w:t>包括数量指标、质量指标、时效指标和成本指标。</w:t>
      </w:r>
    </w:p>
    <w:p>
      <w:pPr>
        <w:pStyle w:val="17"/>
        <w:spacing w:line="600" w:lineRule="exact"/>
        <w:ind w:firstLine="32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）数量指标：支付</w:t>
      </w:r>
      <w:r>
        <w:rPr>
          <w:rFonts w:ascii="仿宋_GB2312" w:eastAsia="仿宋_GB2312"/>
          <w:sz w:val="32"/>
          <w:szCs w:val="32"/>
        </w:rPr>
        <w:t>32</w:t>
      </w:r>
      <w:r>
        <w:rPr>
          <w:rFonts w:hint="eastAsia" w:ascii="仿宋_GB2312" w:eastAsia="仿宋_GB2312"/>
          <w:sz w:val="32"/>
          <w:szCs w:val="32"/>
        </w:rPr>
        <w:t>人的工资、社保和住房公积金等人员基本支出；全年共放映农村公益电影</w:t>
      </w:r>
      <w:r>
        <w:rPr>
          <w:rFonts w:ascii="仿宋_GB2312" w:eastAsia="仿宋_GB2312"/>
          <w:sz w:val="32"/>
          <w:szCs w:val="32"/>
        </w:rPr>
        <w:t>1440</w:t>
      </w:r>
      <w:r>
        <w:rPr>
          <w:rFonts w:hint="eastAsia" w:ascii="仿宋_GB2312" w:eastAsia="仿宋_GB2312"/>
          <w:sz w:val="32"/>
          <w:szCs w:val="32"/>
        </w:rPr>
        <w:t>场，</w:t>
      </w:r>
      <w:r>
        <w:rPr>
          <w:rFonts w:ascii="仿宋_GB2312" w:eastAsia="仿宋_GB2312"/>
          <w:sz w:val="32"/>
          <w:szCs w:val="32"/>
        </w:rPr>
        <w:t>171</w:t>
      </w:r>
      <w:r>
        <w:rPr>
          <w:rFonts w:hint="eastAsia" w:ascii="仿宋_GB2312" w:eastAsia="仿宋_GB2312"/>
          <w:sz w:val="32"/>
          <w:szCs w:val="32"/>
        </w:rPr>
        <w:t>个公共服务站点正常运行，县图书馆及</w:t>
      </w:r>
      <w:r>
        <w:rPr>
          <w:rFonts w:ascii="仿宋_GB2312" w:eastAsia="仿宋_GB2312"/>
          <w:sz w:val="32"/>
          <w:szCs w:val="32"/>
        </w:rPr>
        <w:t>164</w:t>
      </w:r>
      <w:r>
        <w:rPr>
          <w:rFonts w:hint="eastAsia" w:ascii="仿宋_GB2312" w:eastAsia="仿宋_GB2312"/>
          <w:sz w:val="32"/>
          <w:szCs w:val="32"/>
        </w:rPr>
        <w:t>个农家书屋和</w:t>
      </w:r>
      <w:r>
        <w:rPr>
          <w:rFonts w:ascii="仿宋_GB2312" w:eastAsia="仿宋_GB2312"/>
          <w:sz w:val="32"/>
          <w:szCs w:val="32"/>
        </w:rPr>
        <w:t>7</w:t>
      </w:r>
      <w:r>
        <w:rPr>
          <w:rFonts w:hint="eastAsia" w:ascii="仿宋_GB2312" w:eastAsia="仿宋_GB2312"/>
          <w:sz w:val="32"/>
          <w:szCs w:val="32"/>
        </w:rPr>
        <w:t>个社区书屋图书更新</w:t>
      </w:r>
      <w:r>
        <w:rPr>
          <w:rFonts w:ascii="仿宋_GB2312" w:eastAsia="仿宋_GB2312"/>
          <w:sz w:val="32"/>
          <w:szCs w:val="32"/>
        </w:rPr>
        <w:t>3000</w:t>
      </w:r>
      <w:r>
        <w:rPr>
          <w:rFonts w:hint="eastAsia" w:ascii="仿宋_GB2312" w:eastAsia="仿宋_GB2312"/>
          <w:sz w:val="32"/>
          <w:szCs w:val="32"/>
        </w:rPr>
        <w:t>余册，县及</w:t>
      </w:r>
      <w:r>
        <w:rPr>
          <w:rFonts w:ascii="仿宋_GB2312" w:eastAsia="仿宋_GB2312"/>
          <w:sz w:val="32"/>
          <w:szCs w:val="32"/>
        </w:rPr>
        <w:t>12</w:t>
      </w:r>
      <w:r>
        <w:rPr>
          <w:rFonts w:hint="eastAsia" w:ascii="仿宋_GB2312" w:eastAsia="仿宋_GB2312"/>
          <w:sz w:val="32"/>
          <w:szCs w:val="32"/>
        </w:rPr>
        <w:t>个乡镇有序开展建党</w:t>
      </w:r>
      <w:r>
        <w:rPr>
          <w:rFonts w:ascii="仿宋_GB2312" w:eastAsia="仿宋_GB2312"/>
          <w:sz w:val="32"/>
          <w:szCs w:val="32"/>
        </w:rPr>
        <w:t>100</w:t>
      </w:r>
      <w:r>
        <w:rPr>
          <w:rFonts w:hint="eastAsia" w:ascii="仿宋_GB2312" w:eastAsia="仿宋_GB2312"/>
          <w:sz w:val="32"/>
          <w:szCs w:val="32"/>
        </w:rPr>
        <w:t>周年文化活动，</w:t>
      </w:r>
      <w:r>
        <w:rPr>
          <w:rFonts w:ascii="仿宋_GB2312" w:eastAsia="仿宋_GB2312"/>
          <w:sz w:val="32"/>
          <w:szCs w:val="32"/>
        </w:rPr>
        <w:t>12</w:t>
      </w:r>
      <w:r>
        <w:rPr>
          <w:rFonts w:hint="eastAsia" w:ascii="仿宋_GB2312" w:eastAsia="仿宋_GB2312"/>
          <w:sz w:val="32"/>
          <w:szCs w:val="32"/>
        </w:rPr>
        <w:t>个乡镇</w:t>
      </w:r>
      <w:r>
        <w:rPr>
          <w:rFonts w:ascii="仿宋_GB2312" w:eastAsia="仿宋_GB2312"/>
          <w:sz w:val="32"/>
          <w:szCs w:val="32"/>
        </w:rPr>
        <w:t>1706</w:t>
      </w:r>
      <w:r>
        <w:rPr>
          <w:rFonts w:hint="eastAsia" w:ascii="仿宋_GB2312" w:eastAsia="仿宋_GB2312"/>
          <w:sz w:val="32"/>
          <w:szCs w:val="32"/>
        </w:rPr>
        <w:t>个自然村进行应急广播村村响和地面数字电视设备维护，全年组织</w:t>
      </w:r>
      <w:r>
        <w:rPr>
          <w:rFonts w:ascii="仿宋_GB2312" w:eastAsia="仿宋_GB2312"/>
          <w:sz w:val="32"/>
          <w:szCs w:val="32"/>
        </w:rPr>
        <w:t>4</w:t>
      </w:r>
      <w:r>
        <w:rPr>
          <w:rFonts w:hint="eastAsia" w:ascii="仿宋_GB2312" w:eastAsia="仿宋_GB2312"/>
          <w:sz w:val="32"/>
          <w:szCs w:val="32"/>
        </w:rPr>
        <w:t>场文化服务人才队伍培训，图书馆和文化馆两馆免费开放工作正常进行，完成清凉夏季游推荐，星级景区评定，继续推进天府旅游名县候选县和全域旅游示范区创建工作，完成了《盐边县全域旅游发展规划》、《康养</w:t>
      </w:r>
      <w:r>
        <w:rPr>
          <w:rFonts w:ascii="仿宋_GB2312" w:eastAsia="仿宋_GB2312"/>
          <w:sz w:val="32"/>
          <w:szCs w:val="32"/>
        </w:rPr>
        <w:t>+</w:t>
      </w:r>
      <w:r>
        <w:rPr>
          <w:rFonts w:hint="eastAsia" w:ascii="仿宋_GB2312" w:eastAsia="仿宋_GB2312"/>
          <w:sz w:val="32"/>
          <w:szCs w:val="32"/>
        </w:rPr>
        <w:t>旅游产业发展规划》初稿，继续推进国家级公共文化服务体系创建。</w:t>
      </w:r>
    </w:p>
    <w:p>
      <w:pPr>
        <w:ind w:firstLine="640"/>
      </w:pPr>
      <w:r>
        <w:rPr>
          <w:rFonts w:hint="eastAsia" w:ascii="仿宋_GB2312" w:hAnsi="宋体" w:eastAsia="仿宋_GB2312" w:cs="宋体"/>
          <w:sz w:val="32"/>
          <w:szCs w:val="32"/>
        </w:rPr>
        <w:t>（</w:t>
      </w:r>
      <w:r>
        <w:rPr>
          <w:rFonts w:ascii="仿宋_GB2312" w:hAnsi="宋体" w:eastAsia="仿宋_GB2312" w:cs="宋体"/>
          <w:sz w:val="32"/>
          <w:szCs w:val="32"/>
        </w:rPr>
        <w:t>2</w:t>
      </w:r>
      <w:r>
        <w:rPr>
          <w:rFonts w:hint="eastAsia" w:ascii="仿宋_GB2312" w:hAnsi="宋体" w:eastAsia="仿宋_GB2312" w:cs="宋体"/>
          <w:sz w:val="32"/>
          <w:szCs w:val="32"/>
        </w:rPr>
        <w:t>）质量指标：按规定发放工资、缴足社保，下乡完成各项工作任务，保障我局基本运转和项目按进度完成，</w:t>
      </w:r>
      <w:r>
        <w:rPr>
          <w:rFonts w:hint="eastAsia" w:ascii="仿宋_GB2312" w:eastAsia="仿宋_GB2312"/>
          <w:sz w:val="32"/>
          <w:szCs w:val="32"/>
        </w:rPr>
        <w:t>为群众提供优质的公共文化服务，较好地满足了人民群众对基本文化生活的需求</w:t>
      </w:r>
      <w:r>
        <w:rPr>
          <w:rFonts w:hint="eastAsia" w:ascii="仿宋_GB2312" w:hAnsi="宋体" w:eastAsia="仿宋_GB2312" w:cs="宋体"/>
          <w:sz w:val="32"/>
          <w:szCs w:val="32"/>
        </w:rPr>
        <w:t>。</w:t>
      </w:r>
    </w:p>
    <w:p>
      <w:pPr>
        <w:pStyle w:val="17"/>
        <w:spacing w:line="600" w:lineRule="exact"/>
        <w:ind w:firstLine="640"/>
        <w:jc w:val="left"/>
        <w:rPr>
          <w:rFonts w:ascii="仿宋_GB2312" w:hAnsi="Times New Roman" w:eastAsia="仿宋_GB2312"/>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3</w:t>
      </w:r>
      <w:r>
        <w:rPr>
          <w:rFonts w:hint="eastAsia" w:ascii="仿宋_GB2312" w:hAnsi="宋体" w:eastAsia="仿宋_GB2312" w:cs="宋体"/>
          <w:sz w:val="32"/>
          <w:szCs w:val="32"/>
        </w:rPr>
        <w:t>）时效指标：</w:t>
      </w:r>
      <w:r>
        <w:rPr>
          <w:rFonts w:ascii="仿宋_GB2312" w:hAnsi="Times New Roman" w:eastAsia="仿宋_GB2312"/>
          <w:sz w:val="32"/>
          <w:szCs w:val="32"/>
        </w:rPr>
        <w:t>2021</w:t>
      </w:r>
      <w:r>
        <w:rPr>
          <w:rFonts w:hint="eastAsia" w:ascii="仿宋_GB2312" w:hAnsi="宋体" w:eastAsia="仿宋_GB2312" w:cs="宋体"/>
          <w:sz w:val="32"/>
          <w:szCs w:val="32"/>
        </w:rPr>
        <w:t>年</w:t>
      </w:r>
      <w:r>
        <w:rPr>
          <w:rFonts w:ascii="仿宋_GB2312" w:hAnsi="Times New Roman" w:eastAsia="仿宋_GB2312"/>
          <w:sz w:val="32"/>
          <w:szCs w:val="32"/>
        </w:rPr>
        <w:t>1-12</w:t>
      </w:r>
      <w:r>
        <w:rPr>
          <w:rFonts w:hint="eastAsia" w:ascii="仿宋_GB2312" w:hAnsi="宋体" w:eastAsia="仿宋_GB2312" w:cs="宋体"/>
          <w:sz w:val="32"/>
          <w:szCs w:val="32"/>
        </w:rPr>
        <w:t>月。</w:t>
      </w:r>
    </w:p>
    <w:p>
      <w:pPr>
        <w:pStyle w:val="17"/>
        <w:spacing w:line="600" w:lineRule="exact"/>
        <w:ind w:firstLine="640"/>
        <w:jc w:val="left"/>
        <w:rPr>
          <w:rFonts w:ascii="仿宋_GB2312" w:eastAsia="仿宋_GB2312"/>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4</w:t>
      </w:r>
      <w:r>
        <w:rPr>
          <w:rFonts w:hint="eastAsia" w:ascii="仿宋_GB2312" w:hAnsi="宋体" w:eastAsia="仿宋_GB2312" w:cs="宋体"/>
          <w:sz w:val="32"/>
          <w:szCs w:val="32"/>
        </w:rPr>
        <w:t>）成本指标：</w:t>
      </w:r>
      <w:r>
        <w:rPr>
          <w:rFonts w:ascii="仿宋_GB2312" w:eastAsia="仿宋_GB2312"/>
          <w:sz w:val="32"/>
          <w:szCs w:val="32"/>
        </w:rPr>
        <w:t>2021</w:t>
      </w:r>
      <w:r>
        <w:rPr>
          <w:rFonts w:hint="eastAsia" w:ascii="仿宋_GB2312" w:eastAsia="仿宋_GB2312"/>
          <w:sz w:val="32"/>
          <w:szCs w:val="32"/>
        </w:rPr>
        <w:t>年文广旅局决算支出</w:t>
      </w:r>
      <w:r>
        <w:rPr>
          <w:rFonts w:ascii="仿宋_GB2312" w:eastAsia="仿宋_GB2312"/>
          <w:sz w:val="32"/>
          <w:szCs w:val="32"/>
        </w:rPr>
        <w:t>7806.8</w:t>
      </w:r>
      <w:r>
        <w:rPr>
          <w:rFonts w:hint="eastAsia" w:ascii="仿宋_GB2312" w:eastAsia="仿宋_GB2312"/>
          <w:sz w:val="32"/>
          <w:szCs w:val="32"/>
        </w:rPr>
        <w:t>万元，其中基本支出</w:t>
      </w:r>
      <w:r>
        <w:rPr>
          <w:rFonts w:ascii="仿宋_GB2312" w:eastAsia="仿宋_GB2312"/>
          <w:sz w:val="32"/>
          <w:szCs w:val="32"/>
        </w:rPr>
        <w:t>656.8</w:t>
      </w:r>
      <w:r>
        <w:rPr>
          <w:rFonts w:hint="eastAsia" w:ascii="仿宋_GB2312" w:eastAsia="仿宋_GB2312"/>
          <w:sz w:val="32"/>
          <w:szCs w:val="32"/>
        </w:rPr>
        <w:t>万元，项目支出</w:t>
      </w:r>
      <w:r>
        <w:rPr>
          <w:rFonts w:ascii="仿宋_GB2312" w:eastAsia="仿宋_GB2312"/>
          <w:sz w:val="32"/>
          <w:szCs w:val="32"/>
        </w:rPr>
        <w:t>7150</w:t>
      </w:r>
      <w:r>
        <w:rPr>
          <w:rFonts w:hint="eastAsia" w:ascii="仿宋_GB2312" w:eastAsia="仿宋_GB2312"/>
          <w:sz w:val="32"/>
          <w:szCs w:val="32"/>
        </w:rPr>
        <w:t>万元。</w:t>
      </w:r>
    </w:p>
    <w:p>
      <w:pPr>
        <w:pStyle w:val="17"/>
        <w:spacing w:line="600" w:lineRule="exact"/>
        <w:ind w:firstLine="640"/>
        <w:jc w:val="left"/>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目标实现</w:t>
      </w:r>
    </w:p>
    <w:p>
      <w:pPr>
        <w:spacing w:line="560" w:lineRule="exact"/>
        <w:ind w:firstLine="640"/>
        <w:rPr>
          <w:rFonts w:ascii="仿宋_GB2312" w:eastAsia="仿宋_GB2312"/>
          <w:sz w:val="32"/>
          <w:szCs w:val="32"/>
        </w:rPr>
      </w:pPr>
      <w:r>
        <w:rPr>
          <w:rFonts w:hint="eastAsia" w:ascii="仿宋_GB2312" w:hAnsi="宋体" w:eastAsia="仿宋_GB2312" w:cs="宋体"/>
          <w:sz w:val="32"/>
          <w:szCs w:val="32"/>
        </w:rPr>
        <w:t>基本支出和项目经费及时支付，保障了我局的基本运转和项目进度，较好的完成了常规工作和项目。</w:t>
      </w:r>
      <w:r>
        <w:rPr>
          <w:rFonts w:hint="eastAsia" w:ascii="仿宋_GB2312" w:eastAsia="仿宋_GB2312"/>
          <w:color w:val="000000"/>
          <w:sz w:val="32"/>
          <w:szCs w:val="32"/>
        </w:rPr>
        <w:t>推进了文化广播电视和旅游融合发展，指导、管理好全县文化、广播电视和旅游发展，</w:t>
      </w:r>
      <w:r>
        <w:rPr>
          <w:rFonts w:hint="eastAsia" w:ascii="仿宋_GB2312" w:eastAsia="仿宋_GB2312"/>
          <w:sz w:val="32"/>
          <w:szCs w:val="32"/>
        </w:rPr>
        <w:t>提供更高的优质旅游资源。</w:t>
      </w:r>
    </w:p>
    <w:p>
      <w:pPr>
        <w:spacing w:line="560" w:lineRule="exact"/>
        <w:ind w:firstLine="640"/>
        <w:rPr>
          <w:rFonts w:ascii="仿宋_GB2312" w:eastAsia="仿宋_GB2312"/>
          <w:color w:val="000000"/>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）人员类支出</w:t>
      </w:r>
      <w:r>
        <w:rPr>
          <w:rFonts w:ascii="仿宋_GB2312" w:eastAsia="仿宋_GB2312"/>
          <w:sz w:val="32"/>
          <w:szCs w:val="32"/>
        </w:rPr>
        <w:t>:</w:t>
      </w:r>
      <w:r>
        <w:rPr>
          <w:rFonts w:hint="eastAsia" w:ascii="仿宋_GB2312" w:eastAsia="仿宋_GB2312"/>
          <w:sz w:val="32"/>
          <w:szCs w:val="32"/>
        </w:rPr>
        <w:t>人员类支出为</w:t>
      </w:r>
      <w:r>
        <w:rPr>
          <w:rFonts w:ascii="仿宋_GB2312" w:eastAsia="仿宋_GB2312"/>
          <w:sz w:val="32"/>
          <w:szCs w:val="32"/>
        </w:rPr>
        <w:t>607.25</w:t>
      </w:r>
      <w:r>
        <w:rPr>
          <w:rFonts w:hint="eastAsia" w:ascii="仿宋_GB2312" w:eastAsia="仿宋_GB2312"/>
          <w:sz w:val="32"/>
          <w:szCs w:val="32"/>
        </w:rPr>
        <w:t>万元。</w:t>
      </w:r>
      <w:r>
        <w:rPr>
          <w:rFonts w:ascii="仿宋_GB2312" w:eastAsia="仿宋_GB2312"/>
          <w:sz w:val="32"/>
          <w:szCs w:val="32"/>
        </w:rPr>
        <w:t>2021</w:t>
      </w:r>
      <w:r>
        <w:rPr>
          <w:rFonts w:hint="eastAsia" w:ascii="仿宋_GB2312" w:eastAsia="仿宋_GB2312"/>
          <w:color w:val="000000"/>
          <w:sz w:val="32"/>
          <w:szCs w:val="32"/>
        </w:rPr>
        <w:t>年人员经费支出</w:t>
      </w:r>
      <w:r>
        <w:rPr>
          <w:rFonts w:ascii="仿宋_GB2312" w:eastAsia="仿宋_GB2312"/>
          <w:color w:val="000000"/>
          <w:sz w:val="32"/>
          <w:szCs w:val="32"/>
        </w:rPr>
        <w:t>607.25</w:t>
      </w:r>
      <w:r>
        <w:rPr>
          <w:rFonts w:hint="eastAsia" w:ascii="仿宋_GB2312" w:eastAsia="仿宋_GB2312"/>
          <w:color w:val="000000"/>
          <w:sz w:val="32"/>
          <w:szCs w:val="32"/>
        </w:rPr>
        <w:t>万元，占总支出的</w:t>
      </w:r>
      <w:r>
        <w:rPr>
          <w:rFonts w:ascii="仿宋_GB2312" w:eastAsia="仿宋_GB2312"/>
          <w:color w:val="000000"/>
          <w:sz w:val="32"/>
          <w:szCs w:val="32"/>
        </w:rPr>
        <w:t>7.78%</w:t>
      </w:r>
      <w:r>
        <w:rPr>
          <w:rFonts w:hint="eastAsia" w:ascii="仿宋_GB2312" w:eastAsia="仿宋_GB2312"/>
          <w:color w:val="000000"/>
          <w:sz w:val="32"/>
          <w:szCs w:val="32"/>
        </w:rPr>
        <w:t>。其中工资福利支出</w:t>
      </w:r>
      <w:r>
        <w:rPr>
          <w:rFonts w:ascii="仿宋_GB2312" w:eastAsia="仿宋_GB2312"/>
          <w:color w:val="000000"/>
          <w:sz w:val="32"/>
          <w:szCs w:val="32"/>
        </w:rPr>
        <w:t>535.26</w:t>
      </w:r>
      <w:r>
        <w:rPr>
          <w:rFonts w:hint="eastAsia" w:ascii="仿宋_GB2312" w:eastAsia="仿宋_GB2312"/>
          <w:color w:val="000000"/>
          <w:sz w:val="32"/>
          <w:szCs w:val="32"/>
        </w:rPr>
        <w:t>万元，主要用于工资、奖金、保险类等支出；对个人和家庭补助支出</w:t>
      </w:r>
      <w:r>
        <w:rPr>
          <w:rFonts w:ascii="仿宋_GB2312" w:eastAsia="仿宋_GB2312"/>
          <w:color w:val="000000"/>
          <w:sz w:val="32"/>
          <w:szCs w:val="32"/>
        </w:rPr>
        <w:t>71.99</w:t>
      </w:r>
      <w:r>
        <w:rPr>
          <w:rFonts w:hint="eastAsia" w:ascii="仿宋_GB2312" w:eastAsia="仿宋_GB2312"/>
          <w:color w:val="000000"/>
          <w:sz w:val="32"/>
          <w:szCs w:val="32"/>
        </w:rPr>
        <w:t>万元，主要用于抚恤金、生活补助、医疗补助等。</w:t>
      </w:r>
      <w:r>
        <w:rPr>
          <w:rFonts w:ascii="仿宋_GB2312" w:eastAsia="仿宋_GB2312"/>
          <w:color w:val="000000"/>
          <w:sz w:val="32"/>
          <w:szCs w:val="32"/>
        </w:rPr>
        <w:t>2021</w:t>
      </w:r>
      <w:r>
        <w:rPr>
          <w:rFonts w:hint="eastAsia" w:ascii="仿宋_GB2312" w:eastAsia="仿宋_GB2312"/>
          <w:color w:val="000000"/>
          <w:sz w:val="32"/>
          <w:szCs w:val="32"/>
        </w:rPr>
        <w:t>年人员经费持续有效支出，执行进度为</w:t>
      </w:r>
      <w:r>
        <w:rPr>
          <w:rFonts w:ascii="仿宋_GB2312" w:eastAsia="仿宋_GB2312"/>
          <w:color w:val="000000"/>
          <w:sz w:val="32"/>
          <w:szCs w:val="32"/>
        </w:rPr>
        <w:t>100%,</w:t>
      </w:r>
      <w:r>
        <w:rPr>
          <w:rFonts w:hint="eastAsia" w:ascii="仿宋_GB2312" w:eastAsia="仿宋_GB2312"/>
          <w:color w:val="000000"/>
          <w:sz w:val="32"/>
          <w:szCs w:val="32"/>
        </w:rPr>
        <w:t>支出完成年初预算的</w:t>
      </w:r>
      <w:r>
        <w:rPr>
          <w:rFonts w:ascii="仿宋_GB2312" w:eastAsia="仿宋_GB2312"/>
          <w:color w:val="000000"/>
          <w:sz w:val="32"/>
          <w:szCs w:val="32"/>
        </w:rPr>
        <w:t>100%</w:t>
      </w:r>
      <w:r>
        <w:rPr>
          <w:rFonts w:hint="eastAsia" w:ascii="仿宋_GB2312" w:eastAsia="仿宋_GB2312"/>
          <w:color w:val="000000"/>
          <w:sz w:val="32"/>
          <w:szCs w:val="32"/>
        </w:rPr>
        <w:t>，无违规情况。</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）公用经费支出：</w:t>
      </w:r>
      <w:r>
        <w:rPr>
          <w:rFonts w:ascii="仿宋_GB2312" w:eastAsia="仿宋_GB2312"/>
          <w:color w:val="000000"/>
          <w:sz w:val="32"/>
          <w:szCs w:val="32"/>
        </w:rPr>
        <w:t>2021</w:t>
      </w:r>
      <w:r>
        <w:rPr>
          <w:rFonts w:hint="eastAsia" w:ascii="仿宋_GB2312" w:eastAsia="仿宋_GB2312"/>
          <w:color w:val="000000"/>
          <w:sz w:val="32"/>
          <w:szCs w:val="32"/>
        </w:rPr>
        <w:t>年日常公用经费支出</w:t>
      </w:r>
      <w:r>
        <w:rPr>
          <w:rFonts w:ascii="仿宋_GB2312" w:eastAsia="仿宋_GB2312"/>
          <w:color w:val="000000"/>
          <w:sz w:val="32"/>
          <w:szCs w:val="32"/>
        </w:rPr>
        <w:t>49.55</w:t>
      </w:r>
      <w:r>
        <w:rPr>
          <w:rFonts w:hint="eastAsia" w:ascii="仿宋_GB2312" w:eastAsia="仿宋_GB2312"/>
          <w:color w:val="000000"/>
          <w:sz w:val="32"/>
          <w:szCs w:val="32"/>
        </w:rPr>
        <w:t>万元，占总支出的</w:t>
      </w:r>
      <w:r>
        <w:rPr>
          <w:rFonts w:ascii="仿宋_GB2312" w:eastAsia="仿宋_GB2312"/>
          <w:color w:val="000000"/>
          <w:sz w:val="32"/>
          <w:szCs w:val="32"/>
        </w:rPr>
        <w:t>0.63%</w:t>
      </w:r>
      <w:r>
        <w:rPr>
          <w:rFonts w:hint="eastAsia" w:ascii="仿宋_GB2312" w:eastAsia="仿宋_GB2312"/>
          <w:color w:val="000000"/>
          <w:sz w:val="32"/>
          <w:szCs w:val="32"/>
        </w:rPr>
        <w:t>。主要用于办公费、差旅费、水电费、电话费、公务接待费、维护费等日常开支。</w:t>
      </w:r>
      <w:r>
        <w:rPr>
          <w:rFonts w:ascii="仿宋_GB2312" w:eastAsia="仿宋_GB2312"/>
          <w:color w:val="000000"/>
          <w:sz w:val="32"/>
          <w:szCs w:val="32"/>
        </w:rPr>
        <w:t>2021</w:t>
      </w:r>
      <w:r>
        <w:rPr>
          <w:rFonts w:hint="eastAsia" w:ascii="仿宋_GB2312" w:eastAsia="仿宋_GB2312"/>
          <w:color w:val="000000"/>
          <w:sz w:val="32"/>
          <w:szCs w:val="32"/>
        </w:rPr>
        <w:t>年公用经费持续有效支出，执行进度为</w:t>
      </w:r>
      <w:r>
        <w:rPr>
          <w:rFonts w:ascii="仿宋_GB2312" w:eastAsia="仿宋_GB2312"/>
          <w:color w:val="000000"/>
          <w:sz w:val="32"/>
          <w:szCs w:val="32"/>
        </w:rPr>
        <w:t>100%,</w:t>
      </w:r>
      <w:r>
        <w:rPr>
          <w:rFonts w:hint="eastAsia" w:ascii="仿宋_GB2312" w:eastAsia="仿宋_GB2312"/>
          <w:color w:val="000000"/>
          <w:sz w:val="32"/>
          <w:szCs w:val="32"/>
        </w:rPr>
        <w:t>支出完成年初预算的</w:t>
      </w:r>
      <w:r>
        <w:rPr>
          <w:rFonts w:ascii="仿宋_GB2312" w:eastAsia="仿宋_GB2312"/>
          <w:color w:val="000000"/>
          <w:sz w:val="32"/>
          <w:szCs w:val="32"/>
        </w:rPr>
        <w:t>100%</w:t>
      </w:r>
      <w:r>
        <w:rPr>
          <w:rFonts w:hint="eastAsia" w:ascii="仿宋_GB2312" w:eastAsia="仿宋_GB2312"/>
          <w:color w:val="000000"/>
          <w:sz w:val="32"/>
          <w:szCs w:val="32"/>
        </w:rPr>
        <w:t>，无违规情况。</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2021</w:t>
      </w:r>
      <w:r>
        <w:rPr>
          <w:rFonts w:hint="eastAsia" w:ascii="仿宋_GB2312" w:eastAsia="仿宋_GB2312"/>
          <w:color w:val="000000"/>
          <w:sz w:val="32"/>
          <w:szCs w:val="32"/>
        </w:rPr>
        <w:t>年项目经费</w:t>
      </w:r>
      <w:r>
        <w:rPr>
          <w:rFonts w:ascii="仿宋_GB2312" w:eastAsia="仿宋_GB2312"/>
          <w:color w:val="000000"/>
          <w:sz w:val="32"/>
          <w:szCs w:val="32"/>
        </w:rPr>
        <w:t>7150</w:t>
      </w:r>
      <w:r>
        <w:rPr>
          <w:rFonts w:hint="eastAsia" w:ascii="仿宋_GB2312" w:eastAsia="仿宋_GB2312"/>
          <w:color w:val="000000"/>
          <w:sz w:val="32"/>
          <w:szCs w:val="32"/>
        </w:rPr>
        <w:t>万元，占总支出的</w:t>
      </w:r>
      <w:r>
        <w:rPr>
          <w:rFonts w:ascii="仿宋_GB2312" w:eastAsia="仿宋_GB2312"/>
          <w:color w:val="000000"/>
          <w:sz w:val="32"/>
          <w:szCs w:val="32"/>
        </w:rPr>
        <w:t>91.59%</w:t>
      </w:r>
      <w:r>
        <w:rPr>
          <w:rFonts w:hint="eastAsia" w:ascii="仿宋_GB2312" w:eastAsia="仿宋_GB2312"/>
          <w:color w:val="000000"/>
          <w:sz w:val="32"/>
          <w:szCs w:val="32"/>
        </w:rPr>
        <w:t>，。资金执行进度为</w:t>
      </w:r>
      <w:r>
        <w:rPr>
          <w:rFonts w:ascii="仿宋_GB2312" w:eastAsia="仿宋_GB2312"/>
          <w:color w:val="000000"/>
          <w:sz w:val="32"/>
          <w:szCs w:val="32"/>
        </w:rPr>
        <w:t>100%,</w:t>
      </w:r>
      <w:r>
        <w:rPr>
          <w:rFonts w:hint="eastAsia" w:ascii="仿宋_GB2312" w:eastAsia="仿宋_GB2312"/>
          <w:color w:val="000000"/>
          <w:sz w:val="32"/>
          <w:szCs w:val="32"/>
        </w:rPr>
        <w:t>支出完成年初预算的</w:t>
      </w:r>
      <w:r>
        <w:rPr>
          <w:rFonts w:ascii="仿宋_GB2312" w:eastAsia="仿宋_GB2312"/>
          <w:color w:val="000000"/>
          <w:sz w:val="32"/>
          <w:szCs w:val="32"/>
        </w:rPr>
        <w:t>100%</w:t>
      </w:r>
      <w:r>
        <w:rPr>
          <w:rFonts w:hint="eastAsia" w:ascii="仿宋_GB2312" w:eastAsia="仿宋_GB2312"/>
          <w:color w:val="000000"/>
          <w:sz w:val="32"/>
          <w:szCs w:val="32"/>
        </w:rPr>
        <w:t>，资金结余率为</w:t>
      </w:r>
      <w:r>
        <w:rPr>
          <w:rFonts w:ascii="仿宋_GB2312" w:eastAsia="仿宋_GB2312"/>
          <w:color w:val="000000"/>
          <w:sz w:val="32"/>
          <w:szCs w:val="32"/>
        </w:rPr>
        <w:t>0</w:t>
      </w:r>
      <w:r>
        <w:rPr>
          <w:rFonts w:hint="eastAsia" w:ascii="仿宋_GB2312" w:eastAsia="仿宋_GB2312"/>
          <w:color w:val="000000"/>
          <w:sz w:val="32"/>
          <w:szCs w:val="32"/>
        </w:rPr>
        <w:t>，无违规情况。</w:t>
      </w:r>
    </w:p>
    <w:p>
      <w:pPr>
        <w:pStyle w:val="17"/>
        <w:spacing w:line="600" w:lineRule="exact"/>
        <w:ind w:firstLine="643"/>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（二）结果应用情况。</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绩效自评工作完成后，我单位将督促各项目实施单位及时整理、归纳、分析绩效评价结果，根据绩效自评结果，改进管理措施，完善管理办法，调整和优化支出结构，对绩效自评中发现的问题及时制定整改措施。绩效自评结果将按照政府信息公开有关规定，在规定范围内公开。</w:t>
      </w:r>
    </w:p>
    <w:p>
      <w:pPr>
        <w:pStyle w:val="17"/>
        <w:spacing w:line="600" w:lineRule="exact"/>
        <w:ind w:firstLine="643"/>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（三）自评质量</w:t>
      </w:r>
    </w:p>
    <w:p>
      <w:pPr>
        <w:pStyle w:val="17"/>
        <w:spacing w:line="600" w:lineRule="exact"/>
        <w:ind w:firstLine="480"/>
        <w:jc w:val="left"/>
        <w:rPr>
          <w:rStyle w:val="34"/>
          <w:rFonts w:ascii="仿宋_GB2312" w:eastAsia="仿宋_GB2312"/>
          <w:b w:val="0"/>
          <w:color w:val="000000"/>
          <w:sz w:val="32"/>
          <w:szCs w:val="32"/>
        </w:rPr>
      </w:pPr>
      <w:r>
        <w:rPr>
          <w:rStyle w:val="34"/>
          <w:rFonts w:hint="eastAsia" w:ascii="仿宋_GB2312" w:eastAsia="仿宋_GB2312"/>
          <w:b w:val="0"/>
          <w:color w:val="000000"/>
          <w:sz w:val="32"/>
          <w:szCs w:val="32"/>
        </w:rPr>
        <w:t>基本支出预算编制准确，按照进度执行预算支出。人员经费、公用经费等支出严格按照预算来进行支出，没有违纪违规现象。项目严格按照合同和绩效目标申报表实施，资金支付根据项目进度及验收报告进行支付。</w:t>
      </w:r>
    </w:p>
    <w:p>
      <w:pPr>
        <w:pStyle w:val="17"/>
        <w:spacing w:line="600" w:lineRule="exact"/>
        <w:ind w:firstLine="640"/>
        <w:jc w:val="left"/>
        <w:rPr>
          <w:rFonts w:ascii="黑体" w:hAnsi="宋体" w:eastAsia="黑体" w:cs="??_GB2312"/>
          <w:color w:val="000000"/>
          <w:sz w:val="32"/>
          <w:szCs w:val="32"/>
          <w:shd w:val="clear" w:color="auto" w:fill="FFFFFF"/>
          <w:lang w:val="zh-CN"/>
        </w:rPr>
      </w:pPr>
      <w:r>
        <w:rPr>
          <w:rFonts w:hint="eastAsia" w:ascii="黑体" w:hAnsi="宋体" w:eastAsia="黑体" w:cs="??_GB2312"/>
          <w:color w:val="000000"/>
          <w:sz w:val="32"/>
          <w:szCs w:val="32"/>
          <w:shd w:val="clear" w:color="auto" w:fill="FFFFFF"/>
          <w:lang w:val="zh-CN"/>
        </w:rPr>
        <w:t>四、评价结论及建议</w:t>
      </w:r>
    </w:p>
    <w:p>
      <w:pPr>
        <w:pStyle w:val="17"/>
        <w:spacing w:line="600" w:lineRule="exact"/>
        <w:ind w:firstLine="482"/>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（一）评论结论。</w:t>
      </w:r>
    </w:p>
    <w:p>
      <w:pPr>
        <w:pStyle w:val="31"/>
        <w:spacing w:before="0" w:beforeAutospacing="0" w:after="0" w:afterAutospacing="0" w:line="360" w:lineRule="auto"/>
        <w:ind w:right="-407" w:firstLine="636"/>
        <w:rPr>
          <w:rFonts w:ascii="仿宋_GB2312" w:hAnsi="Times New Roman" w:eastAsia="仿宋_GB2312" w:cs="Times New Roman"/>
          <w:color w:val="000000"/>
          <w:sz w:val="32"/>
          <w:szCs w:val="32"/>
        </w:rPr>
      </w:pPr>
      <w:r>
        <w:rPr>
          <w:rFonts w:hint="eastAsia" w:ascii="仿宋_GB2312" w:eastAsia="仿宋_GB2312"/>
          <w:sz w:val="32"/>
          <w:szCs w:val="32"/>
        </w:rPr>
        <w:t>项目实施严格按照资金文件及年初的目标绩效进行实施，项目程序合规，需要政府采购的进行政府采购，资金分配科学，资金划拨根据项目实施进度及合同要求及时划拨。专项预算绩效目标完成</w:t>
      </w:r>
      <w:r>
        <w:rPr>
          <w:rFonts w:ascii="仿宋_GB2312" w:eastAsia="仿宋_GB2312"/>
          <w:sz w:val="32"/>
          <w:szCs w:val="32"/>
        </w:rPr>
        <w:t>95%</w:t>
      </w:r>
      <w:r>
        <w:rPr>
          <w:rFonts w:hint="eastAsia" w:ascii="仿宋_GB2312" w:eastAsia="仿宋_GB2312"/>
          <w:sz w:val="32"/>
          <w:szCs w:val="32"/>
        </w:rPr>
        <w:t>以上，实施绩效</w:t>
      </w:r>
      <w:r>
        <w:rPr>
          <w:rFonts w:ascii="仿宋_GB2312" w:eastAsia="仿宋_GB2312"/>
          <w:sz w:val="32"/>
          <w:szCs w:val="32"/>
        </w:rPr>
        <w:t>90%</w:t>
      </w:r>
      <w:r>
        <w:rPr>
          <w:rFonts w:hint="eastAsia" w:ascii="仿宋_GB2312" w:eastAsia="仿宋_GB2312"/>
          <w:sz w:val="32"/>
          <w:szCs w:val="32"/>
        </w:rPr>
        <w:t>以上，项目实施无违规现象，自评结论为</w:t>
      </w:r>
      <w:r>
        <w:rPr>
          <w:rFonts w:ascii="仿宋_GB2312" w:eastAsia="仿宋_GB2312"/>
          <w:sz w:val="32"/>
          <w:szCs w:val="32"/>
        </w:rPr>
        <w:t>92</w:t>
      </w:r>
      <w:r>
        <w:rPr>
          <w:rFonts w:hint="eastAsia" w:ascii="仿宋_GB2312" w:eastAsia="仿宋_GB2312"/>
          <w:sz w:val="32"/>
          <w:szCs w:val="32"/>
        </w:rPr>
        <w:t>分。</w:t>
      </w:r>
    </w:p>
    <w:p>
      <w:pPr>
        <w:pStyle w:val="17"/>
        <w:spacing w:line="600" w:lineRule="exact"/>
        <w:ind w:firstLine="643"/>
        <w:jc w:val="left"/>
        <w:rPr>
          <w:rFonts w:ascii="仿宋_GB2312" w:hAnsi="Times New Roman" w:eastAsia="仿宋_GB2312"/>
          <w:b/>
          <w:sz w:val="32"/>
          <w:szCs w:val="32"/>
        </w:rPr>
      </w:pPr>
      <w:r>
        <w:rPr>
          <w:rFonts w:hint="eastAsia" w:ascii="仿宋_GB2312" w:hAnsi="Times New Roman" w:eastAsia="仿宋_GB2312"/>
          <w:b/>
          <w:sz w:val="32"/>
          <w:szCs w:val="32"/>
        </w:rPr>
        <w:t>（二）存在问题</w:t>
      </w:r>
    </w:p>
    <w:p>
      <w:pPr>
        <w:pStyle w:val="17"/>
        <w:spacing w:line="600" w:lineRule="exact"/>
        <w:ind w:firstLine="640"/>
        <w:jc w:val="left"/>
        <w:rPr>
          <w:rFonts w:ascii="仿宋_GB2312" w:hAnsi="Times New Roman" w:eastAsia="仿宋_GB2312"/>
          <w:sz w:val="32"/>
          <w:szCs w:val="32"/>
        </w:rPr>
      </w:pPr>
      <w:r>
        <w:rPr>
          <w:rFonts w:hint="eastAsia" w:ascii="仿宋_GB2312" w:hAnsi="Times New Roman" w:eastAsia="仿宋_GB2312"/>
          <w:sz w:val="32"/>
          <w:szCs w:val="32"/>
        </w:rPr>
        <w:t>部分项目实施进度滞后，需加快项目进度。对工程类项目需加强工程管理。</w:t>
      </w:r>
    </w:p>
    <w:p>
      <w:pPr>
        <w:pStyle w:val="17"/>
        <w:spacing w:line="600" w:lineRule="exact"/>
        <w:ind w:firstLine="643"/>
        <w:jc w:val="left"/>
        <w:rPr>
          <w:rFonts w:ascii="仿宋_GB2312" w:hAnsi="Times New Roman" w:eastAsia="仿宋_GB2312"/>
          <w:b/>
          <w:sz w:val="32"/>
          <w:szCs w:val="32"/>
        </w:rPr>
      </w:pPr>
      <w:r>
        <w:rPr>
          <w:rFonts w:hint="eastAsia" w:ascii="仿宋_GB2312" w:hAnsi="Times New Roman" w:eastAsia="仿宋_GB2312"/>
          <w:b/>
          <w:sz w:val="32"/>
          <w:szCs w:val="32"/>
        </w:rPr>
        <w:t>（三）改进建议</w:t>
      </w:r>
    </w:p>
    <w:p>
      <w:pPr>
        <w:widowControl/>
        <w:spacing w:line="560" w:lineRule="exact"/>
        <w:ind w:firstLine="640"/>
        <w:contextualSpacing/>
        <w:jc w:val="left"/>
        <w:rPr>
          <w:rFonts w:ascii="仿宋_GB2312" w:eastAsia="仿宋_GB2312"/>
          <w:sz w:val="32"/>
          <w:szCs w:val="32"/>
          <w:lang w:val="zh-CN"/>
        </w:rPr>
      </w:pPr>
      <w:r>
        <w:rPr>
          <w:rFonts w:hint="eastAsia" w:ascii="仿宋_GB2312" w:eastAsia="仿宋_GB2312"/>
          <w:sz w:val="32"/>
          <w:szCs w:val="32"/>
        </w:rPr>
        <w:t>进一步加强项目的绩效管理，</w:t>
      </w:r>
      <w:r>
        <w:rPr>
          <w:rFonts w:hint="eastAsia" w:ascii="仿宋_GB2312" w:eastAsia="仿宋_GB2312"/>
          <w:sz w:val="32"/>
          <w:szCs w:val="32"/>
          <w:lang w:val="zh-CN"/>
        </w:rPr>
        <w:t>绩效指标要细化量化到位，便于更好地绩效监控。</w:t>
      </w:r>
    </w:p>
    <w:p>
      <w:pPr>
        <w:pStyle w:val="17"/>
        <w:spacing w:line="600" w:lineRule="exact"/>
        <w:ind w:firstLine="640"/>
        <w:jc w:val="left"/>
        <w:rPr>
          <w:rFonts w:ascii="仿宋_GB2312" w:hAnsi="Times New Roman" w:eastAsia="仿宋_GB2312"/>
          <w:sz w:val="32"/>
          <w:szCs w:val="32"/>
        </w:rPr>
      </w:pPr>
    </w:p>
    <w:p>
      <w:pPr>
        <w:spacing w:line="560" w:lineRule="exact"/>
        <w:ind w:firstLine="640"/>
        <w:rPr>
          <w:rFonts w:ascii="??_GB2312"/>
          <w:sz w:val="32"/>
          <w:szCs w:val="32"/>
        </w:rPr>
      </w:pPr>
    </w:p>
    <w:p>
      <w:pPr>
        <w:spacing w:line="560" w:lineRule="exact"/>
        <w:ind w:firstLine="800"/>
        <w:rPr>
          <w:rFonts w:ascii="??_GB2312"/>
          <w:sz w:val="32"/>
          <w:szCs w:val="32"/>
        </w:rPr>
      </w:pPr>
      <w:r>
        <w:rPr>
          <w:rFonts w:ascii="??_GB2312"/>
          <w:sz w:val="32"/>
          <w:szCs w:val="32"/>
        </w:rPr>
        <w:t xml:space="preserve">                      2022</w:t>
      </w:r>
      <w:r>
        <w:rPr>
          <w:rFonts w:hint="eastAsia" w:ascii="??_GB2312"/>
          <w:sz w:val="32"/>
          <w:szCs w:val="32"/>
        </w:rPr>
        <w:t>年</w:t>
      </w:r>
      <w:r>
        <w:rPr>
          <w:rFonts w:ascii="??_GB2312"/>
          <w:sz w:val="32"/>
          <w:szCs w:val="32"/>
        </w:rPr>
        <w:t>10</w:t>
      </w:r>
      <w:r>
        <w:rPr>
          <w:rFonts w:hint="eastAsia" w:ascii="??_GB2312"/>
          <w:sz w:val="32"/>
          <w:szCs w:val="32"/>
        </w:rPr>
        <w:t>月</w:t>
      </w:r>
      <w:r>
        <w:rPr>
          <w:rFonts w:ascii="??_GB2312"/>
          <w:sz w:val="32"/>
          <w:szCs w:val="32"/>
        </w:rPr>
        <w:t>18</w:t>
      </w:r>
      <w:r>
        <w:rPr>
          <w:rFonts w:hint="eastAsia" w:ascii="??_GB2312"/>
          <w:sz w:val="32"/>
          <w:szCs w:val="32"/>
        </w:rPr>
        <w:t>日</w:t>
      </w:r>
    </w:p>
    <w:p>
      <w:pPr>
        <w:spacing w:line="560" w:lineRule="exact"/>
        <w:rPr>
          <w:rFonts w:ascii="黑体" w:hAnsi="黑体" w:eastAsia="黑体" w:cs="黑体"/>
          <w:sz w:val="32"/>
          <w:szCs w:val="32"/>
        </w:rPr>
      </w:pP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jc w:val="center"/>
        <w:outlineLvl w:val="0"/>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盐边县文化广播电视和旅游局</w:t>
      </w:r>
    </w:p>
    <w:p>
      <w:pPr>
        <w:spacing w:line="560" w:lineRule="exact"/>
        <w:jc w:val="center"/>
        <w:outlineLvl w:val="0"/>
        <w:rPr>
          <w:rFonts w:ascii="方正小标宋_GBK" w:hAnsi="方正小标宋_GBK" w:eastAsia="方正小标宋_GBK" w:cs="方正小标宋_GBK"/>
          <w:bCs/>
          <w:sz w:val="44"/>
          <w:szCs w:val="44"/>
          <w:lang w:val="zh-CN"/>
        </w:rPr>
      </w:pPr>
      <w:r>
        <w:rPr>
          <w:rFonts w:ascii="方正小标宋_GBK" w:hAnsi="方正小标宋_GBK" w:eastAsia="方正小标宋_GBK" w:cs="方正小标宋_GBK"/>
          <w:bCs/>
          <w:sz w:val="44"/>
          <w:szCs w:val="44"/>
        </w:rPr>
        <w:t>2021</w:t>
      </w:r>
      <w:r>
        <w:rPr>
          <w:rFonts w:hint="eastAsia" w:ascii="方正小标宋_GBK" w:hAnsi="方正小标宋_GBK" w:eastAsia="方正小标宋_GBK" w:cs="方正小标宋_GBK"/>
          <w:bCs/>
          <w:sz w:val="44"/>
          <w:szCs w:val="44"/>
        </w:rPr>
        <w:t>年</w:t>
      </w:r>
      <w:r>
        <w:rPr>
          <w:rFonts w:hint="eastAsia" w:ascii="方正小标宋_GBK" w:hAnsi="方正小标宋_GBK" w:eastAsia="方正小标宋_GBK" w:cs="方正小标宋_GBK"/>
          <w:bCs/>
          <w:sz w:val="44"/>
          <w:szCs w:val="44"/>
          <w:lang w:val="zh-CN"/>
        </w:rPr>
        <w:t>专项预算项目支出绩效自评报告</w:t>
      </w:r>
    </w:p>
    <w:p>
      <w:pPr>
        <w:pStyle w:val="2"/>
        <w:spacing w:before="93" w:line="560" w:lineRule="exact"/>
        <w:jc w:val="center"/>
        <w:rPr>
          <w:rFonts w:hAnsi="华文仿宋" w:cs="华文仿宋"/>
          <w:sz w:val="32"/>
          <w:szCs w:val="32"/>
        </w:rPr>
      </w:pPr>
      <w:r>
        <w:rPr>
          <w:rFonts w:hint="eastAsia" w:hAnsi="华文仿宋" w:cs="华文仿宋"/>
          <w:sz w:val="32"/>
          <w:szCs w:val="32"/>
        </w:rPr>
        <w:t>（</w:t>
      </w:r>
      <w:r>
        <w:rPr>
          <w:rFonts w:hAnsi="华文仿宋" w:cs="华文仿宋"/>
          <w:sz w:val="32"/>
          <w:szCs w:val="32"/>
        </w:rPr>
        <w:t>2021</w:t>
      </w:r>
      <w:r>
        <w:rPr>
          <w:rFonts w:hint="eastAsia" w:hAnsi="华文仿宋" w:cs="华文仿宋"/>
          <w:sz w:val="32"/>
          <w:szCs w:val="32"/>
        </w:rPr>
        <w:t>年广播电视运行维护费）</w:t>
      </w:r>
    </w:p>
    <w:p>
      <w:pPr>
        <w:spacing w:line="560" w:lineRule="exact"/>
        <w:ind w:firstLine="880"/>
        <w:rPr>
          <w:rFonts w:ascii="黑体" w:hAnsi="华文仿宋" w:eastAsia="黑体" w:cs="华文仿宋"/>
          <w:b/>
          <w:sz w:val="32"/>
          <w:szCs w:val="32"/>
        </w:rPr>
      </w:pPr>
    </w:p>
    <w:p>
      <w:pPr>
        <w:spacing w:line="560" w:lineRule="exact"/>
        <w:ind w:firstLine="880"/>
        <w:rPr>
          <w:rFonts w:ascii="黑体" w:hAnsi="华文仿宋" w:eastAsia="黑体" w:cs="华文仿宋"/>
          <w:b/>
          <w:sz w:val="32"/>
          <w:szCs w:val="32"/>
          <w:lang w:val="zh-CN"/>
        </w:rPr>
      </w:pPr>
      <w:r>
        <w:rPr>
          <w:rFonts w:hint="eastAsia" w:ascii="黑体" w:hAnsi="华文仿宋" w:eastAsia="黑体" w:cs="华文仿宋"/>
          <w:b/>
          <w:sz w:val="32"/>
          <w:szCs w:val="32"/>
        </w:rPr>
        <w:t>一、</w:t>
      </w:r>
      <w:r>
        <w:rPr>
          <w:rFonts w:hint="eastAsia" w:ascii="黑体" w:hAnsi="华文仿宋" w:eastAsia="黑体" w:cs="华文仿宋"/>
          <w:b/>
          <w:sz w:val="32"/>
          <w:szCs w:val="32"/>
          <w:lang w:val="zh-CN"/>
        </w:rPr>
        <w:t>项目概况</w:t>
      </w:r>
    </w:p>
    <w:p>
      <w:pPr>
        <w:spacing w:line="560" w:lineRule="exact"/>
        <w:ind w:firstLine="720"/>
        <w:rPr>
          <w:rFonts w:ascii="仿宋_GB2312" w:hAnsi="华文仿宋" w:eastAsia="仿宋_GB2312" w:cs="华文仿宋"/>
          <w:b/>
          <w:sz w:val="32"/>
          <w:szCs w:val="32"/>
          <w:lang w:val="zh-CN"/>
        </w:rPr>
      </w:pPr>
      <w:r>
        <w:rPr>
          <w:rFonts w:hint="eastAsia" w:ascii="仿宋_GB2312" w:hAnsi="华文仿宋" w:eastAsia="仿宋_GB2312" w:cs="华文仿宋"/>
          <w:b/>
          <w:sz w:val="32"/>
          <w:szCs w:val="32"/>
          <w:lang w:val="zh-CN"/>
        </w:rPr>
        <w:t>（一）项目基本情况。</w:t>
      </w:r>
    </w:p>
    <w:p>
      <w:pPr>
        <w:spacing w:line="560" w:lineRule="exact"/>
        <w:ind w:firstLine="960"/>
        <w:rPr>
          <w:rFonts w:ascii="仿宋_GB2312" w:hAnsi="华文仿宋" w:eastAsia="仿宋_GB2312" w:cs="华文仿宋"/>
          <w:sz w:val="32"/>
          <w:szCs w:val="32"/>
          <w:lang w:val="zh-CN"/>
        </w:rPr>
      </w:pPr>
      <w:r>
        <w:rPr>
          <w:rFonts w:ascii="仿宋_GB2312" w:hAnsi="华文仿宋" w:eastAsia="仿宋_GB2312" w:cs="华文仿宋"/>
          <w:sz w:val="32"/>
          <w:szCs w:val="32"/>
          <w:lang w:val="zh-CN"/>
        </w:rPr>
        <w:t>1</w:t>
      </w:r>
      <w:r>
        <w:rPr>
          <w:rFonts w:hint="eastAsia" w:ascii="仿宋_GB2312" w:hAnsi="华文仿宋" w:eastAsia="仿宋_GB2312" w:cs="华文仿宋"/>
          <w:sz w:val="32"/>
          <w:szCs w:val="32"/>
          <w:lang w:val="zh-CN"/>
        </w:rPr>
        <w:t>．文广旅局负责实施该项目，在项目实施中负责对项目进行政府采购，在项目实施中负责监督检查，对项目进行验收，按照项目进度划拨项目款。</w:t>
      </w:r>
    </w:p>
    <w:p>
      <w:pPr>
        <w:spacing w:line="560" w:lineRule="exact"/>
        <w:ind w:firstLine="960"/>
        <w:rPr>
          <w:rFonts w:ascii="仿宋_GB2312" w:hAnsi="华文仿宋" w:eastAsia="仿宋_GB2312" w:cs="华文仿宋"/>
          <w:sz w:val="32"/>
          <w:szCs w:val="32"/>
          <w:lang w:val="zh-CN"/>
        </w:rPr>
      </w:pPr>
      <w:r>
        <w:rPr>
          <w:rFonts w:ascii="仿宋_GB2312" w:hAnsi="华文仿宋" w:eastAsia="仿宋_GB2312" w:cs="华文仿宋"/>
          <w:sz w:val="32"/>
          <w:szCs w:val="32"/>
          <w:lang w:val="zh-CN"/>
        </w:rPr>
        <w:t>2</w:t>
      </w:r>
      <w:r>
        <w:rPr>
          <w:rFonts w:hint="eastAsia" w:ascii="仿宋_GB2312" w:hAnsi="华文仿宋" w:eastAsia="仿宋_GB2312" w:cs="华文仿宋"/>
          <w:sz w:val="32"/>
          <w:szCs w:val="32"/>
          <w:lang w:val="zh-CN"/>
        </w:rPr>
        <w:t>．项目立项、资金申报的依据。</w:t>
      </w:r>
    </w:p>
    <w:p>
      <w:pPr>
        <w:spacing w:line="560" w:lineRule="exact"/>
        <w:ind w:firstLine="640"/>
        <w:rPr>
          <w:rFonts w:ascii="仿宋_GB2312" w:eastAsia="仿宋_GB2312"/>
          <w:sz w:val="32"/>
          <w:szCs w:val="32"/>
        </w:rPr>
      </w:pPr>
      <w:r>
        <w:rPr>
          <w:rFonts w:hint="eastAsia" w:ascii="仿宋_GB2312" w:eastAsia="仿宋_GB2312"/>
          <w:sz w:val="32"/>
          <w:szCs w:val="32"/>
        </w:rPr>
        <w:t>盐边县地面数字电视工程，从</w:t>
      </w:r>
      <w:r>
        <w:rPr>
          <w:rFonts w:ascii="仿宋_GB2312" w:eastAsia="仿宋_GB2312"/>
          <w:sz w:val="32"/>
          <w:szCs w:val="32"/>
        </w:rPr>
        <w:t>2012</w:t>
      </w:r>
      <w:r>
        <w:rPr>
          <w:rFonts w:hint="eastAsia" w:ascii="仿宋_GB2312" w:eastAsia="仿宋_GB2312"/>
          <w:sz w:val="32"/>
          <w:szCs w:val="32"/>
        </w:rPr>
        <w:t>年开始建设，到</w:t>
      </w:r>
      <w:r>
        <w:rPr>
          <w:rFonts w:ascii="仿宋_GB2312" w:eastAsia="仿宋_GB2312"/>
          <w:sz w:val="32"/>
          <w:szCs w:val="32"/>
        </w:rPr>
        <w:t>2019</w:t>
      </w:r>
      <w:r>
        <w:rPr>
          <w:rFonts w:hint="eastAsia" w:ascii="仿宋_GB2312" w:eastAsia="仿宋_GB2312"/>
          <w:sz w:val="32"/>
          <w:szCs w:val="32"/>
        </w:rPr>
        <w:t>年建设工程全面结束，共建成地面数字电视光纤传输网络</w:t>
      </w:r>
      <w:r>
        <w:rPr>
          <w:rFonts w:ascii="仿宋_GB2312" w:eastAsia="仿宋_GB2312"/>
          <w:sz w:val="32"/>
          <w:szCs w:val="32"/>
        </w:rPr>
        <w:t>200</w:t>
      </w:r>
      <w:r>
        <w:rPr>
          <w:rFonts w:hint="eastAsia" w:ascii="仿宋_GB2312" w:eastAsia="仿宋_GB2312"/>
          <w:sz w:val="32"/>
          <w:szCs w:val="32"/>
        </w:rPr>
        <w:t>余公里，电力线路</w:t>
      </w:r>
      <w:r>
        <w:rPr>
          <w:rFonts w:ascii="仿宋_GB2312" w:eastAsia="仿宋_GB2312"/>
          <w:sz w:val="32"/>
          <w:szCs w:val="32"/>
        </w:rPr>
        <w:t>2.5</w:t>
      </w:r>
      <w:r>
        <w:rPr>
          <w:rFonts w:hint="eastAsia" w:ascii="仿宋_GB2312" w:eastAsia="仿宋_GB2312"/>
          <w:sz w:val="32"/>
          <w:szCs w:val="32"/>
        </w:rPr>
        <w:t>公里、安装</w:t>
      </w:r>
      <w:r>
        <w:rPr>
          <w:rFonts w:ascii="仿宋_GB2312" w:eastAsia="仿宋_GB2312"/>
          <w:sz w:val="32"/>
          <w:szCs w:val="32"/>
        </w:rPr>
        <w:t>20</w:t>
      </w:r>
      <w:r>
        <w:rPr>
          <w:rFonts w:hint="eastAsia" w:ascii="仿宋_GB2312" w:eastAsia="仿宋_GB2312"/>
          <w:sz w:val="32"/>
          <w:szCs w:val="32"/>
        </w:rPr>
        <w:t>千伏安变压器</w:t>
      </w:r>
      <w:r>
        <w:rPr>
          <w:rFonts w:ascii="仿宋_GB2312" w:eastAsia="仿宋_GB2312"/>
          <w:sz w:val="32"/>
          <w:szCs w:val="32"/>
        </w:rPr>
        <w:t>5</w:t>
      </w:r>
      <w:r>
        <w:rPr>
          <w:rFonts w:hint="eastAsia" w:ascii="仿宋_GB2312" w:eastAsia="仿宋_GB2312"/>
          <w:sz w:val="32"/>
          <w:szCs w:val="32"/>
        </w:rPr>
        <w:t>台，自建</w:t>
      </w:r>
      <w:r>
        <w:rPr>
          <w:rFonts w:ascii="仿宋_GB2312" w:eastAsia="仿宋_GB2312"/>
          <w:sz w:val="32"/>
          <w:szCs w:val="32"/>
        </w:rPr>
        <w:t>20</w:t>
      </w:r>
      <w:r>
        <w:rPr>
          <w:rFonts w:hint="eastAsia" w:ascii="仿宋_GB2312" w:eastAsia="仿宋_GB2312"/>
          <w:sz w:val="32"/>
          <w:szCs w:val="32"/>
        </w:rPr>
        <w:t>米以上发射铁塔</w:t>
      </w:r>
      <w:r>
        <w:rPr>
          <w:rFonts w:ascii="仿宋_GB2312" w:eastAsia="仿宋_GB2312"/>
          <w:sz w:val="32"/>
          <w:szCs w:val="32"/>
        </w:rPr>
        <w:t>5</w:t>
      </w:r>
      <w:r>
        <w:rPr>
          <w:rFonts w:hint="eastAsia" w:ascii="仿宋_GB2312" w:eastAsia="仿宋_GB2312"/>
          <w:sz w:val="32"/>
          <w:szCs w:val="32"/>
        </w:rPr>
        <w:t>座、租用铁塔公司铁塔</w:t>
      </w:r>
      <w:r>
        <w:rPr>
          <w:rFonts w:ascii="仿宋_GB2312" w:eastAsia="仿宋_GB2312"/>
          <w:sz w:val="32"/>
          <w:szCs w:val="32"/>
        </w:rPr>
        <w:t>49</w:t>
      </w:r>
      <w:r>
        <w:rPr>
          <w:rFonts w:hint="eastAsia" w:ascii="仿宋_GB2312" w:eastAsia="仿宋_GB2312"/>
          <w:sz w:val="32"/>
          <w:szCs w:val="32"/>
        </w:rPr>
        <w:t>座，建成地面数字电视直放站</w:t>
      </w:r>
      <w:r>
        <w:rPr>
          <w:rFonts w:ascii="仿宋_GB2312" w:eastAsia="仿宋_GB2312"/>
          <w:sz w:val="32"/>
          <w:szCs w:val="32"/>
        </w:rPr>
        <w:t>54</w:t>
      </w:r>
      <w:r>
        <w:rPr>
          <w:rFonts w:hint="eastAsia" w:ascii="仿宋_GB2312" w:eastAsia="仿宋_GB2312"/>
          <w:sz w:val="32"/>
          <w:szCs w:val="32"/>
        </w:rPr>
        <w:t>个、发射总功率</w:t>
      </w:r>
      <w:r>
        <w:rPr>
          <w:rFonts w:ascii="仿宋_GB2312" w:eastAsia="仿宋_GB2312"/>
          <w:sz w:val="32"/>
          <w:szCs w:val="32"/>
        </w:rPr>
        <w:t>2</w:t>
      </w:r>
      <w:r>
        <w:rPr>
          <w:rFonts w:hint="eastAsia" w:ascii="仿宋_GB2312" w:eastAsia="仿宋_GB2312"/>
          <w:sz w:val="32"/>
          <w:szCs w:val="32"/>
        </w:rPr>
        <w:t>千瓦，覆盖用户</w:t>
      </w:r>
      <w:r>
        <w:rPr>
          <w:rFonts w:ascii="仿宋_GB2312" w:eastAsia="仿宋_GB2312"/>
          <w:sz w:val="32"/>
          <w:szCs w:val="32"/>
        </w:rPr>
        <w:t>3</w:t>
      </w:r>
      <w:r>
        <w:rPr>
          <w:rFonts w:hint="eastAsia" w:ascii="仿宋_GB2312" w:eastAsia="仿宋_GB2312"/>
          <w:sz w:val="32"/>
          <w:szCs w:val="32"/>
        </w:rPr>
        <w:t>万余户，实际发展地面数字电视用户</w:t>
      </w:r>
      <w:r>
        <w:rPr>
          <w:rFonts w:ascii="仿宋_GB2312" w:eastAsia="仿宋_GB2312"/>
          <w:sz w:val="32"/>
          <w:szCs w:val="32"/>
        </w:rPr>
        <w:t>3</w:t>
      </w:r>
      <w:r>
        <w:rPr>
          <w:rFonts w:hint="eastAsia" w:ascii="仿宋_GB2312" w:eastAsia="仿宋_GB2312"/>
          <w:sz w:val="32"/>
          <w:szCs w:val="32"/>
        </w:rPr>
        <w:t>万余户。</w:t>
      </w:r>
    </w:p>
    <w:p>
      <w:pPr>
        <w:spacing w:line="560" w:lineRule="exact"/>
        <w:ind w:firstLine="480"/>
        <w:rPr>
          <w:rFonts w:ascii="仿宋_GB2312" w:hAnsi="华文仿宋" w:eastAsia="仿宋_GB2312" w:cs="华文仿宋"/>
          <w:sz w:val="32"/>
          <w:szCs w:val="32"/>
        </w:rPr>
      </w:pPr>
      <w:r>
        <w:rPr>
          <w:rFonts w:hint="eastAsia" w:ascii="仿宋_GB2312" w:hAnsi="华文仿宋" w:eastAsia="仿宋_GB2312" w:cs="华文仿宋"/>
          <w:sz w:val="32"/>
          <w:szCs w:val="32"/>
        </w:rPr>
        <w:t>立项依据，根据《</w:t>
      </w:r>
      <w:r>
        <w:rPr>
          <w:rFonts w:ascii="仿宋_GB2312" w:hAnsi="华文仿宋" w:eastAsia="仿宋_GB2312" w:cs="华文仿宋"/>
          <w:sz w:val="32"/>
          <w:szCs w:val="32"/>
        </w:rPr>
        <w:t>2021</w:t>
      </w:r>
      <w:r>
        <w:rPr>
          <w:rFonts w:hint="eastAsia" w:ascii="仿宋_GB2312" w:hAnsi="华文仿宋" w:eastAsia="仿宋_GB2312" w:cs="华文仿宋"/>
          <w:sz w:val="32"/>
          <w:szCs w:val="32"/>
        </w:rPr>
        <w:t>年全省</w:t>
      </w:r>
      <w:r>
        <w:rPr>
          <w:rFonts w:ascii="仿宋_GB2312" w:hAnsi="华文仿宋" w:eastAsia="仿宋_GB2312" w:cs="华文仿宋"/>
          <w:sz w:val="32"/>
          <w:szCs w:val="32"/>
        </w:rPr>
        <w:t>30</w:t>
      </w:r>
      <w:r>
        <w:rPr>
          <w:rFonts w:hint="eastAsia" w:ascii="仿宋_GB2312" w:hAnsi="华文仿宋" w:eastAsia="仿宋_GB2312" w:cs="华文仿宋"/>
          <w:sz w:val="32"/>
          <w:szCs w:val="32"/>
        </w:rPr>
        <w:t>件民生实事广播电视运行维护实施方案的通知》（川广办发</w:t>
      </w:r>
      <w:r>
        <w:rPr>
          <w:rFonts w:ascii="仿宋_GB2312" w:eastAsia="仿宋_GB2312"/>
          <w:sz w:val="32"/>
          <w:szCs w:val="32"/>
        </w:rPr>
        <w:t>[2021]</w:t>
      </w:r>
      <w:r>
        <w:rPr>
          <w:rFonts w:ascii="仿宋_GB2312" w:hAnsi="华文仿宋" w:eastAsia="仿宋_GB2312" w:cs="华文仿宋"/>
          <w:sz w:val="32"/>
          <w:szCs w:val="32"/>
        </w:rPr>
        <w:t>4</w:t>
      </w:r>
      <w:r>
        <w:rPr>
          <w:rFonts w:hint="eastAsia" w:ascii="仿宋_GB2312" w:hAnsi="华文仿宋" w:eastAsia="仿宋_GB2312" w:cs="华文仿宋"/>
          <w:sz w:val="32"/>
          <w:szCs w:val="32"/>
        </w:rPr>
        <w:t>号）和《四川省人民政府办公厅关于加快推进广播电视村村通向户户通升级工作的通知》（川办发</w:t>
      </w:r>
      <w:r>
        <w:rPr>
          <w:rFonts w:ascii="仿宋_GB2312" w:eastAsia="仿宋_GB2312"/>
          <w:sz w:val="32"/>
          <w:szCs w:val="32"/>
        </w:rPr>
        <w:t>[2016]</w:t>
      </w:r>
      <w:r>
        <w:rPr>
          <w:rFonts w:ascii="仿宋_GB2312" w:hAnsi="华文仿宋" w:eastAsia="仿宋_GB2312" w:cs="华文仿宋"/>
          <w:sz w:val="32"/>
          <w:szCs w:val="32"/>
        </w:rPr>
        <w:t>72</w:t>
      </w:r>
      <w:r>
        <w:rPr>
          <w:rFonts w:hint="eastAsia" w:ascii="仿宋_GB2312" w:hAnsi="华文仿宋" w:eastAsia="仿宋_GB2312" w:cs="华文仿宋"/>
          <w:sz w:val="32"/>
          <w:szCs w:val="32"/>
        </w:rPr>
        <w:t>号），结合我县实际申报</w:t>
      </w:r>
      <w:r>
        <w:rPr>
          <w:rFonts w:ascii="仿宋_GB2312" w:hAnsi="华文仿宋" w:eastAsia="仿宋_GB2312" w:cs="华文仿宋"/>
          <w:sz w:val="32"/>
          <w:szCs w:val="32"/>
        </w:rPr>
        <w:t>2021</w:t>
      </w:r>
      <w:r>
        <w:rPr>
          <w:rFonts w:hint="eastAsia" w:ascii="仿宋_GB2312" w:hAnsi="华文仿宋" w:eastAsia="仿宋_GB2312" w:cs="华文仿宋"/>
          <w:sz w:val="32"/>
          <w:szCs w:val="32"/>
        </w:rPr>
        <w:t>年广播电视运行维护费</w:t>
      </w:r>
    </w:p>
    <w:p>
      <w:pPr>
        <w:spacing w:line="560" w:lineRule="exact"/>
        <w:ind w:firstLine="640"/>
        <w:rPr>
          <w:rFonts w:ascii="仿宋_GB2312" w:hAnsi="华文仿宋" w:eastAsia="仿宋_GB2312" w:cs="华文仿宋"/>
          <w:sz w:val="32"/>
          <w:szCs w:val="32"/>
          <w:lang w:val="zh-CN"/>
        </w:rPr>
      </w:pPr>
      <w:r>
        <w:rPr>
          <w:rFonts w:ascii="仿宋_GB2312" w:hAnsi="华文仿宋" w:eastAsia="仿宋_GB2312" w:cs="华文仿宋"/>
          <w:sz w:val="32"/>
          <w:szCs w:val="32"/>
          <w:lang w:val="zh-CN"/>
        </w:rPr>
        <w:t>3</w:t>
      </w:r>
      <w:r>
        <w:rPr>
          <w:rFonts w:hint="eastAsia" w:ascii="仿宋_GB2312" w:hAnsi="华文仿宋" w:eastAsia="仿宋_GB2312" w:cs="华文仿宋"/>
          <w:sz w:val="32"/>
          <w:szCs w:val="32"/>
          <w:lang w:val="zh-CN"/>
        </w:rPr>
        <w:t>．资金管理办法制定情况，资金支持具体项目的条件、范围与支持方式概况。</w:t>
      </w:r>
    </w:p>
    <w:p>
      <w:pPr>
        <w:spacing w:line="560" w:lineRule="exact"/>
        <w:ind w:firstLine="640"/>
        <w:rPr>
          <w:rFonts w:ascii="仿宋_GB2312" w:hAnsi="华文仿宋" w:eastAsia="仿宋_GB2312" w:cs="华文仿宋"/>
          <w:sz w:val="32"/>
          <w:szCs w:val="32"/>
          <w:lang w:val="zh-CN"/>
        </w:rPr>
      </w:pPr>
      <w:r>
        <w:rPr>
          <w:rFonts w:hint="eastAsia" w:ascii="仿宋_GB2312" w:hAnsi="华文仿宋" w:eastAsia="仿宋_GB2312" w:cs="华文仿宋"/>
          <w:sz w:val="32"/>
          <w:szCs w:val="32"/>
          <w:lang w:val="zh-CN"/>
        </w:rPr>
        <w:t>在项目实施过程中资金由财政下发至金财网平台，实行专款专用，加强资金管理，严禁挤占、挪用、截留该项目资金。在资金使用过程中由项目实施方提出申请，项目管理部门检查验收工程进度是否符合申报条件，单位财务人员根据审核后的资金申请拨付项目进度款。</w:t>
      </w:r>
    </w:p>
    <w:p>
      <w:pPr>
        <w:spacing w:line="560" w:lineRule="exact"/>
        <w:ind w:firstLine="640"/>
        <w:rPr>
          <w:rFonts w:ascii="仿宋_GB2312" w:hAnsi="华文仿宋" w:eastAsia="仿宋_GB2312" w:cs="华文仿宋"/>
          <w:sz w:val="32"/>
          <w:szCs w:val="32"/>
          <w:lang w:val="zh-CN"/>
        </w:rPr>
      </w:pPr>
      <w:r>
        <w:rPr>
          <w:rFonts w:ascii="仿宋_GB2312" w:hAnsi="华文仿宋" w:eastAsia="仿宋_GB2312" w:cs="华文仿宋"/>
          <w:sz w:val="32"/>
          <w:szCs w:val="32"/>
          <w:lang w:val="zh-CN"/>
        </w:rPr>
        <w:t>4</w:t>
      </w:r>
      <w:r>
        <w:rPr>
          <w:rFonts w:hint="eastAsia" w:ascii="仿宋_GB2312" w:hAnsi="华文仿宋" w:eastAsia="仿宋_GB2312" w:cs="华文仿宋"/>
          <w:sz w:val="32"/>
          <w:szCs w:val="32"/>
          <w:lang w:val="zh-CN"/>
        </w:rPr>
        <w:t>．资金分配的原则及考虑因素。</w:t>
      </w:r>
    </w:p>
    <w:p>
      <w:pPr>
        <w:spacing w:line="560" w:lineRule="exact"/>
        <w:ind w:firstLine="640"/>
        <w:rPr>
          <w:rFonts w:ascii="仿宋_GB2312" w:hAnsi="华文仿宋" w:eastAsia="仿宋_GB2312" w:cs="华文仿宋"/>
          <w:sz w:val="32"/>
          <w:szCs w:val="32"/>
          <w:lang w:val="zh-CN"/>
        </w:rPr>
      </w:pPr>
      <w:r>
        <w:rPr>
          <w:rFonts w:ascii="仿宋_GB2312" w:hAnsi="华文仿宋" w:eastAsia="仿宋_GB2312" w:cs="华文仿宋"/>
          <w:sz w:val="32"/>
          <w:szCs w:val="32"/>
          <w:lang w:val="zh-CN"/>
        </w:rPr>
        <w:t>20221</w:t>
      </w:r>
      <w:r>
        <w:rPr>
          <w:rFonts w:hint="eastAsia" w:ascii="仿宋_GB2312" w:hAnsi="华文仿宋" w:eastAsia="仿宋_GB2312" w:cs="华文仿宋"/>
          <w:sz w:val="32"/>
          <w:szCs w:val="32"/>
          <w:lang w:val="zh-CN"/>
        </w:rPr>
        <w:t>年广播电视运行维护项目资金根据全县广播电视运行维护所需成本为资金分配原则。该项目进行了政府采购。科学合理安排资金预算支出，监督项目资金的使用。</w:t>
      </w:r>
    </w:p>
    <w:p>
      <w:pPr>
        <w:spacing w:line="560" w:lineRule="exact"/>
        <w:ind w:firstLine="720"/>
        <w:rPr>
          <w:rFonts w:ascii="仿宋_GB2312" w:hAnsi="华文仿宋" w:eastAsia="仿宋_GB2312" w:cs="华文仿宋"/>
          <w:b/>
          <w:sz w:val="32"/>
          <w:szCs w:val="32"/>
          <w:lang w:val="zh-CN"/>
        </w:rPr>
      </w:pPr>
      <w:r>
        <w:rPr>
          <w:rFonts w:hint="eastAsia" w:ascii="仿宋_GB2312" w:hAnsi="华文仿宋" w:eastAsia="仿宋_GB2312" w:cs="华文仿宋"/>
          <w:b/>
          <w:sz w:val="32"/>
          <w:szCs w:val="32"/>
          <w:lang w:val="zh-CN"/>
        </w:rPr>
        <w:t>（二）项目绩效目标。</w:t>
      </w:r>
    </w:p>
    <w:p>
      <w:pPr>
        <w:spacing w:line="560" w:lineRule="exact"/>
        <w:ind w:firstLine="640"/>
        <w:rPr>
          <w:rFonts w:ascii="仿宋_GB2312" w:hAnsi="华文仿宋" w:eastAsia="仿宋_GB2312" w:cs="华文仿宋"/>
          <w:sz w:val="32"/>
          <w:szCs w:val="32"/>
          <w:lang w:val="zh-CN"/>
        </w:rPr>
      </w:pPr>
      <w:r>
        <w:rPr>
          <w:rFonts w:ascii="仿宋_GB2312" w:hAnsi="华文仿宋" w:eastAsia="仿宋_GB2312" w:cs="华文仿宋"/>
          <w:sz w:val="32"/>
          <w:szCs w:val="32"/>
          <w:lang w:val="zh-CN"/>
        </w:rPr>
        <w:t>1</w:t>
      </w:r>
      <w:r>
        <w:rPr>
          <w:rFonts w:hint="eastAsia" w:ascii="仿宋_GB2312" w:hAnsi="华文仿宋" w:eastAsia="仿宋_GB2312" w:cs="华文仿宋"/>
          <w:sz w:val="32"/>
          <w:szCs w:val="32"/>
          <w:lang w:val="zh-CN"/>
        </w:rPr>
        <w:t>．项目主要内容。</w:t>
      </w:r>
      <w:r>
        <w:rPr>
          <w:rFonts w:ascii="仿宋_GB2312" w:hAnsi="华文仿宋" w:eastAsia="仿宋_GB2312" w:cs="华文仿宋"/>
          <w:sz w:val="32"/>
          <w:szCs w:val="32"/>
          <w:lang w:val="zh-CN"/>
        </w:rPr>
        <w:tab/>
      </w:r>
    </w:p>
    <w:p>
      <w:pPr>
        <w:ind w:firstLine="480"/>
        <w:rPr>
          <w:rFonts w:ascii="仿宋_GB2312" w:eastAsia="仿宋_GB2312"/>
          <w:sz w:val="32"/>
          <w:szCs w:val="32"/>
        </w:rPr>
      </w:pPr>
      <w:r>
        <w:rPr>
          <w:rFonts w:hint="eastAsia" w:ascii="仿宋_GB2312" w:eastAsia="仿宋_GB2312"/>
          <w:sz w:val="32"/>
          <w:szCs w:val="32"/>
        </w:rPr>
        <w:t>项目主要实施内容：实施</w:t>
      </w:r>
      <w:r>
        <w:rPr>
          <w:rFonts w:ascii="仿宋_GB2312" w:eastAsia="仿宋_GB2312"/>
          <w:sz w:val="32"/>
          <w:szCs w:val="32"/>
        </w:rPr>
        <w:t>1706</w:t>
      </w:r>
      <w:r>
        <w:rPr>
          <w:rFonts w:hint="eastAsia" w:ascii="仿宋_GB2312" w:eastAsia="仿宋_GB2312"/>
          <w:sz w:val="32"/>
          <w:szCs w:val="32"/>
        </w:rPr>
        <w:t>个村村通向户户通升级后的正常运行，对全县</w:t>
      </w:r>
      <w:r>
        <w:rPr>
          <w:rFonts w:ascii="仿宋_GB2312" w:eastAsia="仿宋_GB2312"/>
          <w:sz w:val="32"/>
          <w:szCs w:val="32"/>
        </w:rPr>
        <w:t>167</w:t>
      </w:r>
      <w:r>
        <w:rPr>
          <w:rFonts w:hint="eastAsia" w:ascii="仿宋_GB2312" w:eastAsia="仿宋_GB2312"/>
          <w:sz w:val="32"/>
          <w:szCs w:val="32"/>
        </w:rPr>
        <w:t>个村</w:t>
      </w:r>
      <w:r>
        <w:rPr>
          <w:rFonts w:ascii="仿宋_GB2312" w:eastAsia="仿宋_GB2312"/>
          <w:sz w:val="32"/>
          <w:szCs w:val="32"/>
        </w:rPr>
        <w:t>(</w:t>
      </w:r>
      <w:r>
        <w:rPr>
          <w:rFonts w:hint="eastAsia" w:ascii="仿宋_GB2312" w:eastAsia="仿宋_GB2312"/>
          <w:sz w:val="32"/>
          <w:szCs w:val="32"/>
        </w:rPr>
        <w:t>居</w:t>
      </w:r>
      <w:r>
        <w:rPr>
          <w:rFonts w:ascii="仿宋_GB2312" w:eastAsia="仿宋_GB2312"/>
          <w:sz w:val="32"/>
          <w:szCs w:val="32"/>
        </w:rPr>
        <w:t>)</w:t>
      </w:r>
      <w:r>
        <w:rPr>
          <w:rFonts w:hint="eastAsia" w:ascii="仿宋_GB2312" w:eastAsia="仿宋_GB2312"/>
          <w:sz w:val="32"/>
          <w:szCs w:val="32"/>
        </w:rPr>
        <w:t>应急广播村村响站点正常播放。确保广播村村响、电视户户通网络正常运行。</w:t>
      </w:r>
    </w:p>
    <w:p>
      <w:pPr>
        <w:numPr>
          <w:ilvl w:val="0"/>
          <w:numId w:val="5"/>
        </w:numPr>
        <w:spacing w:line="560" w:lineRule="exact"/>
        <w:ind w:firstLine="640"/>
        <w:rPr>
          <w:rFonts w:ascii="仿宋_GB2312" w:hAnsi="华文仿宋" w:eastAsia="仿宋_GB2312" w:cs="华文仿宋"/>
          <w:sz w:val="32"/>
          <w:szCs w:val="32"/>
          <w:lang w:val="zh-CN"/>
        </w:rPr>
      </w:pPr>
      <w:r>
        <w:rPr>
          <w:rFonts w:hint="eastAsia" w:ascii="仿宋_GB2312" w:hAnsi="华文仿宋" w:eastAsia="仿宋_GB2312" w:cs="华文仿宋"/>
          <w:sz w:val="32"/>
          <w:szCs w:val="32"/>
          <w:lang w:val="zh-CN"/>
        </w:rPr>
        <w:t>项目应实现的具体绩效目标，包括目标的量化、细化情况以及项目实施进度计划等。</w:t>
      </w:r>
    </w:p>
    <w:p>
      <w:pPr>
        <w:ind w:firstLine="480"/>
        <w:rPr>
          <w:rFonts w:ascii="仿宋_GB2312" w:eastAsia="仿宋_GB2312"/>
          <w:sz w:val="32"/>
          <w:szCs w:val="32"/>
        </w:rPr>
      </w:pPr>
      <w:r>
        <w:rPr>
          <w:rFonts w:hint="eastAsia" w:ascii="仿宋_GB2312" w:eastAsia="仿宋_GB2312"/>
          <w:sz w:val="32"/>
          <w:szCs w:val="32"/>
        </w:rPr>
        <w:t>对</w:t>
      </w:r>
      <w:r>
        <w:rPr>
          <w:rFonts w:ascii="仿宋_GB2312" w:eastAsia="仿宋_GB2312"/>
          <w:sz w:val="32"/>
          <w:szCs w:val="32"/>
        </w:rPr>
        <w:t>54</w:t>
      </w:r>
      <w:r>
        <w:rPr>
          <w:rFonts w:hint="eastAsia" w:ascii="仿宋_GB2312" w:eastAsia="仿宋_GB2312"/>
          <w:sz w:val="32"/>
          <w:szCs w:val="32"/>
        </w:rPr>
        <w:t>个地面数字电视基站正常运行进行维护，对</w:t>
      </w:r>
      <w:r>
        <w:rPr>
          <w:rFonts w:ascii="仿宋_GB2312" w:eastAsia="仿宋_GB2312"/>
          <w:sz w:val="32"/>
          <w:szCs w:val="32"/>
        </w:rPr>
        <w:t>167</w:t>
      </w:r>
      <w:r>
        <w:rPr>
          <w:rFonts w:hint="eastAsia" w:ascii="仿宋_GB2312" w:eastAsia="仿宋_GB2312"/>
          <w:sz w:val="32"/>
          <w:szCs w:val="32"/>
        </w:rPr>
        <w:t>个村</w:t>
      </w:r>
      <w:r>
        <w:rPr>
          <w:rFonts w:ascii="仿宋_GB2312" w:eastAsia="仿宋_GB2312"/>
          <w:sz w:val="32"/>
          <w:szCs w:val="32"/>
        </w:rPr>
        <w:t>(</w:t>
      </w:r>
      <w:r>
        <w:rPr>
          <w:rFonts w:hint="eastAsia" w:ascii="仿宋_GB2312" w:eastAsia="仿宋_GB2312"/>
          <w:sz w:val="32"/>
          <w:szCs w:val="32"/>
        </w:rPr>
        <w:t>居</w:t>
      </w:r>
      <w:r>
        <w:rPr>
          <w:rFonts w:ascii="仿宋_GB2312" w:eastAsia="仿宋_GB2312"/>
          <w:sz w:val="32"/>
          <w:szCs w:val="32"/>
        </w:rPr>
        <w:t>)</w:t>
      </w:r>
      <w:r>
        <w:rPr>
          <w:rFonts w:hint="eastAsia" w:ascii="仿宋_GB2312" w:eastAsia="仿宋_GB2312"/>
          <w:sz w:val="32"/>
          <w:szCs w:val="32"/>
        </w:rPr>
        <w:t>应急广播终端的维护，对</w:t>
      </w:r>
      <w:r>
        <w:rPr>
          <w:rFonts w:ascii="仿宋_GB2312" w:eastAsia="仿宋_GB2312"/>
          <w:sz w:val="32"/>
          <w:szCs w:val="32"/>
        </w:rPr>
        <w:t>74</w:t>
      </w:r>
      <w:r>
        <w:rPr>
          <w:rFonts w:hint="eastAsia" w:ascii="仿宋_GB2312" w:eastAsia="仿宋_GB2312"/>
          <w:sz w:val="32"/>
          <w:szCs w:val="32"/>
        </w:rPr>
        <w:t>个广播电视公共服务网点的规范服务，对</w:t>
      </w:r>
      <w:r>
        <w:rPr>
          <w:rFonts w:ascii="仿宋_GB2312" w:eastAsia="仿宋_GB2312"/>
          <w:sz w:val="32"/>
          <w:szCs w:val="32"/>
        </w:rPr>
        <w:t>4.8</w:t>
      </w:r>
      <w:r>
        <w:rPr>
          <w:rFonts w:hint="eastAsia" w:ascii="仿宋_GB2312" w:eastAsia="仿宋_GB2312"/>
          <w:sz w:val="32"/>
          <w:szCs w:val="32"/>
        </w:rPr>
        <w:t>万户电视户户通设施运行进行维护。</w:t>
      </w:r>
    </w:p>
    <w:p>
      <w:pPr>
        <w:ind w:firstLine="480"/>
        <w:rPr>
          <w:rFonts w:ascii="仿宋_GB2312" w:hAnsi="华文仿宋" w:eastAsia="仿宋_GB2312" w:cs="华文仿宋"/>
          <w:sz w:val="32"/>
          <w:szCs w:val="32"/>
          <w:lang w:val="zh-CN"/>
        </w:rPr>
      </w:pPr>
      <w:r>
        <w:rPr>
          <w:rFonts w:ascii="仿宋_GB2312" w:hAnsi="华文仿宋" w:eastAsia="仿宋_GB2312" w:cs="华文仿宋"/>
          <w:sz w:val="32"/>
          <w:szCs w:val="32"/>
          <w:lang w:val="zh-CN"/>
        </w:rPr>
        <w:t>3</w:t>
      </w:r>
      <w:r>
        <w:rPr>
          <w:rFonts w:hint="eastAsia" w:ascii="仿宋_GB2312" w:hAnsi="华文仿宋" w:eastAsia="仿宋_GB2312" w:cs="华文仿宋"/>
          <w:sz w:val="32"/>
          <w:szCs w:val="32"/>
          <w:lang w:val="zh-CN"/>
        </w:rPr>
        <w:t>．分析评价申报内容是否与实际相符，申报目标是否合理可行。</w:t>
      </w:r>
    </w:p>
    <w:p>
      <w:pPr>
        <w:spacing w:line="560" w:lineRule="exact"/>
        <w:ind w:firstLine="640"/>
        <w:rPr>
          <w:rFonts w:ascii="仿宋_GB2312" w:hAnsi="华文仿宋" w:eastAsia="仿宋_GB2312" w:cs="华文仿宋"/>
          <w:sz w:val="32"/>
          <w:szCs w:val="32"/>
          <w:lang w:val="zh-CN"/>
        </w:rPr>
      </w:pPr>
      <w:r>
        <w:rPr>
          <w:rFonts w:hint="eastAsia" w:ascii="仿宋_GB2312" w:hAnsi="华文仿宋" w:eastAsia="仿宋_GB2312" w:cs="华文仿宋"/>
          <w:sz w:val="32"/>
          <w:szCs w:val="32"/>
          <w:lang w:val="zh-CN"/>
        </w:rPr>
        <w:t>本次分析评价申报内容与实际相符，申报目标合理可行。</w:t>
      </w:r>
    </w:p>
    <w:p>
      <w:pPr>
        <w:spacing w:line="560" w:lineRule="exact"/>
        <w:ind w:firstLine="720"/>
        <w:rPr>
          <w:rFonts w:ascii="仿宋_GB2312" w:hAnsi="华文仿宋" w:eastAsia="仿宋_GB2312" w:cs="华文仿宋"/>
          <w:b/>
          <w:sz w:val="32"/>
          <w:szCs w:val="32"/>
          <w:lang w:val="zh-CN"/>
        </w:rPr>
      </w:pPr>
      <w:r>
        <w:rPr>
          <w:rFonts w:hint="eastAsia" w:ascii="仿宋_GB2312" w:hAnsi="华文仿宋" w:eastAsia="仿宋_GB2312" w:cs="华文仿宋"/>
          <w:b/>
          <w:sz w:val="32"/>
          <w:szCs w:val="32"/>
          <w:lang w:val="zh-CN"/>
        </w:rPr>
        <w:t>（三）项目自评步骤及方法。</w:t>
      </w:r>
    </w:p>
    <w:p>
      <w:pPr>
        <w:widowControl/>
        <w:shd w:val="clear" w:color="auto" w:fill="FFFFFF"/>
        <w:spacing w:line="600" w:lineRule="atLeast"/>
        <w:ind w:firstLine="72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本项目采取项目工作领导小组负责制，通过地面数字电视举报电话进行考核，</w:t>
      </w:r>
      <w:r>
        <w:rPr>
          <w:rFonts w:hint="eastAsia" w:ascii="仿宋_GB2312" w:hAnsi="华文仿宋" w:eastAsia="仿宋_GB2312" w:cs="华文仿宋"/>
          <w:sz w:val="32"/>
          <w:szCs w:val="32"/>
          <w:lang w:val="zh-CN"/>
        </w:rPr>
        <w:t>采取随机入户的方式对该项目监督检查。该项目按进度实施，资金按进度拨付。</w:t>
      </w:r>
    </w:p>
    <w:p>
      <w:pPr>
        <w:tabs>
          <w:tab w:val="left" w:pos="4020"/>
        </w:tabs>
        <w:ind w:firstLine="643"/>
        <w:rPr>
          <w:rFonts w:eastAsia="仿宋_GB2312"/>
        </w:rPr>
      </w:pPr>
      <w:r>
        <w:rPr>
          <w:rFonts w:hint="eastAsia" w:ascii="黑体" w:hAnsi="黑体" w:eastAsia="黑体"/>
          <w:b/>
          <w:sz w:val="32"/>
          <w:szCs w:val="32"/>
        </w:rPr>
        <w:t>二、项目资金申报及使用情况</w:t>
      </w:r>
    </w:p>
    <w:p>
      <w:pPr>
        <w:ind w:firstLine="482"/>
        <w:rPr>
          <w:rFonts w:ascii="仿宋_GB2312" w:eastAsia="仿宋_GB2312"/>
          <w:sz w:val="32"/>
          <w:szCs w:val="32"/>
        </w:rPr>
      </w:pPr>
      <w:r>
        <w:rPr>
          <w:rFonts w:hint="eastAsia" w:ascii="仿宋_GB2312" w:eastAsia="仿宋_GB2312"/>
          <w:b/>
          <w:sz w:val="32"/>
          <w:szCs w:val="32"/>
        </w:rPr>
        <w:t>（一）项目资金申报及批复情况。</w:t>
      </w:r>
    </w:p>
    <w:p>
      <w:pPr>
        <w:ind w:firstLine="640"/>
        <w:rPr>
          <w:rFonts w:ascii="仿宋_GB2312" w:eastAsia="仿宋_GB2312"/>
          <w:sz w:val="32"/>
          <w:szCs w:val="32"/>
        </w:rPr>
      </w:pPr>
      <w:r>
        <w:rPr>
          <w:rFonts w:hint="eastAsia" w:ascii="仿宋_GB2312" w:eastAsia="仿宋_GB2312"/>
          <w:sz w:val="32"/>
          <w:szCs w:val="32"/>
        </w:rPr>
        <w:t>县文广旅局</w:t>
      </w:r>
      <w:r>
        <w:rPr>
          <w:rFonts w:ascii="仿宋_GB2312" w:eastAsia="仿宋_GB2312"/>
          <w:sz w:val="32"/>
          <w:szCs w:val="32"/>
        </w:rPr>
        <w:t>2021</w:t>
      </w:r>
      <w:r>
        <w:rPr>
          <w:rFonts w:hint="eastAsia" w:ascii="仿宋_GB2312" w:eastAsia="仿宋_GB2312"/>
          <w:sz w:val="32"/>
          <w:szCs w:val="32"/>
        </w:rPr>
        <w:t>年通过《关于解决</w:t>
      </w:r>
      <w:r>
        <w:rPr>
          <w:rFonts w:ascii="仿宋_GB2312" w:eastAsia="仿宋_GB2312"/>
          <w:sz w:val="32"/>
          <w:szCs w:val="32"/>
        </w:rPr>
        <w:t>2021</w:t>
      </w:r>
      <w:r>
        <w:rPr>
          <w:rFonts w:hint="eastAsia" w:ascii="仿宋_GB2312" w:eastAsia="仿宋_GB2312"/>
          <w:sz w:val="32"/>
          <w:szCs w:val="32"/>
        </w:rPr>
        <w:t>年广播电视运行维护经费的请示》（盐边文广旅</w:t>
      </w:r>
      <w:r>
        <w:rPr>
          <w:rFonts w:ascii="仿宋_GB2312" w:eastAsia="仿宋_GB2312"/>
          <w:sz w:val="32"/>
          <w:szCs w:val="32"/>
        </w:rPr>
        <w:t>[2021]64</w:t>
      </w:r>
      <w:r>
        <w:rPr>
          <w:rFonts w:hint="eastAsia" w:ascii="仿宋_GB2312" w:eastAsia="仿宋_GB2312"/>
          <w:color w:val="000000"/>
          <w:sz w:val="32"/>
          <w:szCs w:val="32"/>
        </w:rPr>
        <w:t>号</w:t>
      </w:r>
      <w:r>
        <w:rPr>
          <w:rFonts w:hint="eastAsia" w:ascii="仿宋_GB2312" w:eastAsia="仿宋_GB2312"/>
          <w:sz w:val="32"/>
          <w:szCs w:val="32"/>
        </w:rPr>
        <w:t>）向县政府申请</w:t>
      </w:r>
      <w:r>
        <w:rPr>
          <w:rFonts w:ascii="仿宋_GB2312" w:eastAsia="仿宋_GB2312"/>
          <w:sz w:val="32"/>
          <w:szCs w:val="32"/>
        </w:rPr>
        <w:t>2021</w:t>
      </w:r>
      <w:r>
        <w:rPr>
          <w:rFonts w:hint="eastAsia" w:ascii="仿宋_GB2312" w:eastAsia="仿宋_GB2312"/>
          <w:sz w:val="32"/>
          <w:szCs w:val="32"/>
        </w:rPr>
        <w:t>年广播电视运行维护专项经费</w:t>
      </w:r>
      <w:r>
        <w:rPr>
          <w:rFonts w:ascii="仿宋_GB2312" w:eastAsia="仿宋_GB2312"/>
          <w:sz w:val="32"/>
          <w:szCs w:val="32"/>
        </w:rPr>
        <w:t>164.5</w:t>
      </w:r>
      <w:r>
        <w:rPr>
          <w:rFonts w:hint="eastAsia" w:ascii="仿宋_GB2312" w:eastAsia="仿宋_GB2312"/>
          <w:sz w:val="32"/>
          <w:szCs w:val="32"/>
        </w:rPr>
        <w:t>万元。</w:t>
      </w:r>
    </w:p>
    <w:p>
      <w:pPr>
        <w:ind w:firstLine="315"/>
        <w:rPr>
          <w:rFonts w:ascii="仿宋_GB2312" w:eastAsia="仿宋_GB2312"/>
          <w:b/>
          <w:sz w:val="32"/>
          <w:szCs w:val="32"/>
        </w:rPr>
      </w:pPr>
      <w:r>
        <w:rPr>
          <w:rFonts w:hint="eastAsia" w:ascii="仿宋_GB2312" w:eastAsia="仿宋_GB2312"/>
          <w:b/>
          <w:sz w:val="32"/>
          <w:szCs w:val="32"/>
        </w:rPr>
        <w:t>（二）资金计划、到位及使用情况。</w:t>
      </w:r>
    </w:p>
    <w:p>
      <w:pPr>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hint="eastAsia" w:ascii="仿宋_GB2312" w:eastAsia="仿宋_GB2312"/>
          <w:b/>
          <w:sz w:val="32"/>
          <w:szCs w:val="32"/>
        </w:rPr>
        <w:t>资金计划</w:t>
      </w:r>
      <w:r>
        <w:rPr>
          <w:rFonts w:hint="eastAsia" w:ascii="仿宋_GB2312" w:eastAsia="仿宋_GB2312"/>
          <w:sz w:val="32"/>
          <w:szCs w:val="32"/>
        </w:rPr>
        <w:t>。</w:t>
      </w:r>
      <w:r>
        <w:rPr>
          <w:rFonts w:ascii="仿宋_GB2312" w:eastAsia="仿宋_GB2312"/>
          <w:sz w:val="32"/>
          <w:szCs w:val="32"/>
        </w:rPr>
        <w:t>2021</w:t>
      </w:r>
      <w:r>
        <w:rPr>
          <w:rFonts w:hint="eastAsia" w:ascii="仿宋_GB2312" w:eastAsia="仿宋_GB2312"/>
          <w:sz w:val="32"/>
          <w:szCs w:val="32"/>
        </w:rPr>
        <w:t>年广播电视运行维护费资金计划</w:t>
      </w:r>
      <w:r>
        <w:rPr>
          <w:rFonts w:ascii="仿宋_GB2312" w:eastAsia="仿宋_GB2312"/>
          <w:sz w:val="32"/>
          <w:szCs w:val="32"/>
        </w:rPr>
        <w:t>164.5</w:t>
      </w:r>
      <w:r>
        <w:rPr>
          <w:rFonts w:hint="eastAsia" w:ascii="仿宋_GB2312" w:eastAsia="仿宋_GB2312"/>
          <w:sz w:val="32"/>
          <w:szCs w:val="32"/>
        </w:rPr>
        <w:t>万元。</w:t>
      </w:r>
    </w:p>
    <w:p>
      <w:pPr>
        <w:ind w:firstLine="645"/>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．资金到位。</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月盐边县财政局通过《关于下达</w:t>
      </w:r>
      <w:r>
        <w:rPr>
          <w:rFonts w:ascii="仿宋_GB2312" w:eastAsia="仿宋_GB2312"/>
          <w:sz w:val="32"/>
          <w:szCs w:val="32"/>
        </w:rPr>
        <w:t>2021</w:t>
      </w:r>
      <w:r>
        <w:rPr>
          <w:rFonts w:hint="eastAsia" w:ascii="仿宋_GB2312" w:eastAsia="仿宋_GB2312"/>
          <w:sz w:val="32"/>
          <w:szCs w:val="32"/>
        </w:rPr>
        <w:t>年广播电视运行维护经费的通知》（盐财资行</w:t>
      </w:r>
      <w:r>
        <w:rPr>
          <w:rFonts w:ascii="仿宋_GB2312" w:eastAsia="仿宋_GB2312"/>
          <w:sz w:val="32"/>
          <w:szCs w:val="32"/>
        </w:rPr>
        <w:t>[2021]396</w:t>
      </w:r>
      <w:r>
        <w:rPr>
          <w:rFonts w:hint="eastAsia" w:ascii="仿宋_GB2312" w:eastAsia="仿宋_GB2312"/>
          <w:sz w:val="32"/>
          <w:szCs w:val="32"/>
        </w:rPr>
        <w:t>号）下达</w:t>
      </w:r>
      <w:r>
        <w:rPr>
          <w:rFonts w:ascii="仿宋_GB2312" w:eastAsia="仿宋_GB2312"/>
          <w:sz w:val="32"/>
          <w:szCs w:val="32"/>
        </w:rPr>
        <w:t>2021</w:t>
      </w:r>
      <w:r>
        <w:rPr>
          <w:rFonts w:hint="eastAsia" w:ascii="仿宋_GB2312" w:eastAsia="仿宋_GB2312"/>
          <w:sz w:val="32"/>
          <w:szCs w:val="32"/>
        </w:rPr>
        <w:t>年广播电视运行维护专项经费</w:t>
      </w:r>
      <w:r>
        <w:rPr>
          <w:rFonts w:ascii="仿宋_GB2312" w:eastAsia="仿宋_GB2312"/>
          <w:sz w:val="32"/>
          <w:szCs w:val="32"/>
        </w:rPr>
        <w:t>164.5</w:t>
      </w:r>
      <w:r>
        <w:rPr>
          <w:rFonts w:hint="eastAsia" w:ascii="仿宋_GB2312" w:eastAsia="仿宋_GB2312"/>
          <w:sz w:val="32"/>
          <w:szCs w:val="32"/>
        </w:rPr>
        <w:t>万元。</w:t>
      </w:r>
    </w:p>
    <w:p>
      <w:pPr>
        <w:ind w:firstLine="645"/>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．资金使用。</w:t>
      </w:r>
      <w:r>
        <w:rPr>
          <w:rFonts w:hint="eastAsia" w:ascii="仿宋_GB2312" w:eastAsia="仿宋_GB2312"/>
          <w:sz w:val="32"/>
          <w:szCs w:val="32"/>
        </w:rPr>
        <w:t>到位资金按照项目维护协议按进度全额拨付四川省有线广播电视网络股份有限公司盐边分公司，用于维护广播电视系统维护项目。</w:t>
      </w:r>
    </w:p>
    <w:p>
      <w:pPr>
        <w:ind w:firstLine="315"/>
        <w:rPr>
          <w:rFonts w:ascii="仿宋_GB2312" w:hAnsi="黑体" w:eastAsia="仿宋_GB2312"/>
          <w:b/>
          <w:sz w:val="32"/>
          <w:szCs w:val="32"/>
        </w:rPr>
      </w:pPr>
      <w:r>
        <w:rPr>
          <w:rFonts w:hint="eastAsia" w:ascii="仿宋_GB2312" w:hAnsi="黑体" w:eastAsia="仿宋_GB2312"/>
          <w:b/>
          <w:sz w:val="32"/>
          <w:szCs w:val="32"/>
        </w:rPr>
        <w:t>（二）项目财务管理情况。</w:t>
      </w:r>
    </w:p>
    <w:p>
      <w:pPr>
        <w:ind w:firstLine="640"/>
        <w:rPr>
          <w:rFonts w:ascii="仿宋_GB2312" w:eastAsia="仿宋_GB2312"/>
          <w:sz w:val="32"/>
          <w:szCs w:val="32"/>
        </w:rPr>
      </w:pPr>
      <w:r>
        <w:rPr>
          <w:rFonts w:hint="eastAsia" w:ascii="仿宋_GB2312" w:eastAsia="仿宋_GB2312"/>
          <w:sz w:val="32"/>
          <w:szCs w:val="32"/>
        </w:rPr>
        <w:t>项目财务管理制度健全</w:t>
      </w:r>
      <w:r>
        <w:rPr>
          <w:rFonts w:ascii="仿宋_GB2312" w:eastAsia="仿宋_GB2312"/>
          <w:sz w:val="32"/>
          <w:szCs w:val="32"/>
        </w:rPr>
        <w:t>,</w:t>
      </w:r>
      <w:r>
        <w:rPr>
          <w:rFonts w:hint="eastAsia" w:ascii="仿宋_GB2312" w:eastAsia="仿宋_GB2312"/>
          <w:sz w:val="32"/>
          <w:szCs w:val="32"/>
        </w:rPr>
        <w:t>严格执行财务管理制度，账务处理及时，会计核算规范。</w:t>
      </w:r>
    </w:p>
    <w:p>
      <w:pPr>
        <w:tabs>
          <w:tab w:val="left" w:pos="4020"/>
        </w:tabs>
        <w:ind w:firstLine="630"/>
        <w:rPr>
          <w:rFonts w:ascii="黑体" w:hAnsi="黑体" w:eastAsia="黑体"/>
          <w:b/>
          <w:sz w:val="32"/>
          <w:szCs w:val="32"/>
        </w:rPr>
      </w:pPr>
      <w:r>
        <w:rPr>
          <w:rFonts w:hint="eastAsia" w:ascii="黑体" w:hAnsi="黑体" w:eastAsia="黑体"/>
          <w:b/>
          <w:sz w:val="32"/>
          <w:szCs w:val="32"/>
        </w:rPr>
        <w:t>三、项目实施及管理情况</w:t>
      </w:r>
      <w:r>
        <w:rPr>
          <w:rFonts w:ascii="黑体" w:hAnsi="黑体" w:eastAsia="黑体"/>
          <w:b/>
          <w:sz w:val="32"/>
          <w:szCs w:val="32"/>
        </w:rPr>
        <w:tab/>
      </w:r>
    </w:p>
    <w:p>
      <w:pPr>
        <w:widowControl/>
        <w:shd w:val="clear" w:color="auto" w:fill="FFFFFF"/>
        <w:spacing w:line="600" w:lineRule="atLeast"/>
        <w:ind w:firstLine="720"/>
        <w:jc w:val="left"/>
        <w:rPr>
          <w:rFonts w:ascii="仿宋_GB2312" w:hAnsi="宋体" w:eastAsia="仿宋_GB2312" w:cs="宋体"/>
          <w:color w:val="000000"/>
        </w:rPr>
      </w:pPr>
      <w:r>
        <w:rPr>
          <w:rFonts w:hint="eastAsia" w:ascii="仿宋_GB2312" w:hAnsi="宋体" w:eastAsia="仿宋_GB2312" w:cs="宋体"/>
          <w:b/>
          <w:bCs/>
          <w:color w:val="000000"/>
          <w:sz w:val="32"/>
          <w:szCs w:val="32"/>
        </w:rPr>
        <w:t>（一）项目组织架构及实施流程。</w:t>
      </w:r>
    </w:p>
    <w:p>
      <w:pPr>
        <w:widowControl/>
        <w:shd w:val="clear" w:color="auto" w:fill="FFFFFF"/>
        <w:spacing w:line="600" w:lineRule="atLeast"/>
        <w:ind w:firstLine="72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县文广旅局根据政府采购结果与</w:t>
      </w:r>
      <w:r>
        <w:rPr>
          <w:rFonts w:hint="eastAsia" w:ascii="仿宋_GB2312" w:eastAsia="仿宋_GB2312"/>
          <w:sz w:val="32"/>
          <w:szCs w:val="32"/>
        </w:rPr>
        <w:t>四川省有线广播电视网络股份有限公司盐边分公司签订</w:t>
      </w:r>
      <w:r>
        <w:rPr>
          <w:rFonts w:ascii="仿宋_GB2312" w:eastAsia="仿宋_GB2312"/>
          <w:sz w:val="32"/>
          <w:szCs w:val="32"/>
        </w:rPr>
        <w:t>2021</w:t>
      </w:r>
      <w:r>
        <w:rPr>
          <w:rFonts w:hint="eastAsia" w:ascii="仿宋_GB2312" w:eastAsia="仿宋_GB2312"/>
          <w:sz w:val="32"/>
          <w:szCs w:val="32"/>
        </w:rPr>
        <w:t>年广播电视覆盖系统维护项目</w:t>
      </w:r>
      <w:r>
        <w:rPr>
          <w:rFonts w:hint="eastAsia" w:ascii="仿宋_GB2312" w:hAnsi="宋体" w:eastAsia="仿宋_GB2312" w:cs="宋体"/>
          <w:color w:val="000000"/>
          <w:sz w:val="32"/>
          <w:szCs w:val="32"/>
        </w:rPr>
        <w:t>，由县网络公司按照合同进行项目实施。</w:t>
      </w:r>
    </w:p>
    <w:p>
      <w:pPr>
        <w:widowControl/>
        <w:shd w:val="clear" w:color="auto" w:fill="FFFFFF"/>
        <w:spacing w:line="600" w:lineRule="atLeast"/>
        <w:ind w:firstLine="720"/>
        <w:jc w:val="left"/>
        <w:rPr>
          <w:rFonts w:ascii="仿宋_GB2312" w:hAnsi="宋体" w:eastAsia="仿宋_GB2312" w:cs="宋体"/>
          <w:color w:val="000000"/>
        </w:rPr>
      </w:pPr>
      <w:r>
        <w:rPr>
          <w:rFonts w:hint="eastAsia" w:ascii="仿宋_GB2312" w:hAnsi="宋体" w:eastAsia="仿宋_GB2312" w:cs="宋体"/>
          <w:b/>
          <w:bCs/>
          <w:color w:val="000000"/>
          <w:sz w:val="32"/>
          <w:szCs w:val="32"/>
        </w:rPr>
        <w:t>（二）项目管理情况。</w:t>
      </w:r>
    </w:p>
    <w:p>
      <w:pPr>
        <w:widowControl/>
        <w:shd w:val="clear" w:color="auto" w:fill="FFFFFF"/>
        <w:spacing w:line="600" w:lineRule="atLeast"/>
        <w:ind w:firstLine="72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本项目采取项目工作领导小组负责制，通过地面数字电视举报电话进行考核，根据考核结果划拨经费。</w:t>
      </w:r>
    </w:p>
    <w:p>
      <w:pPr>
        <w:widowControl/>
        <w:shd w:val="clear" w:color="auto" w:fill="FFFFFF"/>
        <w:spacing w:line="600" w:lineRule="atLeast"/>
        <w:ind w:firstLine="720"/>
        <w:jc w:val="left"/>
        <w:rPr>
          <w:rFonts w:ascii="仿宋_GB2312" w:hAnsi="宋体" w:eastAsia="仿宋_GB2312" w:cs="宋体"/>
          <w:color w:val="000000"/>
        </w:rPr>
      </w:pPr>
      <w:r>
        <w:rPr>
          <w:rFonts w:hint="eastAsia" w:ascii="仿宋_GB2312" w:hAnsi="宋体" w:eastAsia="仿宋_GB2312" w:cs="宋体"/>
          <w:b/>
          <w:bCs/>
          <w:color w:val="000000"/>
          <w:sz w:val="32"/>
          <w:szCs w:val="32"/>
        </w:rPr>
        <w:t>（三）项目监管情况。</w:t>
      </w:r>
    </w:p>
    <w:p>
      <w:pPr>
        <w:ind w:firstLine="800"/>
        <w:rPr>
          <w:rFonts w:ascii="仿宋_GB2312" w:eastAsia="仿宋_GB2312"/>
          <w:sz w:val="32"/>
          <w:szCs w:val="32"/>
        </w:rPr>
      </w:pPr>
      <w:r>
        <w:rPr>
          <w:rFonts w:hint="eastAsia" w:ascii="仿宋_GB2312" w:eastAsia="仿宋_GB2312"/>
          <w:sz w:val="32"/>
          <w:szCs w:val="32"/>
        </w:rPr>
        <w:t>县文广旅局加强对广播电视维护项目的管理。公布广播电视运行维护投诉电话，如有运行不到位的用户可进行电话投诉，确保维护单位（四川省有线广播电视网络股份有限公司盐边分公司）对维护项目的及时实施。</w:t>
      </w:r>
    </w:p>
    <w:p>
      <w:pPr>
        <w:ind w:firstLine="630"/>
        <w:rPr>
          <w:rFonts w:ascii="黑体" w:hAnsi="黑体" w:eastAsia="黑体"/>
          <w:b/>
          <w:sz w:val="32"/>
          <w:szCs w:val="32"/>
        </w:rPr>
      </w:pPr>
      <w:r>
        <w:rPr>
          <w:rFonts w:hint="eastAsia" w:ascii="黑体" w:hAnsi="黑体" w:eastAsia="黑体"/>
          <w:b/>
          <w:sz w:val="32"/>
          <w:szCs w:val="32"/>
        </w:rPr>
        <w:t>四、项目绩效情况</w:t>
      </w:r>
      <w:r>
        <w:rPr>
          <w:rFonts w:ascii="黑体" w:hAnsi="黑体" w:eastAsia="黑体"/>
          <w:b/>
          <w:sz w:val="32"/>
          <w:szCs w:val="32"/>
        </w:rPr>
        <w:tab/>
      </w:r>
    </w:p>
    <w:p>
      <w:pPr>
        <w:ind w:firstLine="472"/>
        <w:rPr>
          <w:rFonts w:ascii="仿宋_GB2312" w:eastAsia="仿宋_GB2312"/>
          <w:b/>
          <w:sz w:val="32"/>
          <w:szCs w:val="32"/>
        </w:rPr>
      </w:pPr>
      <w:r>
        <w:rPr>
          <w:rFonts w:hint="eastAsia" w:ascii="仿宋_GB2312" w:eastAsia="仿宋_GB2312"/>
          <w:b/>
          <w:sz w:val="32"/>
          <w:szCs w:val="32"/>
        </w:rPr>
        <w:t>（一）项目完成情况。</w:t>
      </w:r>
    </w:p>
    <w:p>
      <w:pPr>
        <w:ind w:firstLine="640"/>
        <w:rPr>
          <w:rFonts w:ascii="仿宋_GB2312" w:eastAsia="仿宋_GB2312"/>
          <w:sz w:val="32"/>
          <w:szCs w:val="32"/>
        </w:rPr>
      </w:pPr>
      <w:r>
        <w:rPr>
          <w:rFonts w:hint="eastAsia" w:ascii="仿宋_GB2312" w:eastAsia="仿宋_GB2312"/>
          <w:sz w:val="32"/>
          <w:szCs w:val="32"/>
        </w:rPr>
        <w:t>县文广旅局加强管理，四川省有线广播电视网络股份有限公司盐边分公司全面完成了广播电视覆盖系统项目维护。项目完成了</w:t>
      </w:r>
      <w:r>
        <w:rPr>
          <w:rFonts w:ascii="仿宋_GB2312" w:eastAsia="仿宋_GB2312"/>
          <w:sz w:val="32"/>
          <w:szCs w:val="32"/>
        </w:rPr>
        <w:t>1706</w:t>
      </w:r>
      <w:r>
        <w:rPr>
          <w:rFonts w:hint="eastAsia" w:ascii="仿宋_GB2312" w:eastAsia="仿宋_GB2312"/>
          <w:sz w:val="32"/>
          <w:szCs w:val="32"/>
        </w:rPr>
        <w:t>个村村通向户户通升级后的正常运行，全县</w:t>
      </w:r>
      <w:r>
        <w:rPr>
          <w:rFonts w:ascii="仿宋_GB2312" w:eastAsia="仿宋_GB2312"/>
          <w:sz w:val="32"/>
          <w:szCs w:val="32"/>
        </w:rPr>
        <w:t>167</w:t>
      </w:r>
      <w:r>
        <w:rPr>
          <w:rFonts w:hint="eastAsia" w:ascii="仿宋_GB2312" w:eastAsia="仿宋_GB2312"/>
          <w:sz w:val="32"/>
          <w:szCs w:val="32"/>
        </w:rPr>
        <w:t>个村</w:t>
      </w:r>
      <w:r>
        <w:rPr>
          <w:rFonts w:ascii="仿宋_GB2312" w:eastAsia="仿宋_GB2312"/>
          <w:sz w:val="32"/>
          <w:szCs w:val="32"/>
        </w:rPr>
        <w:t>(</w:t>
      </w:r>
      <w:r>
        <w:rPr>
          <w:rFonts w:hint="eastAsia" w:ascii="仿宋_GB2312" w:eastAsia="仿宋_GB2312"/>
          <w:sz w:val="32"/>
          <w:szCs w:val="32"/>
        </w:rPr>
        <w:t>居</w:t>
      </w:r>
      <w:r>
        <w:rPr>
          <w:rFonts w:ascii="仿宋_GB2312" w:eastAsia="仿宋_GB2312"/>
          <w:sz w:val="32"/>
          <w:szCs w:val="32"/>
        </w:rPr>
        <w:t>)</w:t>
      </w:r>
      <w:r>
        <w:rPr>
          <w:rFonts w:hint="eastAsia" w:ascii="仿宋_GB2312" w:eastAsia="仿宋_GB2312"/>
          <w:sz w:val="32"/>
          <w:szCs w:val="32"/>
        </w:rPr>
        <w:t>应急广播村村响站点正常播放。</w:t>
      </w:r>
    </w:p>
    <w:p>
      <w:pPr>
        <w:ind w:firstLine="643"/>
        <w:rPr>
          <w:rFonts w:ascii="仿宋_GB2312" w:eastAsia="仿宋_GB2312"/>
          <w:b/>
          <w:sz w:val="32"/>
          <w:szCs w:val="32"/>
        </w:rPr>
      </w:pPr>
      <w:r>
        <w:rPr>
          <w:rFonts w:hint="eastAsia" w:ascii="仿宋_GB2312" w:eastAsia="仿宋_GB2312"/>
          <w:b/>
          <w:sz w:val="32"/>
          <w:szCs w:val="32"/>
        </w:rPr>
        <w:t>（二）项目效益情况。</w:t>
      </w:r>
    </w:p>
    <w:p>
      <w:pPr>
        <w:ind w:firstLine="800"/>
        <w:rPr>
          <w:rFonts w:ascii="仿宋_GB2312" w:eastAsia="仿宋_GB2312"/>
          <w:sz w:val="32"/>
          <w:szCs w:val="32"/>
        </w:rPr>
      </w:pPr>
      <w:r>
        <w:rPr>
          <w:rFonts w:hint="eastAsia" w:ascii="仿宋_GB2312" w:eastAsia="仿宋_GB2312"/>
          <w:sz w:val="32"/>
          <w:szCs w:val="32"/>
        </w:rPr>
        <w:t>通过广播电视覆盖系统项目维护，保障了全县广播电视网络正常传输，</w:t>
      </w:r>
      <w:r>
        <w:rPr>
          <w:rFonts w:ascii="仿宋_GB2312" w:eastAsia="仿宋_GB2312"/>
          <w:sz w:val="32"/>
          <w:szCs w:val="32"/>
        </w:rPr>
        <w:t>4.8</w:t>
      </w:r>
      <w:r>
        <w:rPr>
          <w:rFonts w:hint="eastAsia" w:ascii="仿宋_GB2312" w:eastAsia="仿宋_GB2312"/>
          <w:sz w:val="32"/>
          <w:szCs w:val="32"/>
        </w:rPr>
        <w:t>万户电视用户正常收看中央、省、市、县电视节目，用户通过电视掌握中央、省、市、县重大政策和各级党委、政府的重大工作举措，掌握现代科技信息和适合当地农村发展的致富信息。广播电视节目深受全县用户欢迎。</w:t>
      </w:r>
    </w:p>
    <w:p>
      <w:pPr>
        <w:ind w:firstLine="630"/>
        <w:rPr>
          <w:rFonts w:ascii="黑体" w:hAnsi="黑体" w:eastAsia="黑体"/>
          <w:b/>
          <w:sz w:val="32"/>
          <w:szCs w:val="32"/>
        </w:rPr>
      </w:pPr>
      <w:r>
        <w:rPr>
          <w:rFonts w:hint="eastAsia" w:ascii="黑体" w:hAnsi="黑体" w:eastAsia="黑体"/>
          <w:b/>
          <w:sz w:val="32"/>
          <w:szCs w:val="32"/>
        </w:rPr>
        <w:t>五、问题及建议</w:t>
      </w:r>
    </w:p>
    <w:p>
      <w:pPr>
        <w:widowControl/>
        <w:shd w:val="clear" w:color="auto" w:fill="FFFFFF"/>
        <w:spacing w:line="520" w:lineRule="atLeast"/>
        <w:ind w:firstLine="630"/>
        <w:jc w:val="left"/>
        <w:rPr>
          <w:rFonts w:ascii="仿宋_GB2312" w:eastAsia="仿宋_GB2312"/>
          <w:b/>
          <w:sz w:val="32"/>
          <w:szCs w:val="32"/>
        </w:rPr>
      </w:pPr>
      <w:r>
        <w:rPr>
          <w:rFonts w:hint="eastAsia" w:ascii="仿宋_GB2312" w:eastAsia="仿宋_GB2312"/>
          <w:b/>
          <w:sz w:val="32"/>
          <w:szCs w:val="32"/>
        </w:rPr>
        <w:t>（一）评价结论</w:t>
      </w:r>
    </w:p>
    <w:p>
      <w:pPr>
        <w:widowControl/>
        <w:shd w:val="clear" w:color="auto" w:fill="FFFFFF"/>
        <w:spacing w:line="520" w:lineRule="atLeast"/>
        <w:ind w:firstLine="800"/>
        <w:jc w:val="left"/>
        <w:rPr>
          <w:rFonts w:ascii="仿宋_GB2312" w:eastAsia="仿宋_GB2312"/>
          <w:sz w:val="32"/>
          <w:szCs w:val="32"/>
        </w:rPr>
      </w:pPr>
      <w:r>
        <w:rPr>
          <w:rFonts w:hint="eastAsia" w:ascii="仿宋_GB2312" w:eastAsia="仿宋_GB2312"/>
          <w:sz w:val="32"/>
          <w:szCs w:val="32"/>
        </w:rPr>
        <w:t>广播电视覆盖系统维护项目完成较好，资金支付手续完备，程序合规合法，使用管理规范，质量保证，群众满意，成效显著。</w:t>
      </w:r>
    </w:p>
    <w:p>
      <w:pPr>
        <w:ind w:firstLine="479"/>
        <w:rPr>
          <w:rFonts w:ascii="仿宋_GB2312" w:eastAsia="仿宋_GB2312"/>
          <w:sz w:val="32"/>
          <w:szCs w:val="32"/>
        </w:rPr>
      </w:pPr>
      <w:r>
        <w:rPr>
          <w:rFonts w:hint="eastAsia" w:ascii="仿宋_GB2312" w:eastAsia="仿宋_GB2312"/>
          <w:b/>
          <w:sz w:val="32"/>
          <w:szCs w:val="32"/>
        </w:rPr>
        <w:t>（二）存在的问题。</w:t>
      </w:r>
      <w:r>
        <w:rPr>
          <w:rFonts w:hint="eastAsia" w:ascii="仿宋_GB2312" w:eastAsia="仿宋_GB2312"/>
          <w:sz w:val="32"/>
          <w:szCs w:val="32"/>
        </w:rPr>
        <w:t>广播电视覆盖系统维护点多面广，维护战线长，南北跨度达</w:t>
      </w:r>
      <w:r>
        <w:rPr>
          <w:rFonts w:ascii="仿宋_GB2312" w:eastAsia="仿宋_GB2312"/>
          <w:sz w:val="32"/>
          <w:szCs w:val="32"/>
        </w:rPr>
        <w:t>200</w:t>
      </w:r>
      <w:r>
        <w:rPr>
          <w:rFonts w:hint="eastAsia" w:ascii="仿宋_GB2312" w:eastAsia="仿宋_GB2312"/>
          <w:sz w:val="32"/>
          <w:szCs w:val="32"/>
        </w:rPr>
        <w:t>余公里，投入资金大。</w:t>
      </w:r>
    </w:p>
    <w:p>
      <w:pPr>
        <w:ind w:firstLine="472"/>
        <w:rPr>
          <w:rFonts w:ascii="仿宋_GB2312" w:eastAsia="仿宋_GB2312"/>
          <w:sz w:val="32"/>
          <w:szCs w:val="32"/>
        </w:rPr>
      </w:pPr>
      <w:r>
        <w:rPr>
          <w:rFonts w:hint="eastAsia" w:ascii="仿宋_GB2312" w:eastAsia="仿宋_GB2312"/>
          <w:b/>
          <w:sz w:val="32"/>
          <w:szCs w:val="32"/>
        </w:rPr>
        <w:t>（三）相关建议。</w:t>
      </w:r>
      <w:r>
        <w:rPr>
          <w:rFonts w:hint="eastAsia" w:ascii="仿宋_GB2312" w:eastAsia="仿宋_GB2312"/>
          <w:sz w:val="32"/>
          <w:szCs w:val="32"/>
        </w:rPr>
        <w:t>建议保证每年度维护资金投入，切实加强维护管理，确保用户好收看地面数字电视节目和收听广播。</w:t>
      </w:r>
    </w:p>
    <w:p>
      <w:pPr>
        <w:ind w:firstLine="645"/>
        <w:rPr>
          <w:rFonts w:ascii="仿宋_GB2312" w:eastAsia="仿宋_GB2312"/>
          <w:sz w:val="32"/>
          <w:szCs w:val="32"/>
        </w:rPr>
      </w:pPr>
    </w:p>
    <w:p>
      <w:pPr>
        <w:pStyle w:val="2"/>
        <w:spacing w:before="93"/>
        <w:rPr>
          <w:rFonts w:ascii="华文仿宋" w:hAnsi="华文仿宋" w:eastAsia="华文仿宋" w:cs="华文仿宋"/>
          <w:sz w:val="32"/>
          <w:szCs w:val="32"/>
          <w:lang w:val="zh-CN"/>
        </w:rPr>
      </w:pPr>
      <w:r>
        <w:rPr>
          <w:sz w:val="32"/>
          <w:szCs w:val="32"/>
        </w:rPr>
        <w:t xml:space="preserve">                       2022</w:t>
      </w:r>
      <w:r>
        <w:rPr>
          <w:rFonts w:hint="eastAsia"/>
          <w:sz w:val="32"/>
          <w:szCs w:val="32"/>
        </w:rPr>
        <w:t>年</w:t>
      </w:r>
      <w:r>
        <w:rPr>
          <w:sz w:val="32"/>
          <w:szCs w:val="32"/>
        </w:rPr>
        <w:t>10</w:t>
      </w:r>
      <w:r>
        <w:rPr>
          <w:rFonts w:hint="eastAsia"/>
          <w:sz w:val="32"/>
          <w:szCs w:val="32"/>
        </w:rPr>
        <w:t>月</w:t>
      </w:r>
      <w:r>
        <w:rPr>
          <w:sz w:val="32"/>
          <w:szCs w:val="32"/>
        </w:rPr>
        <w:t>18</w:t>
      </w:r>
      <w:r>
        <w:rPr>
          <w:rFonts w:hint="eastAsia"/>
          <w:sz w:val="32"/>
          <w:szCs w:val="32"/>
        </w:rPr>
        <w:t>日</w:t>
      </w:r>
    </w:p>
    <w:p>
      <w:pPr>
        <w:pStyle w:val="2"/>
        <w:spacing w:before="93"/>
        <w:rPr>
          <w:sz w:val="32"/>
          <w:szCs w:val="32"/>
          <w:lang w:val="zh-CN"/>
        </w:rPr>
      </w:pPr>
    </w:p>
    <w:p>
      <w:pPr>
        <w:pStyle w:val="2"/>
        <w:spacing w:before="93"/>
        <w:rPr>
          <w:sz w:val="32"/>
          <w:szCs w:val="32"/>
          <w:lang w:val="zh-CN"/>
        </w:rPr>
      </w:pPr>
    </w:p>
    <w:p>
      <w:pPr>
        <w:spacing w:line="580" w:lineRule="exact"/>
        <w:rPr>
          <w:rFonts w:hint="eastAsia" w:ascii="宋体" w:hAnsi="宋体" w:cs="仿宋_GB2312"/>
          <w:b/>
          <w:sz w:val="36"/>
          <w:szCs w:val="36"/>
        </w:rPr>
      </w:pPr>
      <w:bookmarkStart w:id="95" w:name="_Toc52180099"/>
      <w:bookmarkStart w:id="96" w:name="_Toc15396618"/>
    </w:p>
    <w:p>
      <w:pPr>
        <w:pStyle w:val="2"/>
        <w:rPr>
          <w:rFonts w:hint="eastAsia" w:ascii="宋体" w:hAnsi="宋体" w:cs="仿宋_GB2312"/>
          <w:b/>
          <w:sz w:val="36"/>
          <w:szCs w:val="36"/>
        </w:rPr>
      </w:pPr>
    </w:p>
    <w:p>
      <w:pPr>
        <w:rPr>
          <w:rFonts w:hint="eastAsia" w:ascii="宋体" w:hAnsi="宋体" w:cs="仿宋_GB2312"/>
          <w:b/>
          <w:sz w:val="36"/>
          <w:szCs w:val="36"/>
        </w:rPr>
      </w:pPr>
    </w:p>
    <w:p>
      <w:pPr>
        <w:pStyle w:val="2"/>
        <w:rPr>
          <w:rFonts w:hint="eastAsia" w:ascii="仿宋" w:hAnsi="仿宋" w:eastAsia="仿宋" w:cs="仿宋"/>
          <w:sz w:val="32"/>
          <w:szCs w:val="32"/>
          <w:lang w:val="en-US" w:eastAsia="zh-CN"/>
        </w:rPr>
      </w:pPr>
      <w:r>
        <w:rPr>
          <w:rFonts w:hint="eastAsia" w:ascii="仿宋" w:hAnsi="仿宋" w:eastAsia="仿宋" w:cs="仿宋"/>
          <w:b/>
          <w:sz w:val="32"/>
          <w:szCs w:val="32"/>
          <w:lang w:eastAsia="zh-CN"/>
        </w:rPr>
        <w:t>附件</w:t>
      </w:r>
      <w:r>
        <w:rPr>
          <w:rFonts w:hint="eastAsia" w:ascii="仿宋" w:hAnsi="仿宋" w:eastAsia="仿宋" w:cs="仿宋"/>
          <w:b/>
          <w:sz w:val="32"/>
          <w:szCs w:val="32"/>
          <w:lang w:val="en-US" w:eastAsia="zh-CN"/>
        </w:rPr>
        <w:t>3</w:t>
      </w:r>
    </w:p>
    <w:p>
      <w:pPr>
        <w:spacing w:line="580" w:lineRule="exact"/>
        <w:ind w:firstLine="1807"/>
        <w:rPr>
          <w:rFonts w:ascii="宋体" w:cs="仿宋_GB2312"/>
          <w:b/>
          <w:sz w:val="36"/>
          <w:szCs w:val="36"/>
        </w:rPr>
      </w:pPr>
      <w:r>
        <w:rPr>
          <w:rFonts w:hint="eastAsia" w:ascii="宋体" w:hAnsi="宋体" w:cs="仿宋_GB2312"/>
          <w:b/>
          <w:sz w:val="36"/>
          <w:szCs w:val="36"/>
        </w:rPr>
        <w:t>部门预算项目绩效目标自评表</w:t>
      </w:r>
    </w:p>
    <w:p>
      <w:pPr>
        <w:pStyle w:val="14"/>
        <w:ind w:firstLine="2072"/>
        <w:rPr>
          <w:rFonts w:ascii="宋体" w:cs="仿宋_GB2312"/>
          <w:b/>
          <w:sz w:val="32"/>
          <w:szCs w:val="32"/>
        </w:rPr>
      </w:pPr>
      <w:r>
        <w:rPr>
          <w:rFonts w:hint="eastAsia" w:ascii="宋体" w:hAnsi="宋体" w:cs="仿宋_GB2312"/>
          <w:b/>
          <w:sz w:val="32"/>
          <w:szCs w:val="32"/>
        </w:rPr>
        <w:t>（</w:t>
      </w:r>
      <w:r>
        <w:rPr>
          <w:rFonts w:ascii="宋体" w:hAnsi="宋体" w:cs="仿宋_GB2312"/>
          <w:b/>
          <w:sz w:val="32"/>
          <w:szCs w:val="32"/>
        </w:rPr>
        <w:t xml:space="preserve"> 2021</w:t>
      </w:r>
      <w:r>
        <w:rPr>
          <w:rFonts w:hint="eastAsia" w:ascii="宋体" w:hAnsi="宋体" w:cs="仿宋_GB2312"/>
          <w:b/>
          <w:sz w:val="32"/>
          <w:szCs w:val="32"/>
        </w:rPr>
        <w:t>年广播电视运行维护费）</w:t>
      </w:r>
    </w:p>
    <w:tbl>
      <w:tblPr>
        <w:tblStyle w:val="39"/>
        <w:tblpPr w:leftFromText="180" w:rightFromText="180" w:vertAnchor="text" w:horzAnchor="page" w:tblpX="1281" w:tblpY="660"/>
        <w:tblW w:w="9663" w:type="dxa"/>
        <w:tblInd w:w="0" w:type="dxa"/>
        <w:tblLayout w:type="fixed"/>
        <w:tblCellMar>
          <w:top w:w="0" w:type="dxa"/>
          <w:left w:w="108" w:type="dxa"/>
          <w:bottom w:w="0" w:type="dxa"/>
          <w:right w:w="108" w:type="dxa"/>
        </w:tblCellMar>
      </w:tblPr>
      <w:tblGrid>
        <w:gridCol w:w="1263"/>
        <w:gridCol w:w="1365"/>
        <w:gridCol w:w="210"/>
        <w:gridCol w:w="1680"/>
        <w:gridCol w:w="420"/>
        <w:gridCol w:w="1575"/>
        <w:gridCol w:w="1065"/>
        <w:gridCol w:w="510"/>
        <w:gridCol w:w="1575"/>
      </w:tblGrid>
      <w:tr>
        <w:tblPrEx>
          <w:tblLayout w:type="fixed"/>
          <w:tblCellMar>
            <w:top w:w="0" w:type="dxa"/>
            <w:left w:w="108" w:type="dxa"/>
            <w:bottom w:w="0" w:type="dxa"/>
            <w:right w:w="108" w:type="dxa"/>
          </w:tblCellMar>
        </w:tblPrEx>
        <w:trPr>
          <w:trHeight w:val="254" w:hRule="atLeast"/>
        </w:trPr>
        <w:tc>
          <w:tcPr>
            <w:tcW w:w="283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宋体"/>
                <w:sz w:val="24"/>
              </w:rPr>
            </w:pPr>
            <w:r>
              <w:rPr>
                <w:rFonts w:hint="eastAsia" w:ascii="宋体" w:hAnsi="宋体" w:cs="宋体"/>
                <w:sz w:val="24"/>
              </w:rPr>
              <w:t>主管部门及代码</w:t>
            </w:r>
          </w:p>
        </w:tc>
        <w:tc>
          <w:tcPr>
            <w:tcW w:w="367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宋体" w:cs="宋体"/>
                <w:sz w:val="24"/>
              </w:rPr>
            </w:pPr>
            <w:r>
              <w:rPr>
                <w:rFonts w:ascii="宋体" w:hAnsi="宋体" w:cs="宋体"/>
                <w:sz w:val="24"/>
              </w:rPr>
              <w:t>230001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宋体"/>
                <w:sz w:val="24"/>
              </w:rPr>
            </w:pPr>
            <w:r>
              <w:rPr>
                <w:rFonts w:hint="eastAsia" w:ascii="宋体" w:hAnsi="宋体" w:cs="宋体"/>
                <w:sz w:val="24"/>
              </w:rPr>
              <w:t>实施单位</w:t>
            </w:r>
          </w:p>
        </w:tc>
        <w:tc>
          <w:tcPr>
            <w:tcW w:w="20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宋体"/>
                <w:sz w:val="24"/>
              </w:rPr>
            </w:pPr>
            <w:r>
              <w:rPr>
                <w:rFonts w:hint="eastAsia" w:ascii="宋体" w:hAnsi="宋体" w:cs="宋体"/>
                <w:sz w:val="24"/>
              </w:rPr>
              <w:t>盐边县文化广播电视和旅游局</w:t>
            </w:r>
          </w:p>
        </w:tc>
      </w:tr>
      <w:tr>
        <w:tblPrEx>
          <w:tblLayout w:type="fixed"/>
          <w:tblCellMar>
            <w:top w:w="0" w:type="dxa"/>
            <w:left w:w="108" w:type="dxa"/>
            <w:bottom w:w="0" w:type="dxa"/>
            <w:right w:w="108" w:type="dxa"/>
          </w:tblCellMar>
        </w:tblPrEx>
        <w:trPr>
          <w:trHeight w:val="341" w:hRule="atLeast"/>
        </w:trPr>
        <w:tc>
          <w:tcPr>
            <w:tcW w:w="283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eastAsia="宋体" w:cs="宋体"/>
                <w:sz w:val="24"/>
                <w:lang w:eastAsia="zh-CN"/>
              </w:rPr>
            </w:pPr>
            <w:r>
              <w:rPr>
                <w:rFonts w:hint="eastAsia" w:ascii="宋体" w:hAnsi="宋体" w:cs="宋体"/>
                <w:sz w:val="24"/>
              </w:rPr>
              <w:t>项目预算</w:t>
            </w:r>
          </w:p>
          <w:p>
            <w:pPr>
              <w:widowControl/>
              <w:spacing w:line="320" w:lineRule="exact"/>
              <w:jc w:val="center"/>
              <w:rPr>
                <w:rFonts w:hint="eastAsia" w:ascii="宋体" w:hAnsi="宋体" w:eastAsia="宋体" w:cs="宋体"/>
                <w:sz w:val="24"/>
                <w:lang w:eastAsia="zh-CN"/>
              </w:rPr>
            </w:pPr>
            <w:r>
              <w:rPr>
                <w:rFonts w:hint="eastAsia" w:ascii="宋体" w:hAnsi="宋体" w:cs="宋体"/>
                <w:sz w:val="24"/>
              </w:rPr>
              <w:t>执行情况</w:t>
            </w:r>
          </w:p>
          <w:p>
            <w:pPr>
              <w:widowControl/>
              <w:spacing w:line="320" w:lineRule="exact"/>
              <w:jc w:val="center"/>
              <w:rPr>
                <w:rFonts w:ascii="宋体" w:cs="宋体"/>
                <w:sz w:val="24"/>
              </w:rPr>
            </w:pPr>
            <w:r>
              <w:rPr>
                <w:rFonts w:hint="eastAsia" w:ascii="宋体" w:hAnsi="宋体" w:cs="宋体"/>
                <w:sz w:val="24"/>
              </w:rPr>
              <w:t>（万元）</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cs="宋体"/>
                <w:sz w:val="24"/>
              </w:rPr>
            </w:pPr>
            <w:r>
              <w:rPr>
                <w:rFonts w:hint="eastAsia" w:ascii="宋体" w:hAnsi="宋体" w:cs="宋体"/>
                <w:sz w:val="24"/>
              </w:rPr>
              <w:t>预算数：</w:t>
            </w:r>
          </w:p>
        </w:tc>
        <w:tc>
          <w:tcPr>
            <w:tcW w:w="19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cs="宋体"/>
                <w:sz w:val="24"/>
              </w:rPr>
            </w:pPr>
            <w:r>
              <w:rPr>
                <w:rFonts w:ascii="宋体" w:hAnsi="宋体" w:cs="宋体"/>
                <w:sz w:val="24"/>
              </w:rPr>
              <w:t>164.5</w:t>
            </w:r>
            <w:r>
              <w:rPr>
                <w:rFonts w:hint="eastAsia" w:ascii="宋体" w:hAnsi="宋体" w:cs="宋体"/>
                <w:sz w:val="24"/>
              </w:rPr>
              <w:t>万元</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cs="宋体"/>
                <w:sz w:val="24"/>
              </w:rPr>
            </w:pPr>
            <w:r>
              <w:rPr>
                <w:rFonts w:hint="eastAsia" w:ascii="宋体" w:hAnsi="宋体" w:cs="宋体"/>
                <w:sz w:val="24"/>
              </w:rPr>
              <w:t>执行数：</w:t>
            </w:r>
          </w:p>
        </w:tc>
        <w:tc>
          <w:tcPr>
            <w:tcW w:w="20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ind w:right="480"/>
              <w:rPr>
                <w:rFonts w:ascii="宋体" w:cs="宋体"/>
                <w:sz w:val="24"/>
              </w:rPr>
            </w:pPr>
            <w:r>
              <w:rPr>
                <w:rFonts w:ascii="宋体" w:hAnsi="宋体" w:cs="宋体"/>
                <w:sz w:val="24"/>
              </w:rPr>
              <w:t>164.5</w:t>
            </w:r>
            <w:r>
              <w:rPr>
                <w:rFonts w:hint="eastAsia" w:ascii="宋体" w:hAnsi="宋体" w:cs="宋体"/>
                <w:sz w:val="24"/>
              </w:rPr>
              <w:t>万元</w:t>
            </w:r>
          </w:p>
        </w:tc>
      </w:tr>
      <w:tr>
        <w:tblPrEx>
          <w:tblLayout w:type="fixed"/>
          <w:tblCellMar>
            <w:top w:w="0" w:type="dxa"/>
            <w:left w:w="108" w:type="dxa"/>
            <w:bottom w:w="0" w:type="dxa"/>
            <w:right w:w="108" w:type="dxa"/>
          </w:tblCellMar>
        </w:tblPrEx>
        <w:trPr>
          <w:trHeight w:val="555" w:hRule="atLeast"/>
        </w:trPr>
        <w:tc>
          <w:tcPr>
            <w:tcW w:w="283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cs="宋体"/>
                <w:sz w:val="24"/>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cs="宋体"/>
                <w:sz w:val="24"/>
              </w:rPr>
            </w:pPr>
            <w:r>
              <w:rPr>
                <w:rFonts w:hint="eastAsia" w:ascii="宋体" w:hAnsi="宋体" w:cs="宋体"/>
                <w:sz w:val="24"/>
              </w:rPr>
              <w:t>其中：</w:t>
            </w:r>
          </w:p>
          <w:p>
            <w:pPr>
              <w:widowControl/>
              <w:spacing w:line="320" w:lineRule="exact"/>
              <w:jc w:val="left"/>
              <w:rPr>
                <w:rFonts w:ascii="宋体" w:cs="宋体"/>
                <w:sz w:val="24"/>
              </w:rPr>
            </w:pPr>
            <w:r>
              <w:rPr>
                <w:rFonts w:hint="eastAsia" w:ascii="宋体" w:hAnsi="宋体" w:cs="宋体"/>
                <w:sz w:val="24"/>
              </w:rPr>
              <w:t>财政拨款</w:t>
            </w:r>
          </w:p>
        </w:tc>
        <w:tc>
          <w:tcPr>
            <w:tcW w:w="19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cs="宋体"/>
                <w:sz w:val="24"/>
              </w:rPr>
            </w:pPr>
            <w:r>
              <w:rPr>
                <w:rFonts w:ascii="宋体" w:hAnsi="宋体" w:cs="宋体"/>
                <w:sz w:val="24"/>
              </w:rPr>
              <w:t>164.5</w:t>
            </w:r>
            <w:r>
              <w:rPr>
                <w:rFonts w:hint="eastAsia" w:ascii="宋体" w:hAnsi="宋体" w:cs="宋体"/>
                <w:sz w:val="24"/>
              </w:rPr>
              <w:t>万元</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cs="宋体"/>
                <w:sz w:val="24"/>
              </w:rPr>
            </w:pPr>
            <w:r>
              <w:rPr>
                <w:rFonts w:hint="eastAsia" w:ascii="宋体" w:hAnsi="宋体" w:cs="宋体"/>
                <w:sz w:val="24"/>
              </w:rPr>
              <w:t>其中：</w:t>
            </w:r>
          </w:p>
          <w:p>
            <w:pPr>
              <w:widowControl/>
              <w:spacing w:line="320" w:lineRule="exact"/>
              <w:jc w:val="left"/>
              <w:rPr>
                <w:rFonts w:ascii="宋体" w:cs="宋体"/>
                <w:sz w:val="24"/>
              </w:rPr>
            </w:pPr>
            <w:r>
              <w:rPr>
                <w:rFonts w:hint="eastAsia" w:ascii="宋体" w:hAnsi="宋体" w:cs="宋体"/>
                <w:sz w:val="24"/>
              </w:rPr>
              <w:t>财政拨款</w:t>
            </w:r>
          </w:p>
        </w:tc>
        <w:tc>
          <w:tcPr>
            <w:tcW w:w="20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宋体" w:cs="宋体"/>
                <w:sz w:val="24"/>
              </w:rPr>
            </w:pPr>
            <w:r>
              <w:rPr>
                <w:rFonts w:ascii="宋体" w:hAnsi="宋体" w:cs="宋体"/>
                <w:sz w:val="24"/>
              </w:rPr>
              <w:t>164.5</w:t>
            </w:r>
            <w:r>
              <w:rPr>
                <w:rFonts w:hint="eastAsia" w:ascii="宋体" w:hAnsi="宋体" w:cs="宋体"/>
                <w:sz w:val="24"/>
              </w:rPr>
              <w:t>万元</w:t>
            </w:r>
          </w:p>
        </w:tc>
      </w:tr>
      <w:tr>
        <w:tblPrEx>
          <w:tblLayout w:type="fixed"/>
          <w:tblCellMar>
            <w:top w:w="0" w:type="dxa"/>
            <w:left w:w="108" w:type="dxa"/>
            <w:bottom w:w="0" w:type="dxa"/>
            <w:right w:w="108" w:type="dxa"/>
          </w:tblCellMar>
        </w:tblPrEx>
        <w:trPr>
          <w:trHeight w:val="341" w:hRule="atLeast"/>
        </w:trPr>
        <w:tc>
          <w:tcPr>
            <w:tcW w:w="283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cs="宋体"/>
                <w:sz w:val="24"/>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cs="宋体"/>
                <w:sz w:val="24"/>
              </w:rPr>
            </w:pPr>
            <w:r>
              <w:rPr>
                <w:rFonts w:hint="eastAsia" w:ascii="宋体" w:hAnsi="宋体" w:cs="宋体"/>
                <w:sz w:val="24"/>
              </w:rPr>
              <w:t>其他资金</w:t>
            </w:r>
          </w:p>
        </w:tc>
        <w:tc>
          <w:tcPr>
            <w:tcW w:w="19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cs="宋体"/>
                <w:sz w:val="24"/>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ascii="宋体" w:cs="宋体"/>
                <w:sz w:val="24"/>
              </w:rPr>
            </w:pPr>
            <w:r>
              <w:rPr>
                <w:rFonts w:hint="eastAsia" w:ascii="宋体" w:hAnsi="宋体" w:cs="宋体"/>
                <w:sz w:val="24"/>
              </w:rPr>
              <w:t>其他资金</w:t>
            </w:r>
          </w:p>
        </w:tc>
        <w:tc>
          <w:tcPr>
            <w:tcW w:w="20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宋体"/>
                <w:sz w:val="24"/>
              </w:rPr>
            </w:pPr>
          </w:p>
        </w:tc>
      </w:tr>
      <w:tr>
        <w:tblPrEx>
          <w:tblLayout w:type="fixed"/>
          <w:tblCellMar>
            <w:top w:w="0" w:type="dxa"/>
            <w:left w:w="108" w:type="dxa"/>
            <w:bottom w:w="0" w:type="dxa"/>
            <w:right w:w="108" w:type="dxa"/>
          </w:tblCellMar>
        </w:tblPrEx>
        <w:trPr>
          <w:trHeight w:val="217" w:hRule="atLeast"/>
        </w:trPr>
        <w:tc>
          <w:tcPr>
            <w:tcW w:w="12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宋体"/>
                <w:sz w:val="24"/>
              </w:rPr>
            </w:pPr>
            <w:r>
              <w:rPr>
                <w:rFonts w:hint="eastAsia" w:ascii="宋体" w:hAnsi="宋体" w:cs="宋体"/>
                <w:sz w:val="24"/>
              </w:rPr>
              <w:t>年度总体目标</w:t>
            </w:r>
          </w:p>
          <w:p>
            <w:pPr>
              <w:widowControl/>
              <w:spacing w:line="320" w:lineRule="exact"/>
              <w:jc w:val="center"/>
              <w:rPr>
                <w:rFonts w:ascii="宋体" w:cs="宋体"/>
                <w:sz w:val="24"/>
              </w:rPr>
            </w:pPr>
            <w:r>
              <w:rPr>
                <w:rFonts w:hint="eastAsia" w:ascii="宋体" w:hAnsi="宋体" w:cs="宋体"/>
                <w:sz w:val="24"/>
              </w:rPr>
              <w:t>完成情况</w:t>
            </w:r>
          </w:p>
        </w:tc>
        <w:tc>
          <w:tcPr>
            <w:tcW w:w="525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宋体"/>
                <w:sz w:val="24"/>
              </w:rPr>
            </w:pPr>
            <w:r>
              <w:rPr>
                <w:rFonts w:hint="eastAsia" w:ascii="宋体" w:hAnsi="宋体" w:cs="宋体"/>
                <w:sz w:val="24"/>
              </w:rPr>
              <w:t>预期目标</w:t>
            </w:r>
          </w:p>
        </w:tc>
        <w:tc>
          <w:tcPr>
            <w:tcW w:w="31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宋体"/>
                <w:sz w:val="24"/>
              </w:rPr>
            </w:pPr>
            <w:r>
              <w:rPr>
                <w:rFonts w:hint="eastAsia" w:ascii="宋体" w:hAnsi="宋体" w:cs="宋体"/>
                <w:sz w:val="24"/>
              </w:rPr>
              <w:t>目标实际完成情况</w:t>
            </w:r>
          </w:p>
        </w:tc>
      </w:tr>
      <w:tr>
        <w:tblPrEx>
          <w:tblLayout w:type="fixed"/>
          <w:tblCellMar>
            <w:top w:w="0" w:type="dxa"/>
            <w:left w:w="108" w:type="dxa"/>
            <w:bottom w:w="0" w:type="dxa"/>
            <w:right w:w="108" w:type="dxa"/>
          </w:tblCellMar>
        </w:tblPrEx>
        <w:trPr>
          <w:trHeight w:val="797" w:hRule="atLeast"/>
        </w:trPr>
        <w:tc>
          <w:tcPr>
            <w:tcW w:w="126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cs="宋体"/>
                <w:sz w:val="24"/>
              </w:rPr>
            </w:pPr>
          </w:p>
        </w:tc>
        <w:tc>
          <w:tcPr>
            <w:tcW w:w="5250" w:type="dxa"/>
            <w:gridSpan w:val="5"/>
            <w:tcBorders>
              <w:top w:val="single" w:color="000000" w:sz="4" w:space="0"/>
              <w:left w:val="single" w:color="000000" w:sz="4" w:space="0"/>
              <w:bottom w:val="single" w:color="000000" w:sz="4" w:space="0"/>
              <w:right w:val="single" w:color="000000" w:sz="4" w:space="0"/>
            </w:tcBorders>
            <w:noWrap w:val="0"/>
          </w:tcPr>
          <w:p>
            <w:pPr>
              <w:widowControl/>
              <w:spacing w:line="320" w:lineRule="exact"/>
              <w:jc w:val="left"/>
              <w:rPr>
                <w:rFonts w:ascii="宋体" w:cs="宋体"/>
                <w:sz w:val="24"/>
              </w:rPr>
            </w:pPr>
            <w:bookmarkStart w:id="97" w:name="OLE_LINK4"/>
            <w:r>
              <w:rPr>
                <w:rFonts w:hint="eastAsia" w:ascii="宋体" w:hAnsi="宋体"/>
                <w:sz w:val="24"/>
              </w:rPr>
              <w:t>维护广播电视自然村</w:t>
            </w:r>
            <w:r>
              <w:rPr>
                <w:rFonts w:ascii="宋体" w:hAnsi="宋体"/>
                <w:sz w:val="24"/>
              </w:rPr>
              <w:t>1706</w:t>
            </w:r>
            <w:r>
              <w:rPr>
                <w:rFonts w:hint="eastAsia" w:ascii="宋体" w:hAnsi="宋体"/>
                <w:sz w:val="24"/>
              </w:rPr>
              <w:t>个</w:t>
            </w:r>
            <w:r>
              <w:rPr>
                <w:rFonts w:hint="eastAsia" w:ascii="宋体" w:hAnsi="宋体" w:cs="宋体"/>
                <w:color w:val="000000"/>
                <w:sz w:val="24"/>
              </w:rPr>
              <w:t>；</w:t>
            </w:r>
            <w:r>
              <w:rPr>
                <w:rFonts w:hint="eastAsia" w:ascii="宋体" w:hAnsi="宋体"/>
                <w:sz w:val="24"/>
              </w:rPr>
              <w:t>维护电视户户通用户数</w:t>
            </w:r>
            <w:r>
              <w:rPr>
                <w:rFonts w:ascii="宋体" w:hAnsi="宋体"/>
                <w:sz w:val="24"/>
              </w:rPr>
              <w:t>4</w:t>
            </w:r>
            <w:r>
              <w:rPr>
                <w:rFonts w:hint="eastAsia" w:ascii="宋体" w:hAnsi="宋体"/>
                <w:sz w:val="24"/>
              </w:rPr>
              <w:t>万余户。</w:t>
            </w:r>
            <w:bookmarkEnd w:id="97"/>
          </w:p>
        </w:tc>
        <w:tc>
          <w:tcPr>
            <w:tcW w:w="3150" w:type="dxa"/>
            <w:gridSpan w:val="3"/>
            <w:tcBorders>
              <w:top w:val="single" w:color="000000" w:sz="4" w:space="0"/>
              <w:left w:val="single" w:color="000000" w:sz="4" w:space="0"/>
              <w:bottom w:val="single" w:color="000000" w:sz="4" w:space="0"/>
              <w:right w:val="single" w:color="000000" w:sz="4" w:space="0"/>
            </w:tcBorders>
            <w:noWrap w:val="0"/>
          </w:tcPr>
          <w:p>
            <w:pPr>
              <w:widowControl/>
              <w:spacing w:line="320" w:lineRule="exact"/>
              <w:jc w:val="left"/>
              <w:rPr>
                <w:rFonts w:ascii="宋体" w:cs="宋体"/>
                <w:sz w:val="24"/>
              </w:rPr>
            </w:pPr>
            <w:r>
              <w:rPr>
                <w:rFonts w:hint="eastAsia" w:ascii="宋体" w:hAnsi="宋体"/>
                <w:sz w:val="24"/>
              </w:rPr>
              <w:t>维护广播电视自然村</w:t>
            </w:r>
            <w:r>
              <w:rPr>
                <w:rFonts w:ascii="宋体" w:hAnsi="宋体"/>
                <w:sz w:val="24"/>
              </w:rPr>
              <w:t>1706</w:t>
            </w:r>
            <w:r>
              <w:rPr>
                <w:rFonts w:hint="eastAsia" w:ascii="宋体" w:hAnsi="宋体"/>
                <w:sz w:val="24"/>
              </w:rPr>
              <w:t>个</w:t>
            </w:r>
            <w:r>
              <w:rPr>
                <w:rFonts w:hint="eastAsia" w:ascii="宋体" w:hAnsi="宋体" w:cs="宋体"/>
                <w:color w:val="000000"/>
                <w:sz w:val="24"/>
              </w:rPr>
              <w:t>；</w:t>
            </w:r>
            <w:r>
              <w:rPr>
                <w:rFonts w:hint="eastAsia" w:ascii="宋体" w:hAnsi="宋体"/>
                <w:sz w:val="24"/>
              </w:rPr>
              <w:t>维护电视户户通用户数</w:t>
            </w:r>
            <w:r>
              <w:rPr>
                <w:rFonts w:ascii="宋体" w:hAnsi="宋体"/>
                <w:sz w:val="24"/>
              </w:rPr>
              <w:t>4</w:t>
            </w:r>
            <w:r>
              <w:rPr>
                <w:rFonts w:hint="eastAsia" w:ascii="宋体" w:hAnsi="宋体"/>
                <w:sz w:val="24"/>
              </w:rPr>
              <w:t>万余户。</w:t>
            </w:r>
          </w:p>
        </w:tc>
      </w:tr>
      <w:tr>
        <w:tblPrEx>
          <w:tblLayout w:type="fixed"/>
          <w:tblCellMar>
            <w:top w:w="0" w:type="dxa"/>
            <w:left w:w="108" w:type="dxa"/>
            <w:bottom w:w="0" w:type="dxa"/>
            <w:right w:w="108" w:type="dxa"/>
          </w:tblCellMar>
        </w:tblPrEx>
        <w:trPr>
          <w:trHeight w:val="693" w:hRule="atLeast"/>
        </w:trPr>
        <w:tc>
          <w:tcPr>
            <w:tcW w:w="1263"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rPr>
                <w:rFonts w:ascii="宋体" w:cs="仿宋_GB2312"/>
                <w:sz w:val="24"/>
              </w:rPr>
            </w:pPr>
            <w:r>
              <w:rPr>
                <w:rFonts w:hint="eastAsia" w:ascii="宋体" w:hAnsi="宋体" w:cs="仿宋_GB2312"/>
                <w:sz w:val="24"/>
              </w:rPr>
              <w:t>年度绩效指标完成情况</w:t>
            </w:r>
          </w:p>
        </w:tc>
        <w:tc>
          <w:tcPr>
            <w:tcW w:w="1365"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rPr>
                <w:rFonts w:ascii="宋体" w:cs="仿宋_GB2312"/>
                <w:sz w:val="24"/>
              </w:rPr>
            </w:pPr>
            <w:r>
              <w:rPr>
                <w:rFonts w:hint="eastAsia" w:ascii="宋体" w:hAnsi="宋体" w:cs="仿宋_GB2312"/>
                <w:sz w:val="24"/>
              </w:rPr>
              <w:t>一级</w:t>
            </w:r>
          </w:p>
          <w:p>
            <w:pPr>
              <w:widowControl/>
              <w:spacing w:line="320" w:lineRule="exact"/>
              <w:jc w:val="center"/>
              <w:rPr>
                <w:rFonts w:ascii="宋体" w:cs="仿宋_GB2312"/>
                <w:sz w:val="24"/>
              </w:rPr>
            </w:pPr>
            <w:r>
              <w:rPr>
                <w:rFonts w:hint="eastAsia" w:ascii="宋体" w:hAnsi="宋体" w:cs="仿宋_GB2312"/>
                <w:sz w:val="24"/>
              </w:rPr>
              <w:t>指标</w:t>
            </w:r>
          </w:p>
        </w:tc>
        <w:tc>
          <w:tcPr>
            <w:tcW w:w="23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仿宋_GB2312"/>
                <w:sz w:val="24"/>
              </w:rPr>
            </w:pPr>
            <w:r>
              <w:rPr>
                <w:rFonts w:hint="eastAsia" w:ascii="宋体" w:hAnsi="宋体" w:cs="仿宋_GB2312"/>
                <w:sz w:val="24"/>
              </w:rPr>
              <w:t>二级</w:t>
            </w:r>
          </w:p>
          <w:p>
            <w:pPr>
              <w:widowControl/>
              <w:spacing w:line="320" w:lineRule="exact"/>
              <w:jc w:val="center"/>
              <w:rPr>
                <w:rFonts w:ascii="宋体" w:cs="仿宋_GB2312"/>
                <w:sz w:val="24"/>
              </w:rPr>
            </w:pPr>
            <w:r>
              <w:rPr>
                <w:rFonts w:hint="eastAsia" w:ascii="宋体" w:hAnsi="宋体" w:cs="仿宋_GB2312"/>
                <w:sz w:val="24"/>
              </w:rPr>
              <w:t>指标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仿宋_GB2312"/>
                <w:sz w:val="24"/>
              </w:rPr>
            </w:pPr>
            <w:r>
              <w:rPr>
                <w:rFonts w:hint="eastAsia" w:ascii="宋体" w:hAnsi="宋体" w:cs="仿宋_GB2312"/>
                <w:sz w:val="24"/>
              </w:rPr>
              <w:t>三级</w:t>
            </w:r>
          </w:p>
          <w:p>
            <w:pPr>
              <w:widowControl/>
              <w:spacing w:line="320" w:lineRule="exact"/>
              <w:jc w:val="center"/>
              <w:rPr>
                <w:rFonts w:ascii="宋体" w:cs="仿宋_GB2312"/>
                <w:sz w:val="24"/>
              </w:rPr>
            </w:pPr>
            <w:r>
              <w:rPr>
                <w:rFonts w:hint="eastAsia" w:ascii="宋体" w:hAnsi="宋体" w:cs="仿宋_GB2312"/>
                <w:sz w:val="24"/>
              </w:rPr>
              <w:t>指标</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仿宋_GB2312"/>
                <w:sz w:val="24"/>
              </w:rPr>
            </w:pPr>
            <w:r>
              <w:rPr>
                <w:rFonts w:hint="eastAsia" w:ascii="宋体" w:hAnsi="宋体" w:cs="仿宋_GB2312"/>
                <w:sz w:val="24"/>
              </w:rPr>
              <w:t>预期指标值</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仿宋_GB2312"/>
                <w:sz w:val="24"/>
              </w:rPr>
            </w:pPr>
            <w:r>
              <w:rPr>
                <w:rFonts w:hint="eastAsia" w:ascii="宋体" w:hAnsi="宋体" w:cs="仿宋_GB2312"/>
                <w:sz w:val="24"/>
              </w:rPr>
              <w:t>实际完成指标值</w:t>
            </w:r>
          </w:p>
        </w:tc>
      </w:tr>
      <w:tr>
        <w:tblPrEx>
          <w:tblLayout w:type="fixed"/>
          <w:tblCellMar>
            <w:top w:w="0" w:type="dxa"/>
            <w:left w:w="108" w:type="dxa"/>
            <w:bottom w:w="0" w:type="dxa"/>
            <w:right w:w="108" w:type="dxa"/>
          </w:tblCellMar>
        </w:tblPrEx>
        <w:trPr>
          <w:trHeight w:val="415" w:hRule="atLeast"/>
        </w:trPr>
        <w:tc>
          <w:tcPr>
            <w:tcW w:w="1263" w:type="dxa"/>
            <w:vMerge w:val="continue"/>
            <w:tcBorders>
              <w:left w:val="single" w:color="000000" w:sz="4" w:space="0"/>
              <w:right w:val="single" w:color="000000" w:sz="4" w:space="0"/>
            </w:tcBorders>
            <w:noWrap w:val="0"/>
            <w:vAlign w:val="center"/>
          </w:tcPr>
          <w:p>
            <w:pPr>
              <w:spacing w:line="320" w:lineRule="exact"/>
              <w:jc w:val="center"/>
              <w:rPr>
                <w:rFonts w:ascii="宋体" w:cs="仿宋_GB2312"/>
                <w:sz w:val="24"/>
              </w:rPr>
            </w:pPr>
          </w:p>
        </w:tc>
        <w:tc>
          <w:tcPr>
            <w:tcW w:w="13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仿宋_GB2312"/>
                <w:sz w:val="24"/>
              </w:rPr>
            </w:pPr>
            <w:r>
              <w:rPr>
                <w:rFonts w:hint="eastAsia" w:ascii="宋体" w:hAnsi="宋体" w:cs="仿宋_GB2312"/>
                <w:sz w:val="24"/>
              </w:rPr>
              <w:t>完成</w:t>
            </w:r>
          </w:p>
          <w:p>
            <w:pPr>
              <w:widowControl/>
              <w:spacing w:line="320" w:lineRule="exact"/>
              <w:jc w:val="center"/>
              <w:rPr>
                <w:rFonts w:ascii="宋体" w:cs="仿宋_GB2312"/>
                <w:sz w:val="24"/>
              </w:rPr>
            </w:pPr>
            <w:r>
              <w:rPr>
                <w:rFonts w:hint="eastAsia" w:ascii="宋体" w:hAnsi="宋体" w:cs="仿宋_GB2312"/>
                <w:sz w:val="24"/>
              </w:rPr>
              <w:t>指标</w:t>
            </w:r>
          </w:p>
        </w:tc>
        <w:tc>
          <w:tcPr>
            <w:tcW w:w="2310" w:type="dxa"/>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数量指标</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rPr>
                <w:rFonts w:ascii="宋体" w:cs="仿宋_GB2312"/>
                <w:sz w:val="24"/>
              </w:rPr>
            </w:pPr>
            <w:r>
              <w:rPr>
                <w:rFonts w:hint="eastAsia" w:ascii="宋体" w:hAnsi="宋体" w:cs="仿宋_GB2312"/>
                <w:sz w:val="24"/>
              </w:rPr>
              <w:t>维护广播电视自然村</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ascii="宋体" w:hAnsi="宋体" w:cs="仿宋_GB2312"/>
                <w:sz w:val="24"/>
              </w:rPr>
              <w:t>1706</w:t>
            </w:r>
            <w:r>
              <w:rPr>
                <w:rFonts w:hint="eastAsia" w:ascii="宋体" w:hAnsi="宋体" w:cs="仿宋_GB2312"/>
                <w:sz w:val="24"/>
              </w:rPr>
              <w:t>个</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ascii="宋体" w:hAnsi="宋体" w:cs="仿宋_GB2312"/>
                <w:sz w:val="24"/>
              </w:rPr>
              <w:t>1706</w:t>
            </w:r>
            <w:r>
              <w:rPr>
                <w:rFonts w:hint="eastAsia" w:ascii="宋体" w:hAnsi="宋体" w:cs="仿宋_GB2312"/>
                <w:sz w:val="24"/>
              </w:rPr>
              <w:t>个</w:t>
            </w:r>
          </w:p>
        </w:tc>
      </w:tr>
      <w:tr>
        <w:tblPrEx>
          <w:tblLayout w:type="fixed"/>
          <w:tblCellMar>
            <w:top w:w="0" w:type="dxa"/>
            <w:left w:w="108" w:type="dxa"/>
            <w:bottom w:w="0" w:type="dxa"/>
            <w:right w:w="108" w:type="dxa"/>
          </w:tblCellMar>
        </w:tblPrEx>
        <w:trPr>
          <w:trHeight w:val="415" w:hRule="atLeast"/>
        </w:trPr>
        <w:tc>
          <w:tcPr>
            <w:tcW w:w="1263" w:type="dxa"/>
            <w:vMerge w:val="continue"/>
            <w:tcBorders>
              <w:left w:val="single" w:color="000000" w:sz="4" w:space="0"/>
              <w:right w:val="single" w:color="000000" w:sz="4" w:space="0"/>
            </w:tcBorders>
            <w:noWrap w:val="0"/>
            <w:vAlign w:val="center"/>
          </w:tcPr>
          <w:p>
            <w:pPr>
              <w:spacing w:line="320" w:lineRule="exact"/>
              <w:jc w:val="center"/>
              <w:rPr>
                <w:rFonts w:ascii="宋体" w:cs="仿宋_GB2312"/>
                <w:sz w:val="24"/>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宋体" w:cs="仿宋_GB2312"/>
                <w:sz w:val="24"/>
              </w:rPr>
            </w:pPr>
          </w:p>
        </w:tc>
        <w:tc>
          <w:tcPr>
            <w:tcW w:w="2310" w:type="dxa"/>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质量指标</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rPr>
                <w:rFonts w:ascii="宋体" w:cs="仿宋_GB2312"/>
                <w:sz w:val="24"/>
              </w:rPr>
            </w:pPr>
            <w:r>
              <w:rPr>
                <w:rFonts w:hint="eastAsia" w:ascii="宋体" w:hAnsi="宋体" w:cs="仿宋_GB2312"/>
                <w:sz w:val="24"/>
              </w:rPr>
              <w:t>广播电视网络</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正常运行</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正常运行</w:t>
            </w:r>
          </w:p>
        </w:tc>
      </w:tr>
      <w:tr>
        <w:tblPrEx>
          <w:tblLayout w:type="fixed"/>
          <w:tblCellMar>
            <w:top w:w="0" w:type="dxa"/>
            <w:left w:w="108" w:type="dxa"/>
            <w:bottom w:w="0" w:type="dxa"/>
            <w:right w:w="108" w:type="dxa"/>
          </w:tblCellMar>
        </w:tblPrEx>
        <w:trPr>
          <w:trHeight w:val="415" w:hRule="atLeast"/>
        </w:trPr>
        <w:tc>
          <w:tcPr>
            <w:tcW w:w="1263" w:type="dxa"/>
            <w:vMerge w:val="continue"/>
            <w:tcBorders>
              <w:left w:val="single" w:color="000000" w:sz="4" w:space="0"/>
              <w:right w:val="single" w:color="000000" w:sz="4" w:space="0"/>
            </w:tcBorders>
            <w:noWrap w:val="0"/>
            <w:vAlign w:val="center"/>
          </w:tcPr>
          <w:p>
            <w:pPr>
              <w:spacing w:line="320" w:lineRule="exact"/>
              <w:jc w:val="center"/>
              <w:rPr>
                <w:rFonts w:ascii="宋体" w:cs="仿宋_GB2312"/>
                <w:sz w:val="24"/>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宋体" w:cs="仿宋_GB2312"/>
                <w:sz w:val="24"/>
              </w:rPr>
            </w:pPr>
          </w:p>
        </w:tc>
        <w:tc>
          <w:tcPr>
            <w:tcW w:w="2310" w:type="dxa"/>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时效指标</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rPr>
                <w:rFonts w:ascii="宋体" w:cs="仿宋_GB2312"/>
                <w:sz w:val="24"/>
              </w:rPr>
            </w:pPr>
            <w:r>
              <w:rPr>
                <w:rFonts w:hint="eastAsia" w:ascii="宋体" w:hAnsi="宋体" w:cs="仿宋_GB2312"/>
                <w:sz w:val="24"/>
              </w:rPr>
              <w:t>运行维护时间</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ascii="宋体" w:hAnsi="宋体" w:cs="仿宋_GB2312"/>
                <w:sz w:val="24"/>
              </w:rPr>
              <w:t>2021</w:t>
            </w:r>
            <w:r>
              <w:rPr>
                <w:rFonts w:hint="eastAsia" w:ascii="宋体" w:hAnsi="宋体" w:cs="仿宋_GB2312"/>
                <w:sz w:val="24"/>
              </w:rPr>
              <w:t>年</w:t>
            </w:r>
            <w:r>
              <w:rPr>
                <w:rFonts w:ascii="宋体" w:hAnsi="宋体" w:cs="仿宋_GB2312"/>
                <w:sz w:val="24"/>
              </w:rPr>
              <w:t>1</w:t>
            </w:r>
            <w:r>
              <w:rPr>
                <w:rFonts w:hint="eastAsia" w:ascii="宋体" w:hAnsi="宋体" w:cs="仿宋_GB2312"/>
                <w:sz w:val="24"/>
              </w:rPr>
              <w:t>月</w:t>
            </w:r>
            <w:r>
              <w:rPr>
                <w:rFonts w:ascii="宋体" w:hAnsi="宋体" w:cs="仿宋_GB2312"/>
                <w:sz w:val="24"/>
              </w:rPr>
              <w:t>-12</w:t>
            </w:r>
            <w:r>
              <w:rPr>
                <w:rFonts w:hint="eastAsia" w:ascii="宋体" w:hAnsi="宋体" w:cs="仿宋_GB2312"/>
                <w:sz w:val="24"/>
              </w:rPr>
              <w:t>月</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ascii="宋体" w:hAnsi="宋体" w:cs="仿宋_GB2312"/>
                <w:sz w:val="24"/>
              </w:rPr>
              <w:t>2021</w:t>
            </w:r>
            <w:r>
              <w:rPr>
                <w:rFonts w:hint="eastAsia" w:ascii="宋体" w:hAnsi="宋体" w:cs="仿宋_GB2312"/>
                <w:sz w:val="24"/>
              </w:rPr>
              <w:t>年</w:t>
            </w:r>
            <w:r>
              <w:rPr>
                <w:rFonts w:ascii="宋体" w:hAnsi="宋体" w:cs="仿宋_GB2312"/>
                <w:sz w:val="24"/>
              </w:rPr>
              <w:t>1</w:t>
            </w:r>
            <w:r>
              <w:rPr>
                <w:rFonts w:hint="eastAsia" w:ascii="宋体" w:hAnsi="宋体" w:cs="仿宋_GB2312"/>
                <w:sz w:val="24"/>
              </w:rPr>
              <w:t>月</w:t>
            </w:r>
            <w:r>
              <w:rPr>
                <w:rFonts w:ascii="宋体" w:hAnsi="宋体" w:cs="仿宋_GB2312"/>
                <w:sz w:val="24"/>
              </w:rPr>
              <w:t>-12</w:t>
            </w:r>
            <w:r>
              <w:rPr>
                <w:rFonts w:hint="eastAsia" w:ascii="宋体" w:hAnsi="宋体" w:cs="仿宋_GB2312"/>
                <w:sz w:val="24"/>
              </w:rPr>
              <w:t>月</w:t>
            </w:r>
          </w:p>
        </w:tc>
      </w:tr>
      <w:tr>
        <w:tblPrEx>
          <w:tblLayout w:type="fixed"/>
          <w:tblCellMar>
            <w:top w:w="0" w:type="dxa"/>
            <w:left w:w="108" w:type="dxa"/>
            <w:bottom w:w="0" w:type="dxa"/>
            <w:right w:w="108" w:type="dxa"/>
          </w:tblCellMar>
        </w:tblPrEx>
        <w:trPr>
          <w:trHeight w:val="480" w:hRule="atLeast"/>
        </w:trPr>
        <w:tc>
          <w:tcPr>
            <w:tcW w:w="1263" w:type="dxa"/>
            <w:vMerge w:val="continue"/>
            <w:tcBorders>
              <w:left w:val="single" w:color="000000" w:sz="4" w:space="0"/>
              <w:right w:val="single" w:color="000000" w:sz="4" w:space="0"/>
            </w:tcBorders>
            <w:noWrap w:val="0"/>
            <w:vAlign w:val="center"/>
          </w:tcPr>
          <w:p>
            <w:pPr>
              <w:spacing w:line="320" w:lineRule="exact"/>
              <w:jc w:val="center"/>
              <w:rPr>
                <w:rFonts w:ascii="宋体" w:cs="仿宋_GB2312"/>
                <w:sz w:val="24"/>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宋体" w:cs="仿宋_GB2312"/>
                <w:sz w:val="24"/>
              </w:rPr>
            </w:pPr>
          </w:p>
        </w:tc>
        <w:tc>
          <w:tcPr>
            <w:tcW w:w="2310" w:type="dxa"/>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成本指标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ascii="宋体" w:cs="仿宋_GB2312"/>
                <w:sz w:val="24"/>
              </w:rPr>
            </w:pPr>
            <w:r>
              <w:rPr>
                <w:rFonts w:hint="eastAsia" w:ascii="宋体" w:hAnsi="宋体" w:cs="仿宋_GB2312"/>
                <w:sz w:val="24"/>
              </w:rPr>
              <w:t>运行维护费用</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仿宋_GB2312"/>
                <w:sz w:val="24"/>
              </w:rPr>
            </w:pPr>
            <w:r>
              <w:rPr>
                <w:rFonts w:ascii="宋体" w:hAnsi="宋体" w:cs="仿宋_GB2312"/>
                <w:sz w:val="24"/>
              </w:rPr>
              <w:t>164.5</w:t>
            </w:r>
            <w:r>
              <w:rPr>
                <w:rFonts w:hint="eastAsia" w:ascii="宋体" w:hAnsi="宋体" w:cs="仿宋_GB2312"/>
                <w:sz w:val="24"/>
              </w:rPr>
              <w:t>万元</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宋体" w:cs="仿宋_GB2312"/>
                <w:sz w:val="24"/>
              </w:rPr>
            </w:pPr>
            <w:r>
              <w:rPr>
                <w:rFonts w:ascii="宋体" w:hAnsi="宋体" w:cs="仿宋_GB2312"/>
                <w:sz w:val="24"/>
              </w:rPr>
              <w:t>164.5</w:t>
            </w:r>
            <w:r>
              <w:rPr>
                <w:rFonts w:hint="eastAsia" w:ascii="宋体" w:hAnsi="宋体" w:cs="仿宋_GB2312"/>
                <w:sz w:val="24"/>
              </w:rPr>
              <w:t>万元</w:t>
            </w:r>
          </w:p>
        </w:tc>
      </w:tr>
      <w:tr>
        <w:tblPrEx>
          <w:tblLayout w:type="fixed"/>
          <w:tblCellMar>
            <w:top w:w="0" w:type="dxa"/>
            <w:left w:w="108" w:type="dxa"/>
            <w:bottom w:w="0" w:type="dxa"/>
            <w:right w:w="108" w:type="dxa"/>
          </w:tblCellMar>
        </w:tblPrEx>
        <w:trPr>
          <w:trHeight w:val="1649" w:hRule="atLeast"/>
        </w:trPr>
        <w:tc>
          <w:tcPr>
            <w:tcW w:w="1263" w:type="dxa"/>
            <w:vMerge w:val="continue"/>
            <w:tcBorders>
              <w:left w:val="single" w:color="000000" w:sz="4" w:space="0"/>
              <w:right w:val="single" w:color="000000" w:sz="4" w:space="0"/>
            </w:tcBorders>
            <w:noWrap w:val="0"/>
            <w:vAlign w:val="center"/>
          </w:tcPr>
          <w:p>
            <w:pPr>
              <w:spacing w:line="320" w:lineRule="exact"/>
              <w:jc w:val="center"/>
              <w:rPr>
                <w:rFonts w:ascii="宋体" w:cs="仿宋_GB2312"/>
                <w:sz w:val="24"/>
              </w:rPr>
            </w:pPr>
          </w:p>
        </w:tc>
        <w:tc>
          <w:tcPr>
            <w:tcW w:w="13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eastAsia="宋体" w:cs="仿宋_GB2312"/>
                <w:sz w:val="24"/>
                <w:lang w:eastAsia="zh-CN"/>
              </w:rPr>
            </w:pPr>
            <w:r>
              <w:rPr>
                <w:rFonts w:hint="eastAsia" w:ascii="宋体" w:hAnsi="宋体" w:cs="仿宋_GB2312"/>
                <w:sz w:val="24"/>
              </w:rPr>
              <w:t>效益</w:t>
            </w:r>
          </w:p>
          <w:p>
            <w:pPr>
              <w:widowControl/>
              <w:spacing w:line="320" w:lineRule="exact"/>
              <w:jc w:val="center"/>
              <w:rPr>
                <w:rFonts w:ascii="宋体" w:cs="仿宋_GB2312"/>
                <w:sz w:val="24"/>
              </w:rPr>
            </w:pPr>
            <w:r>
              <w:rPr>
                <w:rFonts w:hint="eastAsia" w:ascii="宋体" w:hAnsi="宋体" w:cs="仿宋_GB2312"/>
                <w:sz w:val="24"/>
              </w:rPr>
              <w:t>指标</w:t>
            </w:r>
          </w:p>
        </w:tc>
        <w:tc>
          <w:tcPr>
            <w:tcW w:w="2310" w:type="dxa"/>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经济效益指标</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rPr>
                <w:rFonts w:ascii="宋体" w:cs="仿宋_GB2312"/>
                <w:sz w:val="24"/>
              </w:rPr>
            </w:pPr>
            <w:r>
              <w:rPr>
                <w:rFonts w:hint="eastAsia" w:ascii="宋体" w:hAnsi="宋体" w:cs="仿宋_GB2312"/>
                <w:sz w:val="24"/>
              </w:rPr>
              <w:t>广播电视正常运行，增大群众接受信息量</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促进居民收入稳步增长</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rPr>
                <w:rFonts w:ascii="宋体" w:cs="仿宋_GB2312"/>
                <w:sz w:val="24"/>
              </w:rPr>
            </w:pPr>
            <w:r>
              <w:rPr>
                <w:rFonts w:hint="eastAsia" w:ascii="宋体" w:hAnsi="宋体" w:cs="仿宋_GB2312"/>
                <w:sz w:val="24"/>
              </w:rPr>
              <w:t>促进居民收入稳步增长</w:t>
            </w:r>
          </w:p>
        </w:tc>
      </w:tr>
      <w:tr>
        <w:tblPrEx>
          <w:tblLayout w:type="fixed"/>
          <w:tblCellMar>
            <w:top w:w="0" w:type="dxa"/>
            <w:left w:w="108" w:type="dxa"/>
            <w:bottom w:w="0" w:type="dxa"/>
            <w:right w:w="108" w:type="dxa"/>
          </w:tblCellMar>
        </w:tblPrEx>
        <w:trPr>
          <w:trHeight w:val="769" w:hRule="atLeast"/>
        </w:trPr>
        <w:tc>
          <w:tcPr>
            <w:tcW w:w="1263" w:type="dxa"/>
            <w:vMerge w:val="continue"/>
            <w:tcBorders>
              <w:left w:val="single" w:color="000000" w:sz="4" w:space="0"/>
              <w:right w:val="single" w:color="000000" w:sz="4" w:space="0"/>
            </w:tcBorders>
            <w:noWrap w:val="0"/>
            <w:vAlign w:val="center"/>
          </w:tcPr>
          <w:p>
            <w:pPr>
              <w:spacing w:line="320" w:lineRule="exact"/>
              <w:jc w:val="center"/>
              <w:rPr>
                <w:rFonts w:ascii="宋体" w:cs="仿宋_GB2312"/>
                <w:sz w:val="24"/>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宋体" w:cs="仿宋_GB2312"/>
                <w:sz w:val="24"/>
              </w:rPr>
            </w:pPr>
          </w:p>
        </w:tc>
        <w:tc>
          <w:tcPr>
            <w:tcW w:w="2310" w:type="dxa"/>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社会效益指标</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rPr>
                <w:rFonts w:ascii="宋体" w:cs="仿宋_GB2312"/>
                <w:sz w:val="24"/>
              </w:rPr>
            </w:pPr>
            <w:r>
              <w:rPr>
                <w:rFonts w:hint="eastAsia" w:ascii="宋体" w:hAnsi="宋体" w:cs="仿宋_GB2312"/>
                <w:sz w:val="24"/>
              </w:rPr>
              <w:t>解决用户看电视问题</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为群众提供更好的公共文化服务。</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为群众提供更好的公共文化服务。</w:t>
            </w:r>
          </w:p>
        </w:tc>
      </w:tr>
      <w:tr>
        <w:tblPrEx>
          <w:tblLayout w:type="fixed"/>
          <w:tblCellMar>
            <w:top w:w="0" w:type="dxa"/>
            <w:left w:w="108" w:type="dxa"/>
            <w:bottom w:w="0" w:type="dxa"/>
            <w:right w:w="108" w:type="dxa"/>
          </w:tblCellMar>
        </w:tblPrEx>
        <w:trPr>
          <w:trHeight w:val="894" w:hRule="atLeast"/>
        </w:trPr>
        <w:tc>
          <w:tcPr>
            <w:tcW w:w="1263" w:type="dxa"/>
            <w:vMerge w:val="continue"/>
            <w:tcBorders>
              <w:left w:val="single" w:color="000000" w:sz="4" w:space="0"/>
              <w:right w:val="single" w:color="000000" w:sz="4" w:space="0"/>
            </w:tcBorders>
            <w:noWrap w:val="0"/>
            <w:vAlign w:val="center"/>
          </w:tcPr>
          <w:p>
            <w:pPr>
              <w:spacing w:line="320" w:lineRule="exact"/>
              <w:jc w:val="center"/>
              <w:rPr>
                <w:rFonts w:ascii="宋体" w:cs="仿宋_GB2312"/>
                <w:sz w:val="24"/>
              </w:rPr>
            </w:pPr>
          </w:p>
        </w:tc>
        <w:tc>
          <w:tcPr>
            <w:tcW w:w="1365"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ascii="宋体" w:cs="仿宋_GB2312"/>
                <w:sz w:val="24"/>
              </w:rPr>
            </w:pPr>
          </w:p>
        </w:tc>
        <w:tc>
          <w:tcPr>
            <w:tcW w:w="2310" w:type="dxa"/>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可持续影响指标</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传承优秀文化、本土文化</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长期</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长期</w:t>
            </w:r>
          </w:p>
        </w:tc>
      </w:tr>
      <w:tr>
        <w:tblPrEx>
          <w:tblLayout w:type="fixed"/>
          <w:tblCellMar>
            <w:top w:w="0" w:type="dxa"/>
            <w:left w:w="108" w:type="dxa"/>
            <w:bottom w:w="0" w:type="dxa"/>
            <w:right w:w="108" w:type="dxa"/>
          </w:tblCellMar>
        </w:tblPrEx>
        <w:trPr>
          <w:trHeight w:val="1018" w:hRule="atLeast"/>
        </w:trPr>
        <w:tc>
          <w:tcPr>
            <w:tcW w:w="1263"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ascii="宋体" w:cs="仿宋_GB2312"/>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hint="eastAsia" w:ascii="宋体" w:hAnsi="宋体" w:eastAsia="宋体" w:cs="仿宋_GB2312"/>
                <w:sz w:val="24"/>
                <w:lang w:eastAsia="zh-CN"/>
              </w:rPr>
            </w:pPr>
            <w:r>
              <w:rPr>
                <w:rFonts w:hint="eastAsia" w:ascii="宋体" w:hAnsi="宋体" w:cs="仿宋_GB2312"/>
                <w:sz w:val="24"/>
              </w:rPr>
              <w:t>满意</w:t>
            </w:r>
          </w:p>
          <w:p>
            <w:pPr>
              <w:widowControl/>
              <w:spacing w:line="320" w:lineRule="exact"/>
              <w:jc w:val="center"/>
              <w:rPr>
                <w:rFonts w:ascii="宋体" w:cs="仿宋_GB2312"/>
                <w:sz w:val="24"/>
              </w:rPr>
            </w:pPr>
            <w:r>
              <w:rPr>
                <w:rFonts w:hint="eastAsia" w:ascii="宋体" w:hAnsi="宋体" w:cs="仿宋_GB2312"/>
                <w:sz w:val="24"/>
              </w:rPr>
              <w:t>度指标</w:t>
            </w:r>
          </w:p>
        </w:tc>
        <w:tc>
          <w:tcPr>
            <w:tcW w:w="2310" w:type="dxa"/>
            <w:gridSpan w:val="3"/>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满意度</w:t>
            </w:r>
          </w:p>
          <w:p>
            <w:pPr>
              <w:widowControl/>
              <w:spacing w:line="320" w:lineRule="exact"/>
              <w:jc w:val="center"/>
              <w:rPr>
                <w:rFonts w:ascii="宋体" w:cs="仿宋_GB2312"/>
                <w:sz w:val="24"/>
              </w:rPr>
            </w:pPr>
            <w:r>
              <w:rPr>
                <w:rFonts w:hint="eastAsia" w:ascii="宋体" w:hAnsi="宋体" w:cs="仿宋_GB2312"/>
                <w:sz w:val="24"/>
              </w:rPr>
              <w:t>指标</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hint="eastAsia" w:ascii="宋体" w:hAnsi="宋体" w:cs="仿宋_GB2312"/>
                <w:sz w:val="24"/>
              </w:rPr>
              <w:t>地面数字电视用户收视满意度</w:t>
            </w:r>
          </w:p>
        </w:tc>
        <w:tc>
          <w:tcPr>
            <w:tcW w:w="1575"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ascii="宋体" w:hAnsi="宋体" w:cs="仿宋_GB2312"/>
                <w:sz w:val="24"/>
              </w:rPr>
              <w:t>98%</w:t>
            </w:r>
          </w:p>
        </w:tc>
        <w:tc>
          <w:tcPr>
            <w:tcW w:w="15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rPr>
                <w:rFonts w:ascii="宋体" w:cs="仿宋_GB2312"/>
                <w:sz w:val="24"/>
              </w:rPr>
            </w:pPr>
            <w:r>
              <w:rPr>
                <w:rFonts w:ascii="宋体" w:hAnsi="宋体" w:cs="仿宋_GB2312"/>
                <w:sz w:val="24"/>
              </w:rPr>
              <w:t>98%</w:t>
            </w:r>
          </w:p>
        </w:tc>
      </w:tr>
    </w:tbl>
    <w:p>
      <w:pPr>
        <w:spacing w:line="580" w:lineRule="exact"/>
        <w:rPr>
          <w:rFonts w:ascii="仿宋_GB2312" w:hAnsi="仿宋_GB2312" w:eastAsia="仿宋_GB2312" w:cs="仿宋_GB2312"/>
          <w:sz w:val="32"/>
          <w:szCs w:val="32"/>
        </w:rPr>
      </w:pPr>
    </w:p>
    <w:p>
      <w:pPr>
        <w:spacing w:line="600" w:lineRule="exact"/>
        <w:outlineLvl w:val="0"/>
        <w:rPr>
          <w:rFonts w:ascii="黑体" w:hAnsi="黑体" w:eastAsia="黑体"/>
          <w:color w:val="000000"/>
          <w:sz w:val="44"/>
          <w:szCs w:val="44"/>
        </w:rPr>
      </w:pPr>
    </w:p>
    <w:p>
      <w:pPr>
        <w:spacing w:line="600" w:lineRule="exact"/>
        <w:outlineLvl w:val="0"/>
        <w:rPr>
          <w:rFonts w:ascii="黑体" w:hAnsi="黑体" w:eastAsia="黑体"/>
          <w:color w:val="000000"/>
          <w:sz w:val="44"/>
          <w:szCs w:val="44"/>
        </w:rPr>
      </w:pPr>
    </w:p>
    <w:p>
      <w:pPr>
        <w:spacing w:line="600" w:lineRule="exact"/>
        <w:ind w:firstLine="2640"/>
        <w:jc w:val="left"/>
        <w:outlineLvl w:val="0"/>
        <w:rPr>
          <w:rFonts w:ascii="黑体" w:hAnsi="黑体" w:eastAsia="黑体"/>
          <w:color w:val="000000"/>
          <w:sz w:val="44"/>
          <w:szCs w:val="44"/>
        </w:rPr>
      </w:pPr>
    </w:p>
    <w:p>
      <w:pPr>
        <w:spacing w:line="600" w:lineRule="exact"/>
        <w:ind w:firstLine="2640"/>
        <w:jc w:val="left"/>
        <w:outlineLvl w:val="0"/>
        <w:rPr>
          <w:rFonts w:ascii="黑体" w:hAnsi="黑体" w:eastAsia="黑体"/>
          <w:color w:val="000000"/>
          <w:sz w:val="44"/>
          <w:szCs w:val="44"/>
        </w:rPr>
      </w:pPr>
    </w:p>
    <w:p>
      <w:pPr>
        <w:spacing w:line="600" w:lineRule="exact"/>
        <w:ind w:firstLine="2640"/>
        <w:jc w:val="left"/>
        <w:outlineLvl w:val="0"/>
        <w:rPr>
          <w:rFonts w:ascii="黑体" w:hAnsi="黑体" w:eastAsia="黑体"/>
          <w:color w:val="000000"/>
          <w:sz w:val="44"/>
          <w:szCs w:val="44"/>
        </w:rPr>
      </w:pPr>
    </w:p>
    <w:p>
      <w:pPr>
        <w:spacing w:line="600" w:lineRule="exact"/>
        <w:ind w:firstLine="2640"/>
        <w:jc w:val="left"/>
        <w:outlineLvl w:val="0"/>
        <w:rPr>
          <w:rFonts w:ascii="黑体" w:hAnsi="黑体" w:eastAsia="黑体"/>
          <w:color w:val="000000"/>
          <w:sz w:val="44"/>
          <w:szCs w:val="44"/>
        </w:rPr>
      </w:pPr>
    </w:p>
    <w:p>
      <w:pPr>
        <w:spacing w:line="600" w:lineRule="exact"/>
        <w:ind w:firstLine="2640"/>
        <w:jc w:val="left"/>
        <w:outlineLvl w:val="0"/>
        <w:rPr>
          <w:rFonts w:ascii="黑体" w:hAnsi="黑体" w:eastAsia="黑体"/>
          <w:color w:val="000000"/>
          <w:sz w:val="44"/>
          <w:szCs w:val="44"/>
        </w:rPr>
      </w:pPr>
    </w:p>
    <w:p>
      <w:pPr>
        <w:spacing w:line="600" w:lineRule="exact"/>
        <w:ind w:firstLine="2640"/>
        <w:jc w:val="left"/>
        <w:outlineLvl w:val="0"/>
        <w:rPr>
          <w:rFonts w:ascii="黑体" w:hAnsi="黑体" w:eastAsia="黑体"/>
          <w:color w:val="000000"/>
          <w:sz w:val="44"/>
          <w:szCs w:val="44"/>
        </w:rPr>
      </w:pPr>
    </w:p>
    <w:p>
      <w:pPr>
        <w:spacing w:line="600" w:lineRule="exact"/>
        <w:ind w:firstLine="2640"/>
        <w:jc w:val="left"/>
        <w:outlineLvl w:val="0"/>
        <w:rPr>
          <w:rFonts w:ascii="黑体" w:hAnsi="黑体" w:eastAsia="黑体"/>
          <w:color w:val="000000"/>
          <w:sz w:val="44"/>
          <w:szCs w:val="44"/>
        </w:rPr>
      </w:pPr>
    </w:p>
    <w:p>
      <w:pPr>
        <w:spacing w:line="600" w:lineRule="exact"/>
        <w:ind w:firstLine="2640"/>
        <w:jc w:val="left"/>
        <w:outlineLvl w:val="0"/>
        <w:rPr>
          <w:rFonts w:ascii="黑体" w:hAnsi="黑体" w:eastAsia="黑体"/>
          <w:color w:val="000000"/>
          <w:sz w:val="44"/>
          <w:szCs w:val="44"/>
        </w:rPr>
      </w:pPr>
    </w:p>
    <w:p>
      <w:pPr>
        <w:spacing w:line="600" w:lineRule="exact"/>
        <w:ind w:firstLine="2640"/>
        <w:jc w:val="left"/>
        <w:outlineLvl w:val="0"/>
        <w:rPr>
          <w:rFonts w:ascii="黑体" w:hAnsi="黑体" w:eastAsia="黑体"/>
          <w:color w:val="000000"/>
          <w:sz w:val="44"/>
          <w:szCs w:val="44"/>
        </w:rPr>
      </w:pPr>
    </w:p>
    <w:p>
      <w:pPr>
        <w:spacing w:line="600" w:lineRule="exact"/>
        <w:ind w:firstLine="2640"/>
        <w:jc w:val="left"/>
        <w:outlineLvl w:val="0"/>
        <w:rPr>
          <w:rFonts w:hint="eastAsia" w:ascii="黑体" w:hAnsi="黑体" w:eastAsia="黑体"/>
          <w:color w:val="000000"/>
          <w:sz w:val="44"/>
          <w:szCs w:val="44"/>
        </w:rPr>
      </w:pPr>
    </w:p>
    <w:p>
      <w:pPr>
        <w:spacing w:line="600" w:lineRule="exact"/>
        <w:ind w:firstLine="2640"/>
        <w:jc w:val="left"/>
        <w:outlineLvl w:val="0"/>
        <w:rPr>
          <w:rFonts w:hint="eastAsia" w:ascii="黑体" w:hAnsi="黑体" w:eastAsia="黑体"/>
          <w:color w:val="000000"/>
          <w:sz w:val="44"/>
          <w:szCs w:val="44"/>
        </w:rPr>
      </w:pPr>
    </w:p>
    <w:p>
      <w:pPr>
        <w:spacing w:line="600" w:lineRule="exact"/>
        <w:ind w:firstLine="2640"/>
        <w:jc w:val="left"/>
        <w:outlineLvl w:val="0"/>
        <w:rPr>
          <w:rFonts w:hint="eastAsia" w:ascii="黑体" w:hAnsi="黑体" w:eastAsia="黑体"/>
          <w:color w:val="000000"/>
          <w:sz w:val="44"/>
          <w:szCs w:val="44"/>
        </w:rPr>
      </w:pPr>
    </w:p>
    <w:p>
      <w:pPr>
        <w:spacing w:line="600" w:lineRule="exact"/>
        <w:ind w:firstLine="2640"/>
        <w:jc w:val="left"/>
        <w:outlineLvl w:val="0"/>
        <w:rPr>
          <w:rFonts w:hint="eastAsia" w:ascii="黑体" w:hAnsi="黑体" w:eastAsia="黑体"/>
          <w:color w:val="000000"/>
          <w:sz w:val="44"/>
          <w:szCs w:val="44"/>
        </w:rPr>
      </w:pPr>
    </w:p>
    <w:p>
      <w:pPr>
        <w:spacing w:line="600" w:lineRule="exact"/>
        <w:ind w:firstLine="2640"/>
        <w:jc w:val="left"/>
        <w:outlineLvl w:val="0"/>
        <w:rPr>
          <w:rFonts w:hint="eastAsia" w:ascii="黑体" w:hAnsi="黑体" w:eastAsia="黑体"/>
          <w:color w:val="000000"/>
          <w:sz w:val="44"/>
          <w:szCs w:val="44"/>
        </w:rPr>
      </w:pPr>
    </w:p>
    <w:p>
      <w:pPr>
        <w:spacing w:line="600" w:lineRule="exact"/>
        <w:ind w:firstLine="2640"/>
        <w:jc w:val="left"/>
        <w:outlineLvl w:val="0"/>
        <w:rPr>
          <w:rFonts w:hint="eastAsia" w:ascii="黑体" w:hAnsi="黑体" w:eastAsia="黑体"/>
          <w:color w:val="000000"/>
          <w:sz w:val="44"/>
          <w:szCs w:val="44"/>
        </w:rPr>
      </w:pPr>
    </w:p>
    <w:p>
      <w:pPr>
        <w:spacing w:line="600" w:lineRule="exact"/>
        <w:ind w:firstLine="2640"/>
        <w:jc w:val="left"/>
        <w:outlineLvl w:val="0"/>
        <w:rPr>
          <w:rFonts w:hint="eastAsia" w:ascii="黑体" w:hAnsi="黑体" w:eastAsia="黑体"/>
          <w:color w:val="000000"/>
          <w:sz w:val="44"/>
          <w:szCs w:val="44"/>
        </w:rPr>
      </w:pPr>
    </w:p>
    <w:p>
      <w:pPr>
        <w:spacing w:line="600" w:lineRule="exact"/>
        <w:jc w:val="left"/>
        <w:outlineLvl w:val="0"/>
        <w:rPr>
          <w:rFonts w:hint="eastAsia" w:ascii="黑体" w:hAnsi="黑体" w:eastAsia="黑体"/>
          <w:color w:val="000000"/>
          <w:sz w:val="44"/>
          <w:szCs w:val="44"/>
        </w:rPr>
      </w:pPr>
    </w:p>
    <w:p>
      <w:pPr>
        <w:spacing w:line="600" w:lineRule="exact"/>
        <w:jc w:val="center"/>
        <w:outlineLvl w:val="0"/>
        <w:rPr>
          <w:rStyle w:val="183"/>
          <w:rFonts w:ascii="黑体" w:hAnsi="黑体" w:eastAsia="黑体"/>
          <w:b w:val="0"/>
        </w:rPr>
      </w:pPr>
      <w:r>
        <w:rPr>
          <w:rFonts w:hint="eastAsia" w:ascii="黑体" w:hAnsi="黑体" w:eastAsia="黑体"/>
          <w:color w:val="000000"/>
          <w:sz w:val="44"/>
          <w:szCs w:val="44"/>
        </w:rPr>
        <w:t>第</w:t>
      </w:r>
      <w:r>
        <w:rPr>
          <w:rStyle w:val="183"/>
          <w:rFonts w:hint="eastAsia" w:ascii="黑体" w:hAnsi="黑体" w:eastAsia="黑体"/>
          <w:b w:val="0"/>
        </w:rPr>
        <w:t>五部分附表</w:t>
      </w:r>
      <w:bookmarkEnd w:id="94"/>
      <w:bookmarkEnd w:id="95"/>
      <w:bookmarkEnd w:id="96"/>
    </w:p>
    <w:p>
      <w:pPr>
        <w:pStyle w:val="4"/>
        <w:rPr>
          <w:rFonts w:ascii="仿宋" w:hAnsi="仿宋" w:eastAsia="仿宋"/>
          <w:color w:val="000000"/>
        </w:rPr>
      </w:pPr>
      <w:bookmarkStart w:id="98" w:name="_Toc52180100"/>
      <w:bookmarkStart w:id="99" w:name="_Toc15396619"/>
      <w:r>
        <w:rPr>
          <w:rFonts w:hint="eastAsia" w:ascii="仿宋" w:hAnsi="仿宋" w:eastAsia="仿宋"/>
          <w:b w:val="0"/>
          <w:color w:val="000000"/>
        </w:rPr>
        <w:t>一、收</w:t>
      </w:r>
      <w:r>
        <w:rPr>
          <w:rStyle w:val="184"/>
          <w:rFonts w:hint="eastAsia" w:ascii="仿宋" w:hAnsi="仿宋" w:eastAsia="仿宋"/>
          <w:b w:val="0"/>
          <w:bCs w:val="0"/>
        </w:rPr>
        <w:t>入支出决算总表</w:t>
      </w:r>
      <w:bookmarkEnd w:id="98"/>
      <w:bookmarkEnd w:id="99"/>
    </w:p>
    <w:p>
      <w:pPr>
        <w:pStyle w:val="4"/>
        <w:rPr>
          <w:rFonts w:ascii="仿宋" w:hAnsi="仿宋" w:eastAsia="仿宋"/>
          <w:color w:val="000000"/>
        </w:rPr>
      </w:pPr>
      <w:bookmarkStart w:id="100" w:name="_Toc15396620"/>
      <w:bookmarkStart w:id="101" w:name="_Toc52180101"/>
      <w:r>
        <w:rPr>
          <w:rFonts w:hint="eastAsia" w:ascii="仿宋" w:hAnsi="仿宋" w:eastAsia="仿宋"/>
          <w:b w:val="0"/>
          <w:color w:val="000000"/>
        </w:rPr>
        <w:t>二、收</w:t>
      </w:r>
      <w:r>
        <w:rPr>
          <w:rStyle w:val="184"/>
          <w:rFonts w:hint="eastAsia" w:ascii="仿宋" w:hAnsi="仿宋" w:eastAsia="仿宋"/>
          <w:b w:val="0"/>
          <w:bCs w:val="0"/>
        </w:rPr>
        <w:t>入决算表</w:t>
      </w:r>
      <w:bookmarkEnd w:id="100"/>
      <w:bookmarkEnd w:id="101"/>
    </w:p>
    <w:p>
      <w:pPr>
        <w:pStyle w:val="4"/>
        <w:rPr>
          <w:rFonts w:ascii="仿宋" w:hAnsi="仿宋" w:eastAsia="仿宋"/>
          <w:color w:val="000000"/>
        </w:rPr>
      </w:pPr>
      <w:bookmarkStart w:id="102" w:name="_Toc52180102"/>
      <w:bookmarkStart w:id="103" w:name="_Toc15396621"/>
      <w:r>
        <w:rPr>
          <w:rStyle w:val="184"/>
          <w:rFonts w:hint="eastAsia" w:ascii="仿宋" w:hAnsi="仿宋" w:eastAsia="仿宋"/>
          <w:b w:val="0"/>
          <w:bCs w:val="0"/>
        </w:rPr>
        <w:t>三、</w:t>
      </w:r>
      <w:r>
        <w:rPr>
          <w:rFonts w:hint="eastAsia" w:ascii="仿宋" w:hAnsi="仿宋" w:eastAsia="仿宋"/>
          <w:b w:val="0"/>
          <w:color w:val="000000"/>
        </w:rPr>
        <w:t>支</w:t>
      </w:r>
      <w:r>
        <w:rPr>
          <w:rStyle w:val="184"/>
          <w:rFonts w:hint="eastAsia" w:ascii="仿宋" w:hAnsi="仿宋" w:eastAsia="仿宋"/>
          <w:b w:val="0"/>
          <w:bCs w:val="0"/>
        </w:rPr>
        <w:t>出决算表</w:t>
      </w:r>
      <w:bookmarkEnd w:id="102"/>
      <w:bookmarkEnd w:id="103"/>
    </w:p>
    <w:p>
      <w:pPr>
        <w:pStyle w:val="4"/>
        <w:rPr>
          <w:rFonts w:ascii="仿宋" w:hAnsi="仿宋" w:eastAsia="仿宋"/>
          <w:b w:val="0"/>
          <w:color w:val="000000"/>
        </w:rPr>
      </w:pPr>
      <w:bookmarkStart w:id="104" w:name="_Toc15396622"/>
      <w:bookmarkStart w:id="105" w:name="_Toc52180103"/>
      <w:r>
        <w:rPr>
          <w:rStyle w:val="184"/>
          <w:rFonts w:hint="eastAsia" w:ascii="仿宋" w:hAnsi="仿宋" w:eastAsia="仿宋"/>
          <w:b w:val="0"/>
          <w:bCs w:val="0"/>
        </w:rPr>
        <w:t>四、</w:t>
      </w:r>
      <w:r>
        <w:rPr>
          <w:rFonts w:hint="eastAsia" w:ascii="仿宋" w:hAnsi="仿宋" w:eastAsia="仿宋"/>
          <w:b w:val="0"/>
          <w:color w:val="000000"/>
        </w:rPr>
        <w:t>财</w:t>
      </w:r>
      <w:r>
        <w:rPr>
          <w:rStyle w:val="184"/>
          <w:rFonts w:hint="eastAsia" w:ascii="仿宋" w:hAnsi="仿宋" w:eastAsia="仿宋"/>
          <w:b w:val="0"/>
          <w:bCs w:val="0"/>
        </w:rPr>
        <w:t>政拨款收入支出决算总表</w:t>
      </w:r>
      <w:bookmarkEnd w:id="104"/>
      <w:bookmarkEnd w:id="105"/>
    </w:p>
    <w:p>
      <w:pPr>
        <w:pStyle w:val="4"/>
        <w:rPr>
          <w:rStyle w:val="184"/>
          <w:rFonts w:ascii="仿宋" w:hAnsi="仿宋" w:eastAsia="仿宋"/>
          <w:b w:val="0"/>
          <w:bCs w:val="0"/>
        </w:rPr>
      </w:pPr>
      <w:bookmarkStart w:id="106" w:name="_Toc52180104"/>
      <w:bookmarkStart w:id="107" w:name="_Toc15396623"/>
      <w:r>
        <w:rPr>
          <w:rStyle w:val="184"/>
          <w:rFonts w:hint="eastAsia" w:ascii="仿宋" w:hAnsi="仿宋" w:eastAsia="仿宋"/>
          <w:b w:val="0"/>
          <w:bCs w:val="0"/>
        </w:rPr>
        <w:t>五、</w:t>
      </w:r>
      <w:r>
        <w:rPr>
          <w:rFonts w:hint="eastAsia" w:ascii="仿宋" w:hAnsi="仿宋" w:eastAsia="仿宋"/>
          <w:b w:val="0"/>
          <w:color w:val="000000"/>
        </w:rPr>
        <w:t>财</w:t>
      </w:r>
      <w:r>
        <w:rPr>
          <w:rStyle w:val="184"/>
          <w:rFonts w:hint="eastAsia" w:ascii="仿宋" w:hAnsi="仿宋" w:eastAsia="仿宋"/>
          <w:b w:val="0"/>
          <w:bCs w:val="0"/>
        </w:rPr>
        <w:t>政拨款支出决算明细表</w:t>
      </w:r>
      <w:bookmarkEnd w:id="106"/>
      <w:bookmarkEnd w:id="107"/>
      <w:bookmarkStart w:id="108" w:name="_Toc15396624"/>
    </w:p>
    <w:p>
      <w:pPr>
        <w:pStyle w:val="4"/>
        <w:rPr>
          <w:rFonts w:ascii="仿宋" w:hAnsi="仿宋" w:eastAsia="仿宋"/>
          <w:color w:val="000000"/>
        </w:rPr>
      </w:pPr>
      <w:bookmarkStart w:id="109" w:name="_Toc52180105"/>
      <w:r>
        <w:rPr>
          <w:rStyle w:val="184"/>
          <w:rFonts w:hint="eastAsia" w:ascii="仿宋" w:hAnsi="仿宋" w:eastAsia="仿宋"/>
          <w:b w:val="0"/>
          <w:bCs w:val="0"/>
        </w:rPr>
        <w:t>六、</w:t>
      </w:r>
      <w:r>
        <w:rPr>
          <w:rFonts w:hint="eastAsia" w:ascii="仿宋" w:hAnsi="仿宋" w:eastAsia="仿宋"/>
          <w:b w:val="0"/>
          <w:color w:val="000000"/>
        </w:rPr>
        <w:t>一</w:t>
      </w:r>
      <w:r>
        <w:rPr>
          <w:rStyle w:val="184"/>
          <w:rFonts w:hint="eastAsia" w:ascii="仿宋" w:hAnsi="仿宋" w:eastAsia="仿宋"/>
          <w:b w:val="0"/>
          <w:bCs w:val="0"/>
        </w:rPr>
        <w:t>般公共预算财政拨款支出决算表</w:t>
      </w:r>
      <w:bookmarkEnd w:id="108"/>
      <w:bookmarkEnd w:id="109"/>
    </w:p>
    <w:p>
      <w:pPr>
        <w:pStyle w:val="4"/>
        <w:rPr>
          <w:rFonts w:ascii="仿宋" w:hAnsi="仿宋" w:eastAsia="仿宋"/>
          <w:color w:val="000000"/>
        </w:rPr>
      </w:pPr>
      <w:bookmarkStart w:id="110" w:name="_Toc52180106"/>
      <w:bookmarkStart w:id="111" w:name="_Toc15396625"/>
      <w:r>
        <w:rPr>
          <w:rStyle w:val="184"/>
          <w:rFonts w:hint="eastAsia" w:ascii="仿宋" w:hAnsi="仿宋" w:eastAsia="仿宋"/>
          <w:b w:val="0"/>
          <w:bCs w:val="0"/>
        </w:rPr>
        <w:t>七、</w:t>
      </w:r>
      <w:r>
        <w:rPr>
          <w:rFonts w:hint="eastAsia" w:ascii="仿宋" w:hAnsi="仿宋" w:eastAsia="仿宋"/>
          <w:b w:val="0"/>
          <w:color w:val="000000"/>
        </w:rPr>
        <w:t>一</w:t>
      </w:r>
      <w:r>
        <w:rPr>
          <w:rStyle w:val="184"/>
          <w:rFonts w:hint="eastAsia" w:ascii="仿宋" w:hAnsi="仿宋" w:eastAsia="仿宋"/>
          <w:b w:val="0"/>
          <w:bCs w:val="0"/>
        </w:rPr>
        <w:t>般公共预算财政拨款支出决算明细表</w:t>
      </w:r>
      <w:bookmarkEnd w:id="110"/>
      <w:bookmarkEnd w:id="111"/>
    </w:p>
    <w:p>
      <w:pPr>
        <w:pStyle w:val="4"/>
        <w:rPr>
          <w:rFonts w:ascii="仿宋" w:hAnsi="仿宋" w:eastAsia="仿宋"/>
          <w:color w:val="000000"/>
        </w:rPr>
      </w:pPr>
      <w:bookmarkStart w:id="112" w:name="_Toc15396626"/>
      <w:bookmarkStart w:id="113" w:name="_Toc52180107"/>
      <w:r>
        <w:rPr>
          <w:rStyle w:val="184"/>
          <w:rFonts w:hint="eastAsia" w:ascii="仿宋" w:hAnsi="仿宋" w:eastAsia="仿宋"/>
          <w:b w:val="0"/>
          <w:bCs w:val="0"/>
        </w:rPr>
        <w:t>八、</w:t>
      </w:r>
      <w:r>
        <w:rPr>
          <w:rFonts w:hint="eastAsia" w:ascii="仿宋" w:hAnsi="仿宋" w:eastAsia="仿宋"/>
          <w:b w:val="0"/>
          <w:color w:val="000000"/>
        </w:rPr>
        <w:t>一</w:t>
      </w:r>
      <w:r>
        <w:rPr>
          <w:rStyle w:val="184"/>
          <w:rFonts w:hint="eastAsia" w:ascii="仿宋" w:hAnsi="仿宋" w:eastAsia="仿宋"/>
          <w:b w:val="0"/>
          <w:bCs w:val="0"/>
        </w:rPr>
        <w:t>般公共预算财政拨款基本支出决算表</w:t>
      </w:r>
      <w:bookmarkEnd w:id="112"/>
      <w:bookmarkEnd w:id="113"/>
    </w:p>
    <w:p>
      <w:pPr>
        <w:pStyle w:val="4"/>
        <w:rPr>
          <w:rFonts w:ascii="仿宋" w:hAnsi="仿宋" w:eastAsia="仿宋"/>
          <w:color w:val="000000"/>
        </w:rPr>
      </w:pPr>
      <w:bookmarkStart w:id="114" w:name="_Toc52180108"/>
      <w:bookmarkStart w:id="115" w:name="_Toc15396627"/>
      <w:r>
        <w:rPr>
          <w:rStyle w:val="184"/>
          <w:rFonts w:hint="eastAsia" w:ascii="仿宋" w:hAnsi="仿宋" w:eastAsia="仿宋"/>
          <w:b w:val="0"/>
          <w:bCs w:val="0"/>
        </w:rPr>
        <w:t>九、</w:t>
      </w:r>
      <w:r>
        <w:rPr>
          <w:rFonts w:hint="eastAsia" w:ascii="仿宋" w:hAnsi="仿宋" w:eastAsia="仿宋"/>
          <w:b w:val="0"/>
          <w:color w:val="000000"/>
        </w:rPr>
        <w:t>一</w:t>
      </w:r>
      <w:r>
        <w:rPr>
          <w:rStyle w:val="184"/>
          <w:rFonts w:hint="eastAsia" w:ascii="仿宋" w:hAnsi="仿宋" w:eastAsia="仿宋"/>
          <w:b w:val="0"/>
          <w:bCs w:val="0"/>
        </w:rPr>
        <w:t>般公共预算财政拨款项目支出决算表</w:t>
      </w:r>
      <w:bookmarkEnd w:id="114"/>
      <w:bookmarkEnd w:id="115"/>
    </w:p>
    <w:p>
      <w:pPr>
        <w:pStyle w:val="4"/>
        <w:rPr>
          <w:rFonts w:ascii="仿宋" w:hAnsi="仿宋" w:eastAsia="仿宋"/>
          <w:color w:val="000000"/>
        </w:rPr>
      </w:pPr>
      <w:bookmarkStart w:id="116" w:name="_Toc15396628"/>
      <w:bookmarkStart w:id="117" w:name="_Toc52180109"/>
      <w:r>
        <w:rPr>
          <w:rStyle w:val="184"/>
          <w:rFonts w:hint="eastAsia" w:ascii="仿宋" w:hAnsi="仿宋" w:eastAsia="仿宋"/>
          <w:b w:val="0"/>
          <w:bCs w:val="0"/>
        </w:rPr>
        <w:t>十、</w:t>
      </w:r>
      <w:r>
        <w:rPr>
          <w:rFonts w:hint="eastAsia" w:ascii="仿宋" w:hAnsi="仿宋" w:eastAsia="仿宋"/>
          <w:b w:val="0"/>
          <w:color w:val="000000"/>
        </w:rPr>
        <w:t>一</w:t>
      </w:r>
      <w:r>
        <w:rPr>
          <w:rStyle w:val="184"/>
          <w:rFonts w:hint="eastAsia" w:ascii="仿宋" w:hAnsi="仿宋" w:eastAsia="仿宋"/>
          <w:b w:val="0"/>
          <w:bCs w:val="0"/>
        </w:rPr>
        <w:t>般公共预算财政拨款“三公”经费支出决算表</w:t>
      </w:r>
      <w:bookmarkEnd w:id="116"/>
      <w:bookmarkEnd w:id="117"/>
    </w:p>
    <w:p>
      <w:pPr>
        <w:pStyle w:val="4"/>
        <w:rPr>
          <w:rFonts w:ascii="仿宋" w:hAnsi="仿宋" w:eastAsia="仿宋"/>
          <w:color w:val="000000"/>
        </w:rPr>
      </w:pPr>
      <w:bookmarkStart w:id="118" w:name="_Toc15396629"/>
      <w:bookmarkStart w:id="119" w:name="_Toc52180110"/>
      <w:r>
        <w:rPr>
          <w:rStyle w:val="184"/>
          <w:rFonts w:hint="eastAsia" w:ascii="仿宋" w:hAnsi="仿宋" w:eastAsia="仿宋"/>
          <w:b w:val="0"/>
          <w:bCs w:val="0"/>
        </w:rPr>
        <w:t>十一、</w:t>
      </w:r>
      <w:r>
        <w:rPr>
          <w:rFonts w:hint="eastAsia" w:ascii="仿宋" w:hAnsi="仿宋" w:eastAsia="仿宋"/>
          <w:b w:val="0"/>
          <w:color w:val="000000"/>
        </w:rPr>
        <w:t>政</w:t>
      </w:r>
      <w:r>
        <w:rPr>
          <w:rStyle w:val="184"/>
          <w:rFonts w:hint="eastAsia" w:ascii="仿宋" w:hAnsi="仿宋" w:eastAsia="仿宋"/>
          <w:b w:val="0"/>
          <w:bCs w:val="0"/>
        </w:rPr>
        <w:t>府性基金预算财政拨款收入支出决算表</w:t>
      </w:r>
      <w:bookmarkEnd w:id="118"/>
      <w:bookmarkEnd w:id="119"/>
    </w:p>
    <w:p>
      <w:pPr>
        <w:pStyle w:val="4"/>
        <w:rPr>
          <w:rFonts w:ascii="仿宋" w:hAnsi="仿宋" w:eastAsia="仿宋"/>
          <w:color w:val="000000"/>
        </w:rPr>
      </w:pPr>
      <w:bookmarkStart w:id="120" w:name="_Toc52180111"/>
      <w:bookmarkStart w:id="121" w:name="_Toc15396630"/>
      <w:r>
        <w:rPr>
          <w:rStyle w:val="184"/>
          <w:rFonts w:hint="eastAsia" w:ascii="仿宋" w:hAnsi="仿宋" w:eastAsia="仿宋"/>
          <w:b w:val="0"/>
          <w:bCs w:val="0"/>
        </w:rPr>
        <w:t>十二、</w:t>
      </w:r>
      <w:r>
        <w:rPr>
          <w:rFonts w:hint="eastAsia" w:ascii="仿宋" w:hAnsi="仿宋" w:eastAsia="仿宋"/>
          <w:b w:val="0"/>
          <w:color w:val="000000"/>
        </w:rPr>
        <w:t>政</w:t>
      </w:r>
      <w:r>
        <w:rPr>
          <w:rStyle w:val="184"/>
          <w:rFonts w:hint="eastAsia" w:ascii="仿宋" w:hAnsi="仿宋" w:eastAsia="仿宋"/>
          <w:b w:val="0"/>
          <w:bCs w:val="0"/>
        </w:rPr>
        <w:t>府性基金预算财政拨款“三公”经费支出决算表</w:t>
      </w:r>
      <w:bookmarkEnd w:id="120"/>
      <w:bookmarkEnd w:id="121"/>
    </w:p>
    <w:p>
      <w:pPr>
        <w:pStyle w:val="4"/>
        <w:rPr>
          <w:rStyle w:val="184"/>
          <w:rFonts w:ascii="仿宋" w:hAnsi="仿宋" w:eastAsia="仿宋"/>
          <w:b w:val="0"/>
          <w:bCs w:val="0"/>
        </w:rPr>
      </w:pPr>
      <w:bookmarkStart w:id="122" w:name="_Toc52180112"/>
      <w:bookmarkStart w:id="123" w:name="_Toc15396631"/>
      <w:r>
        <w:rPr>
          <w:rStyle w:val="184"/>
          <w:rFonts w:hint="eastAsia" w:ascii="仿宋" w:hAnsi="仿宋" w:eastAsia="仿宋"/>
          <w:b w:val="0"/>
          <w:bCs w:val="0"/>
        </w:rPr>
        <w:t>十三、</w:t>
      </w:r>
      <w:r>
        <w:rPr>
          <w:rFonts w:hint="eastAsia" w:ascii="仿宋" w:hAnsi="仿宋" w:eastAsia="仿宋"/>
          <w:b w:val="0"/>
          <w:color w:val="000000"/>
        </w:rPr>
        <w:t>国</w:t>
      </w:r>
      <w:r>
        <w:rPr>
          <w:rStyle w:val="184"/>
          <w:rFonts w:hint="eastAsia" w:ascii="仿宋" w:hAnsi="仿宋" w:eastAsia="仿宋"/>
          <w:b w:val="0"/>
          <w:bCs w:val="0"/>
        </w:rPr>
        <w:t>有资本经营预算财政拨款收入支出决算表</w:t>
      </w:r>
      <w:bookmarkEnd w:id="122"/>
      <w:bookmarkEnd w:id="123"/>
    </w:p>
    <w:p>
      <w:pPr>
        <w:pStyle w:val="4"/>
        <w:rPr>
          <w:rStyle w:val="184"/>
          <w:rFonts w:ascii="仿宋" w:hAnsi="仿宋" w:eastAsia="仿宋"/>
          <w:b w:val="0"/>
          <w:bCs w:val="0"/>
        </w:rPr>
      </w:pPr>
      <w:r>
        <w:rPr>
          <w:rStyle w:val="184"/>
          <w:rFonts w:hint="eastAsia" w:ascii="仿宋" w:hAnsi="仿宋" w:eastAsia="仿宋"/>
          <w:b w:val="0"/>
          <w:bCs w:val="0"/>
        </w:rPr>
        <w:t>十四、</w:t>
      </w:r>
      <w:r>
        <w:rPr>
          <w:rFonts w:hint="eastAsia" w:ascii="仿宋" w:hAnsi="仿宋" w:eastAsia="仿宋"/>
          <w:b w:val="0"/>
          <w:color w:val="000000"/>
        </w:rPr>
        <w:t>国</w:t>
      </w:r>
      <w:r>
        <w:rPr>
          <w:rStyle w:val="184"/>
          <w:rFonts w:hint="eastAsia" w:ascii="仿宋" w:hAnsi="仿宋" w:eastAsia="仿宋"/>
          <w:b w:val="0"/>
          <w:bCs w:val="0"/>
        </w:rPr>
        <w:t>有资本经营预算财政拨款支出决算表</w:t>
      </w:r>
    </w:p>
    <w:p/>
    <w:p/>
    <w:sectPr>
      <w:headerReference r:id="rId3" w:type="default"/>
      <w:footerReference r:id="rId4" w:type="default"/>
      <w:footerReference r:id="rId5" w:type="even"/>
      <w:pgSz w:w="11906" w:h="16838" w:orient="landscape"/>
      <w:pgMar w:top="1440" w:right="1800" w:bottom="1440" w:left="1800" w:header="851" w:footer="992" w:gutter="0"/>
      <w:pgNumType w:start="1"/>
      <w:cols w:space="425"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0000000000000000000"/>
    <w:charset w:val="01"/>
    <w:family w:val="auto"/>
    <w:pitch w:val="default"/>
    <w:sig w:usb0="00000000" w:usb1="00000000" w:usb2="00000000" w:usb3="00000000" w:csb0="00000000" w:csb1="00000000"/>
  </w:font>
  <w:font w:name="华文仿宋">
    <w:altName w:val="仿宋"/>
    <w:panose1 w:val="02010600040101010101"/>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_GB2312">
    <w:altName w:val="Vijaya"/>
    <w:panose1 w:val="020B0604020202020204"/>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2</w:t>
    </w:r>
    <w:r>
      <w:rPr>
        <w:rStyle w:val="36"/>
      </w:rPr>
      <w:fldChar w:fldCharType="end"/>
    </w:r>
  </w:p>
  <w:p>
    <w:pPr>
      <w:pStyle w:val="21"/>
      <w:ind w:right="360"/>
      <w:jc w:val="center"/>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6"/>
      </w:rPr>
    </w:pPr>
    <w:r>
      <w:rPr>
        <w:rStyle w:val="36"/>
      </w:rPr>
      <w:fldChar w:fldCharType="begin"/>
    </w:r>
    <w:r>
      <w:rPr>
        <w:rStyle w:val="36"/>
      </w:rPr>
      <w:instrText xml:space="preserve">PAGE  </w:instrText>
    </w:r>
    <w:r>
      <w:rPr>
        <w:rStyle w:val="36"/>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69A9B"/>
    <w:multiLevelType w:val="multilevel"/>
    <w:tmpl w:val="85169A9B"/>
    <w:lvl w:ilvl="0" w:tentative="0">
      <w:start w:val="3"/>
      <w:numFmt w:val="chineseCounting"/>
      <w:lvlText w:val="第%1部分"/>
      <w:lvlJc w:val="left"/>
      <w:rPr>
        <w:rFonts w:hint="eastAsia" w:cs="Times New Roman"/>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881B2472"/>
    <w:multiLevelType w:val="multilevel"/>
    <w:tmpl w:val="881B2472"/>
    <w:lvl w:ilvl="0" w:tentative="0">
      <w:start w:val="1"/>
      <w:numFmt w:val="japaneseCounting"/>
      <w:suff w:val="space"/>
      <w:lvlText w:val="%1、"/>
      <w:lvlJc w:val="left"/>
      <w:pPr>
        <w:ind w:left="1360" w:hanging="720"/>
      </w:pPr>
      <w:rPr>
        <w:rFonts w:hint="default" w:cs="Times New Roman"/>
        <w:b w:val="0"/>
      </w:rPr>
    </w:lvl>
    <w:lvl w:ilvl="1" w:tentative="0">
      <w:start w:val="1"/>
      <w:numFmt w:val="lowerLetter"/>
      <w:suff w:val="space"/>
      <w:lvlText w:val="%2)"/>
      <w:lvlJc w:val="left"/>
      <w:pPr>
        <w:ind w:left="1480" w:hanging="420"/>
      </w:pPr>
      <w:rPr>
        <w:rFonts w:cs="Times New Roman"/>
      </w:rPr>
    </w:lvl>
    <w:lvl w:ilvl="2" w:tentative="0">
      <w:start w:val="1"/>
      <w:numFmt w:val="lowerRoman"/>
      <w:suff w:val="space"/>
      <w:lvlText w:val="%3."/>
      <w:lvlJc w:val="right"/>
      <w:pPr>
        <w:ind w:left="1900" w:hanging="420"/>
      </w:pPr>
      <w:rPr>
        <w:rFonts w:cs="Times New Roman"/>
      </w:rPr>
    </w:lvl>
    <w:lvl w:ilvl="3" w:tentative="0">
      <w:start w:val="1"/>
      <w:numFmt w:val="decimal"/>
      <w:suff w:val="space"/>
      <w:lvlText w:val="%4."/>
      <w:lvlJc w:val="left"/>
      <w:pPr>
        <w:ind w:left="2320" w:hanging="420"/>
      </w:pPr>
      <w:rPr>
        <w:rFonts w:cs="Times New Roman"/>
      </w:rPr>
    </w:lvl>
    <w:lvl w:ilvl="4" w:tentative="0">
      <w:start w:val="1"/>
      <w:numFmt w:val="lowerLetter"/>
      <w:suff w:val="space"/>
      <w:lvlText w:val="%5)"/>
      <w:lvlJc w:val="left"/>
      <w:pPr>
        <w:ind w:left="2740" w:hanging="420"/>
      </w:pPr>
      <w:rPr>
        <w:rFonts w:cs="Times New Roman"/>
      </w:rPr>
    </w:lvl>
    <w:lvl w:ilvl="5" w:tentative="0">
      <w:start w:val="1"/>
      <w:numFmt w:val="lowerRoman"/>
      <w:suff w:val="space"/>
      <w:lvlText w:val="%6."/>
      <w:lvlJc w:val="right"/>
      <w:pPr>
        <w:ind w:left="3160" w:hanging="420"/>
      </w:pPr>
      <w:rPr>
        <w:rFonts w:cs="Times New Roman"/>
      </w:rPr>
    </w:lvl>
    <w:lvl w:ilvl="6" w:tentative="0">
      <w:start w:val="1"/>
      <w:numFmt w:val="decimal"/>
      <w:suff w:val="space"/>
      <w:lvlText w:val="%7."/>
      <w:lvlJc w:val="left"/>
      <w:pPr>
        <w:ind w:left="3580" w:hanging="420"/>
      </w:pPr>
      <w:rPr>
        <w:rFonts w:cs="Times New Roman"/>
      </w:rPr>
    </w:lvl>
    <w:lvl w:ilvl="7" w:tentative="0">
      <w:start w:val="1"/>
      <w:numFmt w:val="lowerLetter"/>
      <w:suff w:val="space"/>
      <w:lvlText w:val="%8)"/>
      <w:lvlJc w:val="left"/>
      <w:pPr>
        <w:ind w:left="4000" w:hanging="420"/>
      </w:pPr>
      <w:rPr>
        <w:rFonts w:cs="Times New Roman"/>
      </w:rPr>
    </w:lvl>
    <w:lvl w:ilvl="8" w:tentative="0">
      <w:start w:val="1"/>
      <w:numFmt w:val="lowerRoman"/>
      <w:suff w:val="space"/>
      <w:lvlText w:val="%9."/>
      <w:lvlJc w:val="right"/>
      <w:pPr>
        <w:ind w:left="4420" w:hanging="420"/>
      </w:pPr>
      <w:rPr>
        <w:rFonts w:cs="Times New Roman"/>
      </w:rPr>
    </w:lvl>
  </w:abstractNum>
  <w:abstractNum w:abstractNumId="2">
    <w:nsid w:val="9B91910F"/>
    <w:multiLevelType w:val="multilevel"/>
    <w:tmpl w:val="9B91910F"/>
    <w:lvl w:ilvl="0" w:tentative="0">
      <w:start w:val="9"/>
      <w:numFmt w:val="chineseCounting"/>
      <w:suff w:val="nothing"/>
      <w:lvlText w:val="%1、"/>
      <w:lvlJc w:val="left"/>
      <w:rPr>
        <w:rFonts w:hint="eastAsia" w:cs="Times New Roman"/>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
    <w:nsid w:val="BA07E969"/>
    <w:multiLevelType w:val="multilevel"/>
    <w:tmpl w:val="BA07E969"/>
    <w:lvl w:ilvl="0" w:tentative="0">
      <w:start w:val="2"/>
      <w:numFmt w:val="decimal"/>
      <w:suff w:val="nothing"/>
      <w:lvlText w:val="%1．"/>
      <w:lvlJc w:val="left"/>
      <w:rPr>
        <w:rFonts w:cs="Times New Roman"/>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4">
    <w:nsid w:val="FD0EE432"/>
    <w:multiLevelType w:val="multilevel"/>
    <w:tmpl w:val="FD0EE432"/>
    <w:lvl w:ilvl="0" w:tentative="0">
      <w:start w:val="1"/>
      <w:numFmt w:val="decimal"/>
      <w:suff w:val="space"/>
      <w:lvlText w:val="%1."/>
      <w:lvlJc w:val="left"/>
      <w:pPr>
        <w:ind w:left="1215" w:hanging="480"/>
      </w:pPr>
      <w:rPr>
        <w:rFonts w:hint="default" w:cs="Times New Roman"/>
      </w:rPr>
    </w:lvl>
    <w:lvl w:ilvl="1" w:tentative="0">
      <w:start w:val="1"/>
      <w:numFmt w:val="lowerLetter"/>
      <w:suff w:val="space"/>
      <w:lvlText w:val="%2)"/>
      <w:lvlJc w:val="left"/>
      <w:pPr>
        <w:ind w:left="1575" w:hanging="420"/>
      </w:pPr>
      <w:rPr>
        <w:rFonts w:cs="Times New Roman"/>
      </w:rPr>
    </w:lvl>
    <w:lvl w:ilvl="2" w:tentative="0">
      <w:start w:val="1"/>
      <w:numFmt w:val="lowerRoman"/>
      <w:suff w:val="space"/>
      <w:lvlText w:val="%3."/>
      <w:lvlJc w:val="right"/>
      <w:pPr>
        <w:ind w:left="1995" w:hanging="420"/>
      </w:pPr>
      <w:rPr>
        <w:rFonts w:cs="Times New Roman"/>
      </w:rPr>
    </w:lvl>
    <w:lvl w:ilvl="3" w:tentative="0">
      <w:start w:val="1"/>
      <w:numFmt w:val="decimal"/>
      <w:suff w:val="space"/>
      <w:lvlText w:val="%4."/>
      <w:lvlJc w:val="left"/>
      <w:pPr>
        <w:ind w:left="2415" w:hanging="420"/>
      </w:pPr>
      <w:rPr>
        <w:rFonts w:cs="Times New Roman"/>
      </w:rPr>
    </w:lvl>
    <w:lvl w:ilvl="4" w:tentative="0">
      <w:start w:val="1"/>
      <w:numFmt w:val="lowerLetter"/>
      <w:suff w:val="space"/>
      <w:lvlText w:val="%5)"/>
      <w:lvlJc w:val="left"/>
      <w:pPr>
        <w:ind w:left="2835" w:hanging="420"/>
      </w:pPr>
      <w:rPr>
        <w:rFonts w:cs="Times New Roman"/>
      </w:rPr>
    </w:lvl>
    <w:lvl w:ilvl="5" w:tentative="0">
      <w:start w:val="1"/>
      <w:numFmt w:val="lowerRoman"/>
      <w:suff w:val="space"/>
      <w:lvlText w:val="%6."/>
      <w:lvlJc w:val="right"/>
      <w:pPr>
        <w:ind w:left="3255" w:hanging="420"/>
      </w:pPr>
      <w:rPr>
        <w:rFonts w:cs="Times New Roman"/>
      </w:rPr>
    </w:lvl>
    <w:lvl w:ilvl="6" w:tentative="0">
      <w:start w:val="1"/>
      <w:numFmt w:val="decimal"/>
      <w:suff w:val="space"/>
      <w:lvlText w:val="%7."/>
      <w:lvlJc w:val="left"/>
      <w:pPr>
        <w:ind w:left="3675" w:hanging="420"/>
      </w:pPr>
      <w:rPr>
        <w:rFonts w:cs="Times New Roman"/>
      </w:rPr>
    </w:lvl>
    <w:lvl w:ilvl="7" w:tentative="0">
      <w:start w:val="1"/>
      <w:numFmt w:val="lowerLetter"/>
      <w:suff w:val="space"/>
      <w:lvlText w:val="%8)"/>
      <w:lvlJc w:val="left"/>
      <w:pPr>
        <w:ind w:left="4095" w:hanging="420"/>
      </w:pPr>
      <w:rPr>
        <w:rFonts w:cs="Times New Roman"/>
      </w:rPr>
    </w:lvl>
    <w:lvl w:ilvl="8" w:tentative="0">
      <w:start w:val="1"/>
      <w:numFmt w:val="lowerRoman"/>
      <w:suff w:val="space"/>
      <w:lvlText w:val="%9."/>
      <w:lvlJc w:val="right"/>
      <w:pPr>
        <w:ind w:left="4515" w:hanging="42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2F4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iPriority="39" w:semiHidden="0" w:name="toc 4"/>
    <w:lsdException w:uiPriority="39" w:semiHidden="0" w:name="toc 5"/>
    <w:lsdException w:qFormat="1" w:uiPriority="39" w:semiHidden="0" w:name="toc 6"/>
    <w:lsdException w:uiPriority="39" w:semiHidden="0" w:name="toc 7"/>
    <w:lsdException w:qFormat="1" w:uiPriority="39" w:semiHidden="0" w:name="toc 8"/>
    <w:lsdException w:uiPriority="39" w:semiHidden="0" w:name="toc 9"/>
    <w:lsdException w:uiPriority="99" w:name="Normal Indent"/>
    <w:lsdException w:qFormat="1"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99"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basedOn w:val="1"/>
    <w:next w:val="1"/>
    <w:link w:val="183"/>
    <w:qFormat/>
    <w:uiPriority w:val="99"/>
    <w:pPr>
      <w:keepNext/>
      <w:keepLines/>
      <w:spacing w:before="340" w:after="330" w:line="578" w:lineRule="auto"/>
      <w:outlineLvl w:val="0"/>
    </w:pPr>
    <w:rPr>
      <w:b/>
      <w:bCs/>
      <w:sz w:val="44"/>
      <w:szCs w:val="44"/>
    </w:rPr>
  </w:style>
  <w:style w:type="paragraph" w:styleId="4">
    <w:name w:val="heading 2"/>
    <w:basedOn w:val="1"/>
    <w:next w:val="1"/>
    <w:link w:val="184"/>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85"/>
    <w:qFormat/>
    <w:uiPriority w:val="99"/>
    <w:pPr>
      <w:keepNext/>
      <w:keepLines/>
      <w:spacing w:before="260" w:after="260" w:line="416" w:lineRule="auto"/>
      <w:outlineLvl w:val="2"/>
    </w:pPr>
    <w:rPr>
      <w:b/>
      <w:bCs/>
      <w:sz w:val="32"/>
      <w:szCs w:val="32"/>
    </w:rPr>
  </w:style>
  <w:style w:type="paragraph" w:styleId="6">
    <w:name w:val="heading 4"/>
    <w:basedOn w:val="1"/>
    <w:next w:val="1"/>
    <w:link w:val="41"/>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42"/>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3"/>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4"/>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5"/>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46"/>
    <w:unhideWhenUsed/>
    <w:qFormat/>
    <w:uiPriority w:val="9"/>
    <w:pPr>
      <w:keepNext/>
      <w:keepLines/>
      <w:spacing w:before="320" w:after="200"/>
      <w:outlineLvl w:val="8"/>
    </w:pPr>
    <w:rPr>
      <w:rFonts w:ascii="等线" w:hAnsi="等线" w:eastAsia="等线" w:cs="等线"/>
      <w:i/>
      <w:iCs/>
      <w:sz w:val="21"/>
      <w:szCs w:val="21"/>
    </w:rPr>
  </w:style>
  <w:style w:type="character" w:default="1" w:styleId="33">
    <w:name w:val="Default Paragraph Font"/>
    <w:semiHidden/>
    <w:qFormat/>
    <w:uiPriority w:val="99"/>
  </w:style>
  <w:style w:type="table" w:default="1" w:styleId="39">
    <w:name w:val="Normal Table"/>
    <w:semiHidden/>
    <w:unhideWhenUsed/>
    <w:qFormat/>
    <w:uiPriority w:val="99"/>
    <w:tblPr>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paragraph" w:styleId="2">
    <w:name w:val="Body Text"/>
    <w:basedOn w:val="1"/>
    <w:next w:val="1"/>
    <w:link w:val="194"/>
    <w:qFormat/>
    <w:uiPriority w:val="99"/>
    <w:rPr>
      <w:rFonts w:ascii="仿宋_GB2312" w:eastAsia="仿宋_GB2312"/>
      <w:sz w:val="24"/>
      <w:szCs w:val="20"/>
    </w:rPr>
  </w:style>
  <w:style w:type="paragraph" w:styleId="12">
    <w:name w:val="toc 7"/>
    <w:basedOn w:val="1"/>
    <w:next w:val="1"/>
    <w:unhideWhenUsed/>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Salutation"/>
    <w:basedOn w:val="1"/>
    <w:next w:val="1"/>
    <w:link w:val="187"/>
    <w:qFormat/>
    <w:uiPriority w:val="99"/>
  </w:style>
  <w:style w:type="paragraph" w:styleId="15">
    <w:name w:val="toc 5"/>
    <w:basedOn w:val="1"/>
    <w:next w:val="1"/>
    <w:unhideWhenUsed/>
    <w:uiPriority w:val="39"/>
    <w:pPr>
      <w:spacing w:after="57"/>
      <w:ind w:left="1134" w:right="0" w:firstLine="0"/>
    </w:pPr>
  </w:style>
  <w:style w:type="paragraph" w:styleId="16">
    <w:name w:val="toc 3"/>
    <w:basedOn w:val="1"/>
    <w:next w:val="1"/>
    <w:qFormat/>
    <w:uiPriority w:val="99"/>
    <w:pPr>
      <w:tabs>
        <w:tab w:val="right" w:leader="dot" w:pos="8296"/>
      </w:tabs>
      <w:ind w:left="840"/>
    </w:pPr>
  </w:style>
  <w:style w:type="paragraph" w:styleId="17">
    <w:name w:val="Plain Text"/>
    <w:basedOn w:val="1"/>
    <w:link w:val="188"/>
    <w:qFormat/>
    <w:uiPriority w:val="99"/>
    <w:rPr>
      <w:rFonts w:ascii="宋体" w:hAnsi="Courier New"/>
      <w:szCs w:val="22"/>
    </w:rPr>
  </w:style>
  <w:style w:type="paragraph" w:styleId="18">
    <w:name w:val="toc 8"/>
    <w:basedOn w:val="1"/>
    <w:next w:val="1"/>
    <w:unhideWhenUsed/>
    <w:qFormat/>
    <w:uiPriority w:val="39"/>
    <w:pPr>
      <w:spacing w:after="57"/>
      <w:ind w:left="1984" w:right="0" w:firstLine="0"/>
    </w:pPr>
  </w:style>
  <w:style w:type="paragraph" w:styleId="19">
    <w:name w:val="endnote text"/>
    <w:basedOn w:val="1"/>
    <w:link w:val="181"/>
    <w:semiHidden/>
    <w:unhideWhenUsed/>
    <w:qFormat/>
    <w:uiPriority w:val="99"/>
    <w:pPr>
      <w:spacing w:after="0" w:line="240" w:lineRule="auto"/>
    </w:pPr>
    <w:rPr>
      <w:sz w:val="20"/>
    </w:rPr>
  </w:style>
  <w:style w:type="paragraph" w:styleId="20">
    <w:name w:val="Balloon Text"/>
    <w:basedOn w:val="1"/>
    <w:link w:val="189"/>
    <w:semiHidden/>
    <w:qFormat/>
    <w:uiPriority w:val="99"/>
    <w:rPr>
      <w:sz w:val="18"/>
      <w:szCs w:val="18"/>
    </w:rPr>
  </w:style>
  <w:style w:type="paragraph" w:styleId="21">
    <w:name w:val="footer"/>
    <w:basedOn w:val="1"/>
    <w:link w:val="193"/>
    <w:qFormat/>
    <w:uiPriority w:val="99"/>
    <w:pPr>
      <w:tabs>
        <w:tab w:val="center" w:pos="4153"/>
        <w:tab w:val="right" w:pos="8306"/>
      </w:tabs>
      <w:jc w:val="left"/>
    </w:pPr>
    <w:rPr>
      <w:rFonts w:ascii="Calibri" w:hAnsi="Calibri"/>
      <w:sz w:val="18"/>
      <w:szCs w:val="20"/>
    </w:rPr>
  </w:style>
  <w:style w:type="paragraph" w:styleId="22">
    <w:name w:val="header"/>
    <w:basedOn w:val="1"/>
    <w:link w:val="192"/>
    <w:semiHidden/>
    <w:qFormat/>
    <w:uiPriority w:val="99"/>
    <w:pPr>
      <w:pBdr>
        <w:bottom w:val="single" w:color="000000" w:sz="6" w:space="1"/>
      </w:pBdr>
      <w:tabs>
        <w:tab w:val="center" w:pos="4153"/>
        <w:tab w:val="right" w:pos="8306"/>
      </w:tabs>
      <w:jc w:val="center"/>
    </w:pPr>
    <w:rPr>
      <w:rFonts w:ascii="Calibri" w:hAnsi="Calibri"/>
      <w:sz w:val="18"/>
      <w:szCs w:val="20"/>
    </w:rPr>
  </w:style>
  <w:style w:type="paragraph" w:styleId="23">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24">
    <w:name w:val="toc 4"/>
    <w:basedOn w:val="1"/>
    <w:next w:val="1"/>
    <w:unhideWhenUsed/>
    <w:qFormat/>
    <w:uiPriority w:val="39"/>
    <w:pPr>
      <w:spacing w:after="57"/>
      <w:ind w:left="850" w:right="0" w:firstLine="0"/>
    </w:pPr>
  </w:style>
  <w:style w:type="paragraph" w:styleId="25">
    <w:name w:val="Subtitle"/>
    <w:basedOn w:val="1"/>
    <w:next w:val="1"/>
    <w:link w:val="49"/>
    <w:qFormat/>
    <w:uiPriority w:val="11"/>
    <w:pPr>
      <w:spacing w:before="200" w:after="200"/>
    </w:pPr>
    <w:rPr>
      <w:sz w:val="24"/>
      <w:szCs w:val="24"/>
    </w:rPr>
  </w:style>
  <w:style w:type="paragraph" w:styleId="26">
    <w:name w:val="footnote text"/>
    <w:basedOn w:val="1"/>
    <w:link w:val="180"/>
    <w:semiHidden/>
    <w:unhideWhenUsed/>
    <w:qFormat/>
    <w:uiPriority w:val="99"/>
    <w:pPr>
      <w:spacing w:after="40" w:line="240" w:lineRule="auto"/>
    </w:pPr>
    <w:rPr>
      <w:sz w:val="18"/>
    </w:rPr>
  </w:style>
  <w:style w:type="paragraph" w:styleId="27">
    <w:name w:val="toc 6"/>
    <w:basedOn w:val="1"/>
    <w:next w:val="1"/>
    <w:unhideWhenUsed/>
    <w:qFormat/>
    <w:uiPriority w:val="39"/>
    <w:pPr>
      <w:spacing w:after="57"/>
      <w:ind w:left="1417" w:right="0" w:firstLine="0"/>
    </w:pPr>
  </w:style>
  <w:style w:type="paragraph" w:styleId="28">
    <w:name w:val="table of figures"/>
    <w:basedOn w:val="1"/>
    <w:next w:val="1"/>
    <w:unhideWhenUsed/>
    <w:qFormat/>
    <w:uiPriority w:val="99"/>
    <w:pPr>
      <w:spacing w:after="0" w:afterAutospacing="0"/>
    </w:pPr>
  </w:style>
  <w:style w:type="paragraph" w:styleId="29">
    <w:name w:val="toc 2"/>
    <w:basedOn w:val="1"/>
    <w:next w:val="1"/>
    <w:qFormat/>
    <w:uiPriority w:val="99"/>
    <w:pPr>
      <w:tabs>
        <w:tab w:val="right" w:leader="dot" w:pos="8296"/>
      </w:tabs>
      <w:ind w:left="420"/>
    </w:pPr>
  </w:style>
  <w:style w:type="paragraph" w:styleId="30">
    <w:name w:val="toc 9"/>
    <w:basedOn w:val="1"/>
    <w:next w:val="1"/>
    <w:unhideWhenUsed/>
    <w:uiPriority w:val="39"/>
    <w:pPr>
      <w:spacing w:after="57"/>
      <w:ind w:left="2268" w:right="0" w:firstLine="0"/>
    </w:pPr>
  </w:style>
  <w:style w:type="paragraph" w:styleId="31">
    <w:name w:val="Normal (Web)"/>
    <w:basedOn w:val="1"/>
    <w:qFormat/>
    <w:uiPriority w:val="99"/>
    <w:pPr>
      <w:widowControl/>
      <w:spacing w:before="100" w:beforeAutospacing="1" w:after="100" w:afterAutospacing="1"/>
      <w:jc w:val="left"/>
    </w:pPr>
    <w:rPr>
      <w:rFonts w:ascii="宋体" w:hAnsi="宋体" w:cs="宋体"/>
      <w:sz w:val="24"/>
    </w:rPr>
  </w:style>
  <w:style w:type="paragraph" w:styleId="32">
    <w:name w:val="Title"/>
    <w:basedOn w:val="1"/>
    <w:next w:val="1"/>
    <w:link w:val="48"/>
    <w:qFormat/>
    <w:uiPriority w:val="10"/>
    <w:pPr>
      <w:spacing w:before="300" w:after="200"/>
      <w:contextualSpacing/>
    </w:pPr>
    <w:rPr>
      <w:sz w:val="48"/>
      <w:szCs w:val="48"/>
    </w:rPr>
  </w:style>
  <w:style w:type="character" w:styleId="34">
    <w:name w:val="Strong"/>
    <w:basedOn w:val="33"/>
    <w:qFormat/>
    <w:uiPriority w:val="99"/>
    <w:rPr>
      <w:rFonts w:cs="Times New Roman"/>
      <w:b/>
    </w:rPr>
  </w:style>
  <w:style w:type="character" w:styleId="35">
    <w:name w:val="endnote reference"/>
    <w:basedOn w:val="33"/>
    <w:semiHidden/>
    <w:unhideWhenUsed/>
    <w:qFormat/>
    <w:uiPriority w:val="99"/>
    <w:rPr>
      <w:vertAlign w:val="superscript"/>
    </w:rPr>
  </w:style>
  <w:style w:type="character" w:styleId="36">
    <w:name w:val="page number"/>
    <w:basedOn w:val="33"/>
    <w:qFormat/>
    <w:uiPriority w:val="99"/>
    <w:rPr>
      <w:rFonts w:cs="Times New Roman"/>
    </w:rPr>
  </w:style>
  <w:style w:type="character" w:styleId="37">
    <w:name w:val="Hyperlink"/>
    <w:basedOn w:val="33"/>
    <w:qFormat/>
    <w:uiPriority w:val="99"/>
    <w:rPr>
      <w:rFonts w:cs="Times New Roman"/>
      <w:color w:val="0000FF"/>
      <w:u w:val="single"/>
    </w:rPr>
  </w:style>
  <w:style w:type="character" w:styleId="38">
    <w:name w:val="footnote reference"/>
    <w:basedOn w:val="33"/>
    <w:unhideWhenUsed/>
    <w:qFormat/>
    <w:uiPriority w:val="99"/>
    <w:rPr>
      <w:vertAlign w:val="superscript"/>
    </w:rPr>
  </w:style>
  <w:style w:type="table" w:styleId="40">
    <w:name w:val="Table Grid"/>
    <w:basedOn w:val="39"/>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customStyle="1" w:styleId="41">
    <w:name w:val="Heading 4 Char"/>
    <w:basedOn w:val="33"/>
    <w:link w:val="6"/>
    <w:uiPriority w:val="9"/>
    <w:rPr>
      <w:rFonts w:ascii="等线" w:hAnsi="等线" w:eastAsia="等线" w:cs="等线"/>
      <w:b/>
      <w:bCs/>
      <w:sz w:val="26"/>
      <w:szCs w:val="26"/>
    </w:rPr>
  </w:style>
  <w:style w:type="character" w:customStyle="1" w:styleId="42">
    <w:name w:val="Heading 5 Char"/>
    <w:basedOn w:val="33"/>
    <w:link w:val="7"/>
    <w:uiPriority w:val="9"/>
    <w:rPr>
      <w:rFonts w:ascii="等线" w:hAnsi="等线" w:eastAsia="等线" w:cs="等线"/>
      <w:b/>
      <w:bCs/>
      <w:sz w:val="24"/>
      <w:szCs w:val="24"/>
    </w:rPr>
  </w:style>
  <w:style w:type="character" w:customStyle="1" w:styleId="43">
    <w:name w:val="Heading 6 Char"/>
    <w:basedOn w:val="33"/>
    <w:link w:val="8"/>
    <w:uiPriority w:val="9"/>
    <w:rPr>
      <w:rFonts w:ascii="等线" w:hAnsi="等线" w:eastAsia="等线" w:cs="等线"/>
      <w:b/>
      <w:bCs/>
      <w:sz w:val="22"/>
      <w:szCs w:val="22"/>
    </w:rPr>
  </w:style>
  <w:style w:type="character" w:customStyle="1" w:styleId="44">
    <w:name w:val="Heading 7 Char"/>
    <w:basedOn w:val="33"/>
    <w:link w:val="9"/>
    <w:uiPriority w:val="9"/>
    <w:rPr>
      <w:rFonts w:ascii="等线" w:hAnsi="等线" w:eastAsia="等线" w:cs="等线"/>
      <w:b/>
      <w:bCs/>
      <w:i/>
      <w:iCs/>
      <w:sz w:val="22"/>
      <w:szCs w:val="22"/>
    </w:rPr>
  </w:style>
  <w:style w:type="character" w:customStyle="1" w:styleId="45">
    <w:name w:val="Heading 8 Char"/>
    <w:basedOn w:val="33"/>
    <w:link w:val="10"/>
    <w:qFormat/>
    <w:uiPriority w:val="9"/>
    <w:rPr>
      <w:rFonts w:ascii="等线" w:hAnsi="等线" w:eastAsia="等线" w:cs="等线"/>
      <w:i/>
      <w:iCs/>
      <w:sz w:val="22"/>
      <w:szCs w:val="22"/>
    </w:rPr>
  </w:style>
  <w:style w:type="character" w:customStyle="1" w:styleId="46">
    <w:name w:val="Heading 9 Char"/>
    <w:basedOn w:val="33"/>
    <w:link w:val="11"/>
    <w:qFormat/>
    <w:uiPriority w:val="9"/>
    <w:rPr>
      <w:rFonts w:ascii="等线" w:hAnsi="等线" w:eastAsia="等线" w:cs="等线"/>
      <w:i/>
      <w:iCs/>
      <w:sz w:val="21"/>
      <w:szCs w:val="21"/>
    </w:rPr>
  </w:style>
  <w:style w:type="paragraph" w:styleId="47">
    <w:name w:val="No Spacing"/>
    <w:qFormat/>
    <w:uiPriority w:val="1"/>
    <w:pPr>
      <w:spacing w:before="0" w:after="0" w:line="240" w:lineRule="auto"/>
    </w:pPr>
    <w:rPr>
      <w:rFonts w:hint="default" w:ascii="Calibri" w:hAnsi="Calibri" w:eastAsia="宋体" w:cs="Times New Roman"/>
    </w:rPr>
  </w:style>
  <w:style w:type="character" w:customStyle="1" w:styleId="48">
    <w:name w:val="Title Char"/>
    <w:basedOn w:val="33"/>
    <w:link w:val="32"/>
    <w:qFormat/>
    <w:uiPriority w:val="10"/>
    <w:rPr>
      <w:sz w:val="48"/>
      <w:szCs w:val="48"/>
    </w:rPr>
  </w:style>
  <w:style w:type="character" w:customStyle="1" w:styleId="49">
    <w:name w:val="Subtitle Char"/>
    <w:basedOn w:val="33"/>
    <w:link w:val="25"/>
    <w:uiPriority w:val="11"/>
    <w:rPr>
      <w:sz w:val="24"/>
      <w:szCs w:val="24"/>
    </w:rPr>
  </w:style>
  <w:style w:type="paragraph" w:styleId="50">
    <w:name w:val="Quote"/>
    <w:basedOn w:val="1"/>
    <w:next w:val="1"/>
    <w:link w:val="51"/>
    <w:qFormat/>
    <w:uiPriority w:val="29"/>
    <w:pPr>
      <w:ind w:left="720" w:right="720"/>
    </w:pPr>
    <w:rPr>
      <w:i/>
    </w:rPr>
  </w:style>
  <w:style w:type="character" w:customStyle="1" w:styleId="51">
    <w:name w:val="Quote Char"/>
    <w:link w:val="50"/>
    <w:qFormat/>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qFormat/>
    <w:uiPriority w:val="30"/>
    <w:rPr>
      <w:i/>
    </w:rPr>
  </w:style>
  <w:style w:type="character" w:customStyle="1" w:styleId="54">
    <w:name w:val="Caption Char"/>
    <w:qFormat/>
    <w:uiPriority w:val="99"/>
  </w:style>
  <w:style w:type="table" w:customStyle="1" w:styleId="55">
    <w:name w:val="Table Grid Light"/>
    <w:basedOn w:val="39"/>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6">
    <w:name w:val="Plain Table 1"/>
    <w:basedOn w:val="3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7">
    <w:name w:val="Plain Table 2"/>
    <w:basedOn w:val="39"/>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tcBorders>
          <w:left w:val="single" w:color="000000" w:themeColor="text1" w:sz="4" w:space="0"/>
          <w:right w:val="single" w:color="000000" w:themeColor="text1" w:sz="4" w:space="0"/>
        </w:tcBorders>
      </w:tcPr>
    </w:tblStylePr>
    <w:tblStylePr w:type="band2Vert">
      <w:tblPr>
        <w:tblLayout w:type="fixed"/>
      </w:tblPr>
      <w:tcPr>
        <w:tcBorders>
          <w:left w:val="single" w:color="000000" w:themeColor="text1" w:sz="4" w:space="0"/>
          <w:right w:val="single" w:color="000000" w:themeColor="text1" w:sz="4" w:space="0"/>
        </w:tcBorders>
      </w:tcPr>
    </w:tblStylePr>
    <w:tblStylePr w:type="band1Horz">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8">
    <w:name w:val="Plain Table 3"/>
    <w:basedOn w:val="39"/>
    <w:qFormat/>
    <w:uiPriority w:val="99"/>
    <w:pPr>
      <w:spacing w:after="0" w:line="240" w:lineRule="auto"/>
    </w:pPr>
    <w:tblPr>
      <w:tblLayout w:type="fixed"/>
    </w:tblPr>
    <w:tblStylePr w:type="firstRow">
      <w:rPr>
        <w:b/>
        <w:caps/>
        <w:color w:val="404040"/>
      </w:rPr>
      <w:tblPr>
        <w:tblLayout w:type="fixed"/>
      </w:tblPr>
      <w:tcPr>
        <w:tcBorders>
          <w:top w:val="nil"/>
          <w:left w:val="nil"/>
          <w:bottom w:val="single" w:color="404040" w:sz="4" w:space="0"/>
          <w:right w:val="nil"/>
        </w:tcBorders>
      </w:tcPr>
    </w:tblStylePr>
    <w:tblStylePr w:type="lastRow">
      <w:rPr>
        <w:b/>
        <w:caps/>
        <w:color w:val="404040"/>
      </w:rPr>
      <w:tblPr>
        <w:tblLayout w:type="fixed"/>
      </w:tblPr>
    </w:tblStylePr>
    <w:tblStylePr w:type="firstCol">
      <w:rPr>
        <w:b/>
        <w:caps/>
        <w:color w:val="404040"/>
      </w:rPr>
      <w:tblPr>
        <w:tblLayout w:type="fixed"/>
      </w:tblPr>
      <w:tcPr>
        <w:tcBorders>
          <w:top w:val="nil"/>
          <w:left w:val="nil"/>
          <w:bottom w:val="nil"/>
          <w:right w:val="single" w:color="404040" w:sz="4" w:space="0"/>
        </w:tcBorders>
      </w:tcPr>
    </w:tblStylePr>
    <w:tblStylePr w:type="lastCol">
      <w:rPr>
        <w:b/>
        <w:caps/>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9">
    <w:name w:val="Plain Table 4"/>
    <w:basedOn w:val="39"/>
    <w:uiPriority w:val="99"/>
    <w:pPr>
      <w:spacing w:after="0" w:line="240" w:lineRule="auto"/>
    </w:pPr>
    <w:tblPr>
      <w:tblLayout w:type="fixed"/>
    </w:tblPr>
    <w:tblStylePr w:type="firstRow">
      <w:rPr>
        <w:b/>
        <w:color w:val="404040"/>
      </w:rPr>
      <w:tblPr>
        <w:tblLayout w:type="fixed"/>
      </w:tbl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0">
    <w:name w:val="Plain Table 5"/>
    <w:basedOn w:val="39"/>
    <w:uiPriority w:val="99"/>
    <w:pPr>
      <w:spacing w:after="0" w:line="240" w:lineRule="auto"/>
    </w:pPr>
    <w:tblPr>
      <w:tblLayout w:type="fixed"/>
    </w:tblPr>
    <w:tblStylePr w:type="firstRow">
      <w:rPr>
        <w:i/>
        <w:color w:val="404040"/>
      </w:rPr>
      <w:tblPr>
        <w:tblLayout w:type="fixed"/>
      </w:tblPr>
      <w:tcPr>
        <w:tcBorders>
          <w:left w:val="nil"/>
          <w:bottom w:val="single" w:color="404040" w:sz="4" w:space="0"/>
          <w:right w:val="nil"/>
        </w:tcBorders>
        <w:shd w:val="clear" w:color="FFFFFF" w:fill="auto"/>
      </w:tcPr>
    </w:tblStylePr>
    <w:tblStylePr w:type="lastRow">
      <w:rPr>
        <w:i/>
        <w:color w:val="404040"/>
      </w:rPr>
      <w:tblPr>
        <w:tblLayout w:type="fixed"/>
      </w:tblPr>
      <w:tcPr>
        <w:tcBorders>
          <w:top w:val="single" w:color="404040" w:sz="4" w:space="0"/>
          <w:left w:val="nil"/>
          <w:right w:val="nil"/>
        </w:tcBorders>
        <w:shd w:val="clear" w:color="FFFFFF" w:fill="auto"/>
      </w:tcPr>
    </w:tblStylePr>
    <w:tblStylePr w:type="firstCol">
      <w:pPr>
        <w:jc w:val="right"/>
      </w:pPr>
      <w:rPr>
        <w:i/>
        <w:color w:val="404040"/>
      </w:rPr>
      <w:tblPr>
        <w:tblLayout w:type="fixed"/>
      </w:tblPr>
      <w:tcPr>
        <w:tcBorders>
          <w:right w:val="single" w:color="404040" w:sz="4" w:space="0"/>
        </w:tcBorders>
        <w:shd w:val="clear" w:color="FFFFFF" w:fill="auto"/>
      </w:tcPr>
    </w:tblStylePr>
    <w:tblStylePr w:type="lastCol">
      <w:rPr>
        <w:i/>
        <w:color w:val="404040"/>
      </w:rPr>
      <w:tblPr>
        <w:tblLayout w:type="fixed"/>
      </w:tblPr>
      <w:tcPr>
        <w:tcBorders>
          <w:left w:val="single" w:color="404040" w:sz="4" w:space="0"/>
        </w:tcBorders>
        <w:shd w:val="clear" w:color="FFFFFF" w:fill="auto"/>
      </w:tc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1">
    <w:name w:val="Grid Table 1 Light"/>
    <w:basedOn w:val="3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blPr>
        <w:tblLayout w:type="fixed"/>
      </w:tblPr>
      <w:tcPr>
        <w:tcBorders>
          <w:bottom w:val="single" w:color="696969" w:themeColor="tex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2">
    <w:name w:val="Grid Table 1 Light - Accent 1"/>
    <w:basedOn w:val="39"/>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blPr>
        <w:tblLayout w:type="fixed"/>
      </w:tblPr>
      <w:tcPr>
        <w:tcBorders>
          <w:bottom w:val="single" w:color="98B5D8" w:themeColor="accen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3">
    <w:name w:val="Grid Table 1 Light - Accent 2"/>
    <w:basedOn w:val="39"/>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blPr>
        <w:tblLayout w:type="fixed"/>
      </w:tblPr>
      <w:tcPr>
        <w:tcBorders>
          <w:bottom w:val="single" w:color="DA9896" w:themeColor="accent2"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4">
    <w:name w:val="Grid Table 1 Light - Accent 3"/>
    <w:basedOn w:val="3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blPr>
        <w:tblLayout w:type="fixed"/>
      </w:tblPr>
      <w:tcPr>
        <w:tcBorders>
          <w:bottom w:val="single" w:color="C4D79E" w:themeColor="accent3"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5">
    <w:name w:val="Grid Table 1 Light - Accent 4"/>
    <w:basedOn w:val="3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blPr>
        <w:tblLayout w:type="fixed"/>
      </w:tblPr>
      <w:tcPr>
        <w:tcBorders>
          <w:bottom w:val="single" w:color="B4A4C8" w:themeColor="accent4"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6">
    <w:name w:val="Grid Table 1 Light - Accent 5"/>
    <w:basedOn w:val="39"/>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blPr>
        <w:tblLayout w:type="fixed"/>
      </w:tblPr>
      <w:tcPr>
        <w:tcBorders>
          <w:bottom w:val="single" w:color="95CEDD" w:themeColor="accent5"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7">
    <w:name w:val="Grid Table 1 Light - Accent 6"/>
    <w:basedOn w:val="3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blPr>
        <w:tblLayout w:type="fixed"/>
      </w:tblPr>
      <w:tcPr>
        <w:tcBorders>
          <w:bottom w:val="single" w:color="FAC192" w:themeColor="accent6"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8">
    <w:name w:val="Grid Table 2"/>
    <w:basedOn w:val="3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single" w:color="696969" w:themeColor="text1" w:themeTint="95" w:sz="12" w:space="0"/>
          <w:right w:val="nil"/>
        </w:tcBorders>
        <w:shd w:val="clear" w:color="FFFFFF" w:fill="auto"/>
      </w:tcPr>
    </w:tblStylePr>
    <w:tblStylePr w:type="lastRow">
      <w:rPr>
        <w:b/>
        <w:color w:val="404040"/>
      </w:rPr>
      <w:tblPr>
        <w:tblLayout w:type="fixed"/>
      </w:tblPr>
      <w:tcPr>
        <w:tcBorders>
          <w:top w:val="single" w:color="696969" w:themeColor="text1" w:themeTint="9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9">
    <w:name w:val="Grid Table 2 - Accent 1"/>
    <w:basedOn w:val="3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blPr>
        <w:tblLayout w:type="fixed"/>
      </w:tblPr>
      <w:tcPr>
        <w:tcBorders>
          <w:top w:val="nil"/>
          <w:left w:val="nil"/>
          <w:bottom w:val="single" w:color="5D8BC2" w:themeColor="accent1" w:themeTint="EA" w:sz="12" w:space="0"/>
          <w:right w:val="nil"/>
        </w:tcBorders>
        <w:shd w:val="clear" w:color="FFFFFF" w:fill="auto"/>
      </w:tcPr>
    </w:tblStylePr>
    <w:tblStylePr w:type="lastRow">
      <w:rPr>
        <w:b/>
        <w:color w:val="404040"/>
      </w:rPr>
      <w:tblPr>
        <w:tblLayout w:type="fixed"/>
      </w:tblPr>
      <w:tcPr>
        <w:tcBorders>
          <w:top w:val="single" w:color="5D8BC2" w:themeColor="accent1" w:themeTint="E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BE5F1" w:themeColor="accent1" w:themeTint="34" w:fill="DBE5F1"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0">
    <w:name w:val="Grid Table 2 - Accent 2"/>
    <w:basedOn w:val="3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blPr>
        <w:tblLayout w:type="fixed"/>
      </w:tblPr>
      <w:tcPr>
        <w:tcBorders>
          <w:top w:val="nil"/>
          <w:left w:val="nil"/>
          <w:bottom w:val="single" w:color="D99795" w:themeColor="accent2" w:themeTint="97" w:sz="12" w:space="0"/>
          <w:right w:val="nil"/>
        </w:tcBorders>
        <w:shd w:val="clear" w:color="FFFFFF" w:fill="auto"/>
      </w:tcPr>
    </w:tblStylePr>
    <w:tblStylePr w:type="lastRow">
      <w:rPr>
        <w:b/>
        <w:color w:val="404040"/>
      </w:rPr>
      <w:tblPr>
        <w:tblLayout w:type="fixed"/>
      </w:tblPr>
      <w:tcPr>
        <w:tcBorders>
          <w:top w:val="single" w:color="D99795" w:themeColor="accent2" w:themeTint="97"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2DCDC" w:themeColor="accent2" w:themeTint="32" w:fill="F2DCDC"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1">
    <w:name w:val="Grid Table 2 - Accent 3"/>
    <w:basedOn w:val="39"/>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blPr>
        <w:tblLayout w:type="fixed"/>
      </w:tblPr>
      <w:tcPr>
        <w:tcBorders>
          <w:top w:val="nil"/>
          <w:left w:val="nil"/>
          <w:bottom w:val="single" w:color="9BBB59" w:themeColor="accent3" w:themeTint="FE" w:sz="12" w:space="0"/>
          <w:right w:val="nil"/>
        </w:tcBorders>
        <w:shd w:val="clear" w:color="FFFFFF" w:fill="auto"/>
      </w:tcPr>
    </w:tblStylePr>
    <w:tblStylePr w:type="lastRow">
      <w:rPr>
        <w:b/>
        <w:color w:val="404040"/>
      </w:rPr>
      <w:tblPr>
        <w:tblLayout w:type="fixed"/>
      </w:tblPr>
      <w:tcPr>
        <w:tcBorders>
          <w:top w:val="single" w:color="9BBB59" w:themeColor="accent3" w:themeTint="FE"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AF1DD" w:themeColor="accent3" w:themeTint="34" w:fill="EAF1DD"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2">
    <w:name w:val="Grid Table 2 - Accent 4"/>
    <w:basedOn w:val="3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blPr>
        <w:tblLayout w:type="fixed"/>
      </w:tblPr>
      <w:tcPr>
        <w:tcBorders>
          <w:top w:val="nil"/>
          <w:left w:val="nil"/>
          <w:bottom w:val="single" w:color="B2A1C6" w:themeColor="accent4" w:themeTint="9A" w:sz="12" w:space="0"/>
          <w:right w:val="nil"/>
        </w:tcBorders>
        <w:shd w:val="clear" w:color="FFFFFF" w:fill="auto"/>
      </w:tcPr>
    </w:tblStylePr>
    <w:tblStylePr w:type="lastRow">
      <w:rPr>
        <w:b/>
        <w:color w:val="404040"/>
      </w:rPr>
      <w:tblPr>
        <w:tblLayout w:type="fixed"/>
      </w:tblPr>
      <w:tcPr>
        <w:tcBorders>
          <w:top w:val="single" w:color="B2A1C6" w:themeColor="accent4" w:themeTint="9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E5DFEC" w:themeColor="accent4" w:themeTint="34" w:fill="E5DFEC"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3">
    <w:name w:val="Grid Table 2 - Accent 5"/>
    <w:basedOn w:val="3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blPr>
        <w:tblLayout w:type="fixed"/>
      </w:tblPr>
      <w:tcPr>
        <w:tcBorders>
          <w:top w:val="nil"/>
          <w:left w:val="nil"/>
          <w:bottom w:val="single" w:color="4BACC6" w:themeColor="accent5" w:sz="12" w:space="0"/>
          <w:right w:val="nil"/>
        </w:tcBorders>
        <w:shd w:val="clear" w:color="FFFFFF" w:fill="auto"/>
      </w:tcPr>
    </w:tblStylePr>
    <w:tblStylePr w:type="lastRow">
      <w:rPr>
        <w:b/>
        <w:color w:val="404040"/>
      </w:rPr>
      <w:tblPr>
        <w:tblLayout w:type="fixed"/>
      </w:tblPr>
      <w:tcPr>
        <w:tcBorders>
          <w:top w:val="single" w:color="4BACC6" w:themeColor="accent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AEEF3" w:themeColor="accent5" w:themeTint="34" w:fill="DAEEF3"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4">
    <w:name w:val="Grid Table 2 - Accent 6"/>
    <w:basedOn w:val="39"/>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blPr>
        <w:tblLayout w:type="fixed"/>
      </w:tblPr>
      <w:tcPr>
        <w:tcBorders>
          <w:top w:val="nil"/>
          <w:left w:val="nil"/>
          <w:bottom w:val="single" w:color="F79646" w:themeColor="accent6" w:sz="12" w:space="0"/>
          <w:right w:val="nil"/>
        </w:tcBorders>
        <w:shd w:val="clear" w:color="FFFFFF" w:fill="auto"/>
      </w:tcPr>
    </w:tblStylePr>
    <w:tblStylePr w:type="lastRow">
      <w:rPr>
        <w:b/>
        <w:color w:val="404040"/>
      </w:rPr>
      <w:tblPr>
        <w:tblLayout w:type="fixed"/>
      </w:tblPr>
      <w:tcPr>
        <w:tcBorders>
          <w:top w:val="single" w:color="F79646" w:themeColor="accent6"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FDE9D9" w:themeColor="accent6" w:themeTint="34" w:fill="FDE9D9"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5">
    <w:name w:val="Grid Table 3"/>
    <w:basedOn w:val="3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6">
    <w:name w:val="Grid Table 3 - Accent 1"/>
    <w:basedOn w:val="3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BE5F1" w:themeColor="accent1" w:themeTint="34" w:fill="DBE5F1"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7">
    <w:name w:val="Grid Table 3 - Accent 2"/>
    <w:basedOn w:val="3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2DCDC" w:themeColor="accent2" w:themeTint="32" w:fill="F2DCDC"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8">
    <w:name w:val="Grid Table 3 - Accent 3"/>
    <w:basedOn w:val="3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AF1DD" w:themeColor="accent3" w:themeTint="34" w:fill="EAF1DD"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9">
    <w:name w:val="Grid Table 3 - Accent 4"/>
    <w:basedOn w:val="3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E5DFEC" w:themeColor="accent4" w:themeTint="34" w:fill="E5DFEC"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0">
    <w:name w:val="Grid Table 3 - Accent 5"/>
    <w:basedOn w:val="3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AEEF3" w:themeColor="accent5" w:themeTint="34" w:fill="DAEEF3"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1">
    <w:name w:val="Grid Table 3 - Accent 6"/>
    <w:basedOn w:val="3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FDE9D9" w:themeColor="accent6" w:themeTint="34" w:fill="FDE9D9"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2">
    <w:name w:val="Grid Table 4"/>
    <w:basedOn w:val="3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blPr>
        <w:tblLayout w:type="fixed"/>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blLayout w:type="fixed"/>
      </w:tblPr>
      <w:tcPr>
        <w:tcBorders>
          <w:top w:val="single" w:color="000000" w:themeColor="text1"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3">
    <w:name w:val="Grid Table 4 - Accent 1"/>
    <w:basedOn w:val="39"/>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blPr>
        <w:tblLayout w:type="fixed"/>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blLayout w:type="fixed"/>
      </w:tblPr>
      <w:tcPr>
        <w:tcBorders>
          <w:top w:val="single" w:color="5D8BC2" w:themeColor="accent1" w:themeTint="E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CE6F2" w:themeColor="accent1" w:themeTint="32" w:fill="DCE6F2" w:themeFill="accent1" w:themeFillTint="32"/>
      </w:tcPr>
    </w:tblStylePr>
    <w:tblStylePr w:type="band2Vert">
      <w:tblPr>
        <w:tblLayout w:type="fixed"/>
      </w:tblPr>
    </w:tblStylePr>
    <w:tblStylePr w:type="band1Horz">
      <w:rPr>
        <w:rFonts w:ascii="Arial" w:hAnsi="Arial"/>
        <w:color w:val="404040"/>
        <w:sz w:val="22"/>
      </w:rPr>
      <w:tblPr>
        <w:tblLayout w:type="fixed"/>
      </w:tblPr>
      <w:tcPr>
        <w:shd w:val="clear" w:color="DCE6F2" w:themeColor="accent1" w:themeTint="32" w:fill="DCE6F2" w:themeFill="accent1"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4">
    <w:name w:val="Grid Table 4 - Accent 2"/>
    <w:basedOn w:val="39"/>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blPr>
        <w:tblLayout w:type="fixed"/>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blLayout w:type="fixed"/>
      </w:tblPr>
      <w:tcPr>
        <w:tcBorders>
          <w:top w:val="single" w:color="D99795" w:themeColor="accent2" w:themeTint="97"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2DCDC" w:themeColor="accent2" w:themeTint="32" w:fill="F2DCDC"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5">
    <w:name w:val="Grid Table 4 - Accent 3"/>
    <w:basedOn w:val="39"/>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blPr>
        <w:tblLayout w:type="fixed"/>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blLayout w:type="fixed"/>
      </w:tblPr>
      <w:tcPr>
        <w:tcBorders>
          <w:top w:val="single" w:color="9BBB59" w:themeColor="accent3" w:themeTint="FE"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AF1DD" w:themeColor="accent3" w:themeTint="34" w:fill="EAF1DD"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6">
    <w:name w:val="Grid Table 4 - Accent 4"/>
    <w:basedOn w:val="39"/>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blPr>
        <w:tblLayout w:type="fixed"/>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blLayout w:type="fixed"/>
      </w:tblPr>
      <w:tcPr>
        <w:tcBorders>
          <w:top w:val="single" w:color="B2A1C6" w:themeColor="accent4" w:themeTint="9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E5DFEC" w:themeColor="accent4" w:themeTint="34" w:fill="E5DFEC"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7">
    <w:name w:val="Grid Table 4 - Accent 5"/>
    <w:basedOn w:val="39"/>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blPr>
        <w:tblLayout w:type="fixed"/>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blLayout w:type="fixed"/>
      </w:tblPr>
      <w:tcPr>
        <w:tcBorders>
          <w:top w:val="single" w:color="4BACC6" w:themeColor="accent5"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AEEF3" w:themeColor="accent5" w:themeTint="34" w:fill="DAEEF3"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8">
    <w:name w:val="Grid Table 4 - Accent 6"/>
    <w:basedOn w:val="39"/>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blPr>
        <w:tblLayout w:type="fixed"/>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blLayout w:type="fixed"/>
      </w:tblPr>
      <w:tcPr>
        <w:tcBorders>
          <w:top w:val="single" w:color="F79646" w:themeColor="accent6"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FDE9D9" w:themeColor="accent6" w:themeTint="34" w:fill="FDE9D9"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9">
    <w:name w:val="Grid Table 5 Dark"/>
    <w:basedOn w:val="3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rFonts w:ascii="Arial" w:hAnsi="Arial"/>
        <w:b/>
        <w:color w:val="FFFFFF"/>
        <w:sz w:val="22"/>
      </w:rPr>
      <w:tblPr>
        <w:tblLayout w:type="fixed"/>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blLayout w:type="fixed"/>
      </w:tblPr>
      <w:tcPr>
        <w:shd w:val="clear" w:color="000000" w:themeColor="text1" w:fill="000000" w:themeFill="text1"/>
      </w:tcPr>
    </w:tblStylePr>
    <w:tblStylePr w:type="lastCol">
      <w:rPr>
        <w:rFonts w:ascii="Arial" w:hAnsi="Arial"/>
        <w:b/>
        <w:color w:val="FFFFFF"/>
        <w:sz w:val="22"/>
      </w:rPr>
      <w:tblPr>
        <w:tblLayout w:type="fixed"/>
      </w:tblPr>
      <w:tcPr>
        <w:shd w:val="clear" w:color="000000" w:themeColor="text1" w:fill="000000" w:themeFill="text1"/>
      </w:tcPr>
    </w:tblStylePr>
    <w:tblStylePr w:type="band1Vert">
      <w:tblPr>
        <w:tblLayout w:type="fixed"/>
      </w:tblPr>
      <w:tcPr>
        <w:shd w:val="clear" w:color="898989" w:themeColor="text1" w:themeTint="75" w:fill="898989" w:themeFill="text1" w:themeFillTint="75"/>
      </w:tcPr>
    </w:tblStylePr>
    <w:tblStylePr w:type="band2Vert">
      <w:tblPr>
        <w:tblLayout w:type="fixed"/>
      </w:tblPr>
    </w:tblStylePr>
    <w:tblStylePr w:type="band1Horz">
      <w:tblPr>
        <w:tblLayout w:type="fixed"/>
      </w:tblPr>
      <w:tcPr>
        <w:shd w:val="clear" w:color="898989" w:themeColor="text1" w:themeTint="75" w:fill="898989" w:themeFill="tex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0">
    <w:name w:val="Grid Table 5 Dark- Accent 1"/>
    <w:basedOn w:val="3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4F81BD" w:themeColor="accent1" w:fill="4F81BD" w:themeFill="accent1"/>
      </w:tcPr>
    </w:tblStylePr>
    <w:tblStylePr w:type="lastRow">
      <w:rPr>
        <w:rFonts w:ascii="Arial" w:hAnsi="Arial"/>
        <w:b/>
        <w:color w:val="FFFFFF"/>
        <w:sz w:val="22"/>
      </w:rPr>
      <w:tblPr>
        <w:tblLayout w:type="fixed"/>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blLayout w:type="fixed"/>
      </w:tblPr>
      <w:tcPr>
        <w:shd w:val="clear" w:color="4F81BD" w:themeColor="accent1" w:fill="4F81BD" w:themeFill="accent1"/>
      </w:tcPr>
    </w:tblStylePr>
    <w:tblStylePr w:type="lastCol">
      <w:rPr>
        <w:rFonts w:ascii="Arial" w:hAnsi="Arial"/>
        <w:b/>
        <w:color w:val="FFFFFF"/>
        <w:sz w:val="22"/>
      </w:rPr>
      <w:tblPr>
        <w:tblLayout w:type="fixed"/>
      </w:tblPr>
      <w:tcPr>
        <w:shd w:val="clear" w:color="4F81BD" w:themeColor="accent1" w:fill="4F81BD" w:themeFill="accent1"/>
      </w:tcPr>
    </w:tblStylePr>
    <w:tblStylePr w:type="band1Vert">
      <w:tblPr>
        <w:tblLayout w:type="fixed"/>
      </w:tblPr>
      <w:tcPr>
        <w:shd w:val="clear" w:color="AEC5E0" w:themeColor="accent1" w:themeTint="75" w:fill="AEC5E0" w:themeFill="accent1" w:themeFillTint="75"/>
      </w:tcPr>
    </w:tblStylePr>
    <w:tblStylePr w:type="band2Vert">
      <w:tblPr>
        <w:tblLayout w:type="fixed"/>
      </w:tblPr>
    </w:tblStylePr>
    <w:tblStylePr w:type="band1Horz">
      <w:tblPr>
        <w:tblLayout w:type="fixed"/>
      </w:tblPr>
      <w:tcPr>
        <w:shd w:val="clear" w:color="AEC5E0" w:themeColor="accent1" w:themeTint="75" w:fill="AEC5E0" w:themeFill="accen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1">
    <w:name w:val="Grid Table 5 Dark - Accent 2"/>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C0504D" w:themeColor="accent2" w:fill="C0504D" w:themeFill="accent2"/>
      </w:tcPr>
    </w:tblStylePr>
    <w:tblStylePr w:type="lastRow">
      <w:rPr>
        <w:rFonts w:ascii="Arial" w:hAnsi="Arial"/>
        <w:b/>
        <w:color w:val="FFFFFF"/>
        <w:sz w:val="22"/>
      </w:rPr>
      <w:tblPr>
        <w:tblLayout w:type="fixed"/>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blLayout w:type="fixed"/>
      </w:tblPr>
      <w:tcPr>
        <w:shd w:val="clear" w:color="C0504D" w:themeColor="accent2" w:fill="C0504D" w:themeFill="accent2"/>
      </w:tcPr>
    </w:tblStylePr>
    <w:tblStylePr w:type="lastCol">
      <w:rPr>
        <w:rFonts w:ascii="Arial" w:hAnsi="Arial"/>
        <w:b/>
        <w:color w:val="FFFFFF"/>
        <w:sz w:val="22"/>
      </w:rPr>
      <w:tblPr>
        <w:tblLayout w:type="fixed"/>
      </w:tblPr>
      <w:tcPr>
        <w:shd w:val="clear" w:color="C0504D" w:themeColor="accent2" w:fill="C0504D" w:themeFill="accent2"/>
      </w:tcPr>
    </w:tblStylePr>
    <w:tblStylePr w:type="band1Vert">
      <w:tblPr>
        <w:tblLayout w:type="fixed"/>
      </w:tblPr>
      <w:tcPr>
        <w:shd w:val="clear" w:color="E2AEAD" w:themeColor="accent2" w:themeTint="75" w:fill="E2AEAD" w:themeFill="accent2" w:themeFillTint="75"/>
      </w:tcPr>
    </w:tblStylePr>
    <w:tblStylePr w:type="band2Vert">
      <w:tblPr>
        <w:tblLayout w:type="fixed"/>
      </w:tblPr>
    </w:tblStylePr>
    <w:tblStylePr w:type="band1Horz">
      <w:tblPr>
        <w:tblLayout w:type="fixed"/>
      </w:tblPr>
      <w:tcPr>
        <w:shd w:val="clear" w:color="E2AEAD" w:themeColor="accent2" w:themeTint="75" w:fill="E2AEAD" w:themeFill="accent2"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2">
    <w:name w:val="Grid Table 5 Dark - Accent 3"/>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9BBB59" w:themeColor="accent3" w:fill="9BBB59" w:themeFill="accent3"/>
      </w:tcPr>
    </w:tblStylePr>
    <w:tblStylePr w:type="lastRow">
      <w:rPr>
        <w:rFonts w:ascii="Arial" w:hAnsi="Arial"/>
        <w:b/>
        <w:color w:val="FFFFFF"/>
        <w:sz w:val="22"/>
      </w:rPr>
      <w:tblPr>
        <w:tblLayout w:type="fixed"/>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blLayout w:type="fixed"/>
      </w:tblPr>
      <w:tcPr>
        <w:shd w:val="clear" w:color="9BBB59" w:themeColor="accent3" w:fill="9BBB59" w:themeFill="accent3"/>
      </w:tcPr>
    </w:tblStylePr>
    <w:tblStylePr w:type="lastCol">
      <w:rPr>
        <w:rFonts w:ascii="Arial" w:hAnsi="Arial"/>
        <w:b/>
        <w:color w:val="FFFFFF"/>
        <w:sz w:val="22"/>
      </w:rPr>
      <w:tblPr>
        <w:tblLayout w:type="fixed"/>
      </w:tblPr>
      <w:tcPr>
        <w:shd w:val="clear" w:color="9BBB59" w:themeColor="accent3" w:fill="9BBB59" w:themeFill="accent3"/>
      </w:tcPr>
    </w:tblStylePr>
    <w:tblStylePr w:type="band1Vert">
      <w:tblPr>
        <w:tblLayout w:type="fixed"/>
      </w:tblPr>
      <w:tcPr>
        <w:shd w:val="clear" w:color="D1DFB2" w:themeColor="accent3" w:themeTint="75" w:fill="D1DFB2" w:themeFill="accent3" w:themeFillTint="75"/>
      </w:tcPr>
    </w:tblStylePr>
    <w:tblStylePr w:type="band2Vert">
      <w:tblPr>
        <w:tblLayout w:type="fixed"/>
      </w:tblPr>
    </w:tblStylePr>
    <w:tblStylePr w:type="band1Horz">
      <w:tblPr>
        <w:tblLayout w:type="fixed"/>
      </w:tblPr>
      <w:tcPr>
        <w:shd w:val="clear" w:color="D1DFB2" w:themeColor="accent3" w:themeTint="75" w:fill="D1DFB2" w:themeFill="accent3"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3">
    <w:name w:val="Grid Table 5 Dark- Accent 4"/>
    <w:basedOn w:val="3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8064A2" w:themeColor="accent4" w:fill="8064A2" w:themeFill="accent4"/>
      </w:tcPr>
    </w:tblStylePr>
    <w:tblStylePr w:type="lastRow">
      <w:rPr>
        <w:rFonts w:ascii="Arial" w:hAnsi="Arial"/>
        <w:b/>
        <w:color w:val="FFFFFF"/>
        <w:sz w:val="22"/>
      </w:rPr>
      <w:tblPr>
        <w:tblLayout w:type="fixed"/>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blLayout w:type="fixed"/>
      </w:tblPr>
      <w:tcPr>
        <w:shd w:val="clear" w:color="8064A2" w:themeColor="accent4" w:fill="8064A2" w:themeFill="accent4"/>
      </w:tcPr>
    </w:tblStylePr>
    <w:tblStylePr w:type="lastCol">
      <w:rPr>
        <w:rFonts w:ascii="Arial" w:hAnsi="Arial"/>
        <w:b/>
        <w:color w:val="FFFFFF"/>
        <w:sz w:val="22"/>
      </w:rPr>
      <w:tblPr>
        <w:tblLayout w:type="fixed"/>
      </w:tblPr>
      <w:tcPr>
        <w:shd w:val="clear" w:color="8064A2" w:themeColor="accent4" w:fill="8064A2" w:themeFill="accent4"/>
      </w:tcPr>
    </w:tblStylePr>
    <w:tblStylePr w:type="band1Vert">
      <w:tblPr>
        <w:tblLayout w:type="fixed"/>
      </w:tblPr>
      <w:tcPr>
        <w:shd w:val="clear" w:color="C4B7D4" w:themeColor="accent4" w:themeTint="75" w:fill="C4B7D4" w:themeFill="accent4" w:themeFillTint="75"/>
      </w:tcPr>
    </w:tblStylePr>
    <w:tblStylePr w:type="band2Vert">
      <w:tblPr>
        <w:tblLayout w:type="fixed"/>
      </w:tblPr>
    </w:tblStylePr>
    <w:tblStylePr w:type="band1Horz">
      <w:tblPr>
        <w:tblLayout w:type="fixed"/>
      </w:tblPr>
      <w:tcPr>
        <w:shd w:val="clear" w:color="C4B7D4" w:themeColor="accent4" w:themeTint="75" w:fill="C4B7D4" w:themeFill="accent4"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4">
    <w:name w:val="Grid Table 5 Dark - Accent 5"/>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4BACC6" w:themeColor="accent5" w:fill="4BACC6" w:themeFill="accent5"/>
      </w:tcPr>
    </w:tblStylePr>
    <w:tblStylePr w:type="lastRow">
      <w:rPr>
        <w:rFonts w:ascii="Arial" w:hAnsi="Arial"/>
        <w:b/>
        <w:color w:val="FFFFFF"/>
        <w:sz w:val="22"/>
      </w:rPr>
      <w:tblPr>
        <w:tblLayout w:type="fixed"/>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blLayout w:type="fixed"/>
      </w:tblPr>
      <w:tcPr>
        <w:shd w:val="clear" w:color="4BACC6" w:themeColor="accent5" w:fill="4BACC6" w:themeFill="accent5"/>
      </w:tcPr>
    </w:tblStylePr>
    <w:tblStylePr w:type="lastCol">
      <w:rPr>
        <w:rFonts w:ascii="Arial" w:hAnsi="Arial"/>
        <w:b/>
        <w:color w:val="FFFFFF"/>
        <w:sz w:val="22"/>
      </w:rPr>
      <w:tblPr>
        <w:tblLayout w:type="fixed"/>
      </w:tblPr>
      <w:tcPr>
        <w:shd w:val="clear" w:color="4BACC6" w:themeColor="accent5" w:fill="4BACC6" w:themeFill="accent5"/>
      </w:tcPr>
    </w:tblStylePr>
    <w:tblStylePr w:type="band1Vert">
      <w:tblPr>
        <w:tblLayout w:type="fixed"/>
      </w:tblPr>
      <w:tcPr>
        <w:shd w:val="clear" w:color="ACD8E4" w:themeColor="accent5" w:themeTint="75" w:fill="ACD8E4" w:themeFill="accent5" w:themeFillTint="75"/>
      </w:tcPr>
    </w:tblStylePr>
    <w:tblStylePr w:type="band2Vert">
      <w:tblPr>
        <w:tblLayout w:type="fixed"/>
      </w:tblPr>
    </w:tblStylePr>
    <w:tblStylePr w:type="band1Horz">
      <w:tblPr>
        <w:tblLayout w:type="fixed"/>
      </w:tblPr>
      <w:tcPr>
        <w:shd w:val="clear" w:color="ACD8E4" w:themeColor="accent5" w:themeTint="75" w:fill="ACD8E4" w:themeFill="accent5"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5">
    <w:name w:val="Grid Table 5 Dark - Accent 6"/>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F79646" w:themeColor="accent6" w:fill="F79646" w:themeFill="accent6"/>
      </w:tcPr>
    </w:tblStylePr>
    <w:tblStylePr w:type="lastRow">
      <w:rPr>
        <w:rFonts w:ascii="Arial" w:hAnsi="Arial"/>
        <w:b/>
        <w:color w:val="FFFFFF"/>
        <w:sz w:val="22"/>
      </w:rPr>
      <w:tblPr>
        <w:tblLayout w:type="fixed"/>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blLayout w:type="fixed"/>
      </w:tblPr>
      <w:tcPr>
        <w:shd w:val="clear" w:color="F79646" w:themeColor="accent6" w:fill="F79646" w:themeFill="accent6"/>
      </w:tcPr>
    </w:tblStylePr>
    <w:tblStylePr w:type="lastCol">
      <w:rPr>
        <w:rFonts w:ascii="Arial" w:hAnsi="Arial"/>
        <w:b/>
        <w:color w:val="FFFFFF"/>
        <w:sz w:val="22"/>
      </w:rPr>
      <w:tblPr>
        <w:tblLayout w:type="fixed"/>
      </w:tblPr>
      <w:tcPr>
        <w:shd w:val="clear" w:color="F79646" w:themeColor="accent6" w:fill="F79646" w:themeFill="accent6"/>
      </w:tcPr>
    </w:tblStylePr>
    <w:tblStylePr w:type="band1Vert">
      <w:tblPr>
        <w:tblLayout w:type="fixed"/>
      </w:tblPr>
      <w:tcPr>
        <w:shd w:val="clear" w:color="FBCEAA" w:themeColor="accent6" w:themeTint="75" w:fill="FBCEAA" w:themeFill="accent6" w:themeFillTint="75"/>
      </w:tcPr>
    </w:tblStylePr>
    <w:tblStylePr w:type="band2Vert">
      <w:tblPr>
        <w:tblLayout w:type="fixed"/>
      </w:tblPr>
    </w:tblStylePr>
    <w:tblStylePr w:type="band1Horz">
      <w:tblPr>
        <w:tblLayout w:type="fixed"/>
      </w:tblPr>
      <w:tcPr>
        <w:shd w:val="clear" w:color="FBCEAA" w:themeColor="accent6" w:themeTint="75" w:fill="FBCEAA" w:themeFill="accent6"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6">
    <w:name w:val="Grid Table 6 Colorful"/>
    <w:basedOn w:val="39"/>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blPr>
        <w:tblLayout w:type="fixed"/>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Layout w:type="fixed"/>
      </w:tblPr>
    </w:tblStylePr>
    <w:tblStylePr w:type="firstCol">
      <w:rPr>
        <w:b/>
        <w:color w:val="808080" w:themeColor="text1" w:themeTint="80"/>
        <w14:textFill>
          <w14:solidFill>
            <w14:schemeClr w14:val="tx1">
              <w14:lumMod w14:val="50000"/>
              <w14:lumOff w14:val="50000"/>
            </w14:schemeClr>
          </w14:solidFill>
        </w14:textFill>
      </w:rPr>
      <w:tblPr>
        <w:tblLayout w:type="fixed"/>
      </w:tblPr>
    </w:tblStylePr>
    <w:tblStylePr w:type="lastCol">
      <w:rPr>
        <w:b/>
        <w:color w:val="808080" w:themeColor="text1" w:themeTint="80"/>
        <w14:textFill>
          <w14:solidFill>
            <w14:schemeClr w14:val="tx1">
              <w14:lumMod w14:val="50000"/>
              <w14:lumOff w14:val="50000"/>
            </w14:schemeClr>
          </w14:solidFill>
        </w14:textFill>
      </w:rPr>
      <w:tblPr>
        <w:tblLayout w:type="fixed"/>
      </w:tblPr>
    </w:tblStylePr>
    <w:tblStylePr w:type="band1Vert">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7">
    <w:name w:val="Grid Table 6 Colorful - Accent 1"/>
    <w:basedOn w:val="39"/>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7C0DE" w:themeColor="accent1" w:themeTint="80"/>
        <w14:textFill>
          <w14:solidFill>
            <w14:schemeClr w14:val="accent1">
              <w14:lumMod w14:val="50000"/>
              <w14:lumOff w14:val="50000"/>
            </w14:schemeClr>
          </w14:solidFill>
        </w14:textFill>
      </w:rPr>
      <w:tblPr>
        <w:tblLayout w:type="fixed"/>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Layout w:type="fixed"/>
      </w:tblPr>
    </w:tblStylePr>
    <w:tblStylePr w:type="firstCol">
      <w:rPr>
        <w:b/>
        <w:color w:val="A7C0DE" w:themeColor="accent1" w:themeTint="80"/>
        <w14:textFill>
          <w14:solidFill>
            <w14:schemeClr w14:val="accent1">
              <w14:lumMod w14:val="50000"/>
              <w14:lumOff w14:val="50000"/>
            </w14:schemeClr>
          </w14:solidFill>
        </w14:textFill>
      </w:rPr>
      <w:tblPr>
        <w:tblLayout w:type="fixed"/>
      </w:tblPr>
    </w:tblStylePr>
    <w:tblStylePr w:type="lastCol">
      <w:rPr>
        <w:b/>
        <w:color w:val="A7C0DE" w:themeColor="accent1" w:themeTint="80"/>
        <w14:textFill>
          <w14:solidFill>
            <w14:schemeClr w14:val="accent1">
              <w14:lumMod w14:val="50000"/>
              <w14:lumOff w14:val="50000"/>
            </w14:schemeClr>
          </w14:solidFill>
        </w14:textFill>
      </w:rPr>
      <w:tblPr>
        <w:tblLayout w:type="fixed"/>
      </w:tblPr>
    </w:tblStylePr>
    <w:tblStylePr w:type="band1Vert">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8">
    <w:name w:val="Grid Table 6 Colorful - Accent 2"/>
    <w:basedOn w:val="39"/>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blPr>
        <w:tblLayout w:type="fixed"/>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Layout w:type="fixed"/>
      </w:tblPr>
    </w:tblStylePr>
    <w:tblStylePr w:type="firstCol">
      <w:rPr>
        <w:b/>
        <w:color w:val="DA9896" w:themeColor="accent2" w:themeTint="96"/>
        <w14:textFill>
          <w14:solidFill>
            <w14:schemeClr w14:val="accent2">
              <w14:lumMod w14:val="59000"/>
              <w14:lumOff w14:val="41000"/>
            </w14:schemeClr>
          </w14:solidFill>
        </w14:textFill>
      </w:rPr>
      <w:tblPr>
        <w:tblLayout w:type="fixed"/>
      </w:tblPr>
    </w:tblStylePr>
    <w:tblStylePr w:type="lastCol">
      <w:rPr>
        <w:b/>
        <w:color w:val="DA9896"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9">
    <w:name w:val="Grid Table 6 Colorful - Accent 3"/>
    <w:basedOn w:val="39"/>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themeTint="FF"/>
        <w14:textFill>
          <w14:solidFill>
            <w14:schemeClr w14:val="accent3">
              <w14:lumMod w14:val="100000"/>
              <w14:lumOff w14:val="0"/>
            </w14:schemeClr>
          </w14:solidFill>
        </w14:textFill>
      </w:rPr>
      <w:tblPr>
        <w:tblLayout w:type="fixed"/>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Layout w:type="fixed"/>
      </w:tblPr>
    </w:tblStylePr>
    <w:tblStylePr w:type="firstCol">
      <w:rPr>
        <w:b/>
        <w:color w:val="9BBB59" w:themeColor="accent3" w:themeTint="FF"/>
        <w14:textFill>
          <w14:solidFill>
            <w14:schemeClr w14:val="accent3">
              <w14:lumMod w14:val="100000"/>
              <w14:lumOff w14:val="0"/>
            </w14:schemeClr>
          </w14:solidFill>
        </w14:textFill>
      </w:rPr>
      <w:tblPr>
        <w:tblLayout w:type="fixed"/>
      </w:tblPr>
    </w:tblStylePr>
    <w:tblStylePr w:type="lastCol">
      <w:rPr>
        <w:b/>
        <w:color w:val="9BBB59" w:themeColor="accent3" w:themeTint="FF"/>
        <w14:textFill>
          <w14:solidFill>
            <w14:schemeClr w14:val="accent3">
              <w14:lumMod w14:val="100000"/>
              <w14:lumOff w14:val="0"/>
            </w14:schemeClr>
          </w14:solidFill>
        </w14:textFill>
      </w:rPr>
      <w:tblPr>
        <w:tblLayout w:type="fixed"/>
      </w:tblPr>
    </w:tblStylePr>
    <w:tblStylePr w:type="band1Vert">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blLayout w:type="fixed"/>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0">
    <w:name w:val="Grid Table 6 Colorful - Accent 4"/>
    <w:basedOn w:val="3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blPr>
        <w:tblLayout w:type="fixed"/>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Layout w:type="fixed"/>
      </w:tblPr>
    </w:tblStylePr>
    <w:tblStylePr w:type="firstCol">
      <w:rPr>
        <w:b/>
        <w:color w:val="B3A2C7" w:themeColor="accent4" w:themeTint="99"/>
        <w14:textFill>
          <w14:solidFill>
            <w14:schemeClr w14:val="accent4">
              <w14:lumMod w14:val="60000"/>
              <w14:lumOff w14:val="40000"/>
            </w14:schemeClr>
          </w14:solidFill>
        </w14:textFill>
      </w:rPr>
      <w:tblPr>
        <w:tblLayout w:type="fixed"/>
      </w:tblPr>
    </w:tblStylePr>
    <w:tblStylePr w:type="lastCol">
      <w:rPr>
        <w:b/>
        <w:color w:val="B3A2C7"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1">
    <w:name w:val="Grid Table 6 Colorful - Accent 5"/>
    <w:basedOn w:val="39"/>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8" w:themeColor="accent5" w:themeShade="94"/>
      </w:rPr>
      <w:tblPr>
        <w:tblLayout w:type="fixed"/>
      </w:tblPr>
      <w:tcPr>
        <w:tcBorders>
          <w:bottom w:val="single" w:color="4BACC6" w:themeColor="accent5" w:sz="12" w:space="0"/>
        </w:tcBorders>
      </w:tcPr>
    </w:tblStylePr>
    <w:tblStylePr w:type="lastRow">
      <w:rPr>
        <w:b/>
        <w:color w:val="266778" w:themeColor="accent5" w:themeShade="94"/>
      </w:rPr>
      <w:tblPr>
        <w:tblLayout w:type="fixed"/>
      </w:tblPr>
    </w:tblStylePr>
    <w:tblStylePr w:type="firstCol">
      <w:rPr>
        <w:b/>
        <w:color w:val="266778" w:themeColor="accent5" w:themeShade="94"/>
      </w:rPr>
      <w:tblPr>
        <w:tblLayout w:type="fixed"/>
      </w:tblPr>
    </w:tblStylePr>
    <w:tblStylePr w:type="lastCol">
      <w:rPr>
        <w:b/>
        <w:color w:val="266778" w:themeColor="accent5" w:themeShade="94"/>
      </w:rPr>
      <w:tblPr>
        <w:tblLayout w:type="fixed"/>
      </w:tblPr>
    </w:tblStylePr>
    <w:tblStylePr w:type="band1Vert">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266778" w:themeColor="accent5" w:themeShade="94"/>
        <w:sz w:val="22"/>
      </w:rPr>
      <w:tblPr>
        <w:tblLayout w:type="fixed"/>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2">
    <w:name w:val="Grid Table 6 Colorful - Accent 6"/>
    <w:basedOn w:val="39"/>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8" w:themeColor="accent5" w:themeShade="94"/>
      </w:rPr>
      <w:tblPr>
        <w:tblLayout w:type="fixed"/>
      </w:tblPr>
      <w:tcPr>
        <w:tcBorders>
          <w:bottom w:val="single" w:color="F79646" w:themeColor="accent6" w:sz="12" w:space="0"/>
        </w:tcBorders>
      </w:tcPr>
    </w:tblStylePr>
    <w:tblStylePr w:type="lastRow">
      <w:rPr>
        <w:b/>
        <w:color w:val="266778" w:themeColor="accent5" w:themeShade="94"/>
      </w:rPr>
      <w:tblPr>
        <w:tblLayout w:type="fixed"/>
      </w:tblPr>
    </w:tblStylePr>
    <w:tblStylePr w:type="firstCol">
      <w:rPr>
        <w:b/>
        <w:color w:val="266778" w:themeColor="accent5" w:themeShade="94"/>
      </w:rPr>
      <w:tblPr>
        <w:tblLayout w:type="fixed"/>
      </w:tblPr>
    </w:tblStylePr>
    <w:tblStylePr w:type="lastCol">
      <w:rPr>
        <w:b/>
        <w:color w:val="266778" w:themeColor="accent5" w:themeShade="94"/>
      </w:rPr>
      <w:tblPr>
        <w:tblLayout w:type="fixed"/>
      </w:tblPr>
    </w:tblStylePr>
    <w:tblStylePr w:type="band1Vert">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266778" w:themeColor="accent5" w:themeShade="94"/>
        <w:sz w:val="22"/>
      </w:rPr>
      <w:tblPr>
        <w:tblLayout w:type="fixed"/>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3">
    <w:name w:val="Grid Table 7 Colorful"/>
    <w:basedOn w:val="39"/>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4">
    <w:name w:val="Grid Table 7 Colorful - Accent 1"/>
    <w:basedOn w:val="39"/>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blLayout w:type="fixed"/>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blLayout w:type="fixed"/>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blLayout w:type="fixed"/>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blLayout w:type="fixed"/>
      </w:tblPr>
      <w:tcPr>
        <w:tcBorders>
          <w:top w:val="nil"/>
          <w:left w:val="single" w:color="A6BFDD" w:themeColor="accent1" w:themeTint="80" w:sz="4" w:space="0"/>
          <w:bottom w:val="nil"/>
          <w:right w:val="nil"/>
        </w:tcBorders>
        <w:shd w:val="clear" w:color="FFFFFF" w:fill="auto"/>
      </w:tcPr>
    </w:tblStylePr>
    <w:tblStylePr w:type="band1Vert">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5">
    <w:name w:val="Grid Table 7 Colorful - Accent 2"/>
    <w:basedOn w:val="39"/>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blLayout w:type="fixed"/>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single" w:color="D99795" w:themeColor="accent2" w:themeTint="97" w:sz="4" w:space="0"/>
          <w:bottom w:val="nil"/>
          <w:right w:val="nil"/>
        </w:tcBorders>
        <w:shd w:val="clear" w:color="FFFFFF" w:fill="auto"/>
      </w:tcPr>
    </w:tblStylePr>
    <w:tblStylePr w:type="band1Vert">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6">
    <w:name w:val="Grid Table 7 Colorful - Accent 3"/>
    <w:basedOn w:val="39"/>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blLayout w:type="fixed"/>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blLayout w:type="fixed"/>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blLayout w:type="fixed"/>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blLayout w:type="fixed"/>
      </w:tblPr>
      <w:tcPr>
        <w:tcBorders>
          <w:top w:val="nil"/>
          <w:left w:val="single" w:color="9BBB59" w:themeColor="accent3" w:themeTint="FE" w:sz="4" w:space="0"/>
          <w:bottom w:val="nil"/>
          <w:right w:val="nil"/>
        </w:tcBorders>
        <w:shd w:val="clear" w:color="FFFFFF" w:fill="auto"/>
      </w:tcPr>
    </w:tblStylePr>
    <w:tblStylePr w:type="band1Vert">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blLayout w:type="fixed"/>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7">
    <w:name w:val="Grid Table 7 Colorful - Accent 4"/>
    <w:basedOn w:val="39"/>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blLayout w:type="fixed"/>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single" w:color="B2A1C6" w:themeColor="accent4" w:themeTint="9A" w:sz="4" w:space="0"/>
          <w:bottom w:val="nil"/>
          <w:right w:val="nil"/>
        </w:tcBorders>
        <w:shd w:val="clear" w:color="FFFFFF" w:fill="auto"/>
      </w:tcPr>
    </w:tblStylePr>
    <w:tblStylePr w:type="band1Vert">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8">
    <w:name w:val="Grid Table 7 Colorful - Accent 5"/>
    <w:basedOn w:val="39"/>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8" w:themeColor="accent5" w:themeShade="94"/>
        <w:sz w:val="22"/>
      </w:rPr>
      <w:tblPr>
        <w:tblLayout w:type="fixed"/>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blLayout w:type="fixed"/>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blLayout w:type="fixed"/>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blLayout w:type="fixed"/>
      </w:tblPr>
      <w:tcPr>
        <w:tcBorders>
          <w:top w:val="nil"/>
          <w:left w:val="single" w:color="99D0DE" w:themeColor="accent5" w:themeTint="90" w:sz="4" w:space="0"/>
          <w:bottom w:val="nil"/>
          <w:right w:val="nil"/>
        </w:tcBorders>
        <w:shd w:val="clear" w:color="FFFFFF" w:fill="auto"/>
      </w:tcPr>
    </w:tblStylePr>
    <w:tblStylePr w:type="band1Vert">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266778" w:themeColor="accent5" w:themeShade="94"/>
        <w:sz w:val="22"/>
      </w:rPr>
      <w:tblPr>
        <w:tblLayout w:type="fixed"/>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9">
    <w:name w:val="Grid Table 7 Colorful - Accent 6"/>
    <w:basedOn w:val="39"/>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408" w:themeColor="accent6" w:themeShade="94"/>
        <w:sz w:val="22"/>
      </w:rPr>
      <w:tblPr>
        <w:tblLayout w:type="fixed"/>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blLayout w:type="fixed"/>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blLayout w:type="fixed"/>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blLayout w:type="fixed"/>
      </w:tblPr>
      <w:tcPr>
        <w:tcBorders>
          <w:top w:val="nil"/>
          <w:left w:val="single" w:color="FAC396" w:themeColor="accent6" w:themeTint="90" w:sz="4" w:space="0"/>
          <w:bottom w:val="nil"/>
          <w:right w:val="nil"/>
        </w:tcBorders>
        <w:shd w:val="clear" w:color="FFFFFF" w:fill="auto"/>
      </w:tcPr>
    </w:tblStylePr>
    <w:tblStylePr w:type="band1Vert">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B05408" w:themeColor="accent6" w:themeShade="94"/>
        <w:sz w:val="22"/>
      </w:rPr>
      <w:tblPr>
        <w:tblLayout w:type="fixed"/>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0">
    <w:name w:val="List Table 1 Light"/>
    <w:basedOn w:val="39"/>
    <w:qFormat/>
    <w:uiPriority w:val="99"/>
    <w:pPr>
      <w:spacing w:after="0" w:line="240" w:lineRule="auto"/>
    </w:pPr>
    <w:tblPr>
      <w:tblLayout w:type="fixed"/>
    </w:tblPr>
    <w:tblStylePr w:type="firstRow">
      <w:rPr>
        <w:b/>
        <w:color w:val="404040"/>
      </w:rPr>
      <w:tblPr>
        <w:tblLayout w:type="fixed"/>
      </w:tblPr>
      <w:tcPr>
        <w:tcBorders>
          <w:top w:val="nil"/>
          <w:left w:val="nil"/>
          <w:bottom w:val="single" w:color="000000" w:themeColor="text1" w:sz="4" w:space="0"/>
          <w:right w:val="nil"/>
        </w:tcBorders>
      </w:tcPr>
    </w:tblStylePr>
    <w:tblStylePr w:type="lastRow">
      <w:rPr>
        <w:b/>
        <w:color w:val="404040"/>
      </w:rPr>
      <w:tblPr>
        <w:tblLayout w:type="fixed"/>
      </w:tblPr>
      <w:tcPr>
        <w:tcBorders>
          <w:top w:val="single" w:color="000000" w:themeColor="tex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1">
    <w:name w:val="List Table 1 Light - Accent 1"/>
    <w:basedOn w:val="39"/>
    <w:qFormat/>
    <w:uiPriority w:val="99"/>
    <w:pPr>
      <w:spacing w:after="0" w:line="240" w:lineRule="auto"/>
    </w:pPr>
    <w:tblPr>
      <w:tblLayout w:type="fixed"/>
    </w:tblPr>
    <w:tblStylePr w:type="firstRow">
      <w:rPr>
        <w:b/>
        <w:color w:val="404040"/>
      </w:rPr>
      <w:tblPr>
        <w:tblLayout w:type="fixed"/>
      </w:tblPr>
      <w:tcPr>
        <w:tcBorders>
          <w:top w:val="nil"/>
          <w:left w:val="nil"/>
          <w:bottom w:val="single" w:color="4F81BD" w:themeColor="accent1" w:sz="4" w:space="0"/>
          <w:right w:val="nil"/>
        </w:tcBorders>
      </w:tcPr>
    </w:tblStylePr>
    <w:tblStylePr w:type="lastRow">
      <w:rPr>
        <w:b/>
        <w:color w:val="404040"/>
      </w:rPr>
      <w:tblPr>
        <w:tblLayout w:type="fixed"/>
      </w:tblPr>
      <w:tcPr>
        <w:tcBorders>
          <w:top w:val="single" w:color="4F81BD" w:themeColor="accen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2DFEE" w:themeColor="accent1" w:themeTint="40" w:fill="D2DFEE" w:themeFill="accent1" w:themeFillTint="40"/>
      </w:tcPr>
    </w:tblStylePr>
    <w:tblStylePr w:type="band2Vert">
      <w:tblPr>
        <w:tblLayout w:type="fixed"/>
      </w:tblPr>
    </w:tblStylePr>
    <w:tblStylePr w:type="band1Horz">
      <w:tblPr>
        <w:tblLayout w:type="fixed"/>
      </w:tblPr>
      <w:tcPr>
        <w:shd w:val="clear" w:color="D2DFEE" w:themeColor="accent1" w:themeTint="40" w:fill="D2DFEE"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2">
    <w:name w:val="List Table 1 Light - Accent 2"/>
    <w:basedOn w:val="39"/>
    <w:qFormat/>
    <w:uiPriority w:val="99"/>
    <w:pPr>
      <w:spacing w:after="0" w:line="240" w:lineRule="auto"/>
    </w:pPr>
    <w:tblPr>
      <w:tblLayout w:type="fixed"/>
    </w:tblPr>
    <w:tblStylePr w:type="firstRow">
      <w:rPr>
        <w:b/>
        <w:color w:val="404040"/>
      </w:rPr>
      <w:tblPr>
        <w:tblLayout w:type="fixed"/>
      </w:tblPr>
      <w:tcPr>
        <w:tcBorders>
          <w:top w:val="nil"/>
          <w:left w:val="nil"/>
          <w:bottom w:val="single" w:color="C0504D" w:themeColor="accent2" w:sz="4" w:space="0"/>
          <w:right w:val="nil"/>
        </w:tcBorders>
      </w:tcPr>
    </w:tblStylePr>
    <w:tblStylePr w:type="lastRow">
      <w:rPr>
        <w:b/>
        <w:color w:val="404040"/>
      </w:rPr>
      <w:tblPr>
        <w:tblLayout w:type="fixed"/>
      </w:tblPr>
      <w:tcPr>
        <w:tcBorders>
          <w:top w:val="single" w:color="C0504D" w:themeColor="accent2"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EFD3D2" w:themeColor="accent2" w:themeTint="40" w:fill="EFD3D2" w:themeFill="accent2" w:themeFillTint="40"/>
      </w:tcPr>
    </w:tblStylePr>
    <w:tblStylePr w:type="band2Vert">
      <w:tblPr>
        <w:tblLayout w:type="fixed"/>
      </w:tblPr>
    </w:tblStylePr>
    <w:tblStylePr w:type="band1Horz">
      <w:tblPr>
        <w:tblLayout w:type="fixed"/>
      </w:tblPr>
      <w:tcPr>
        <w:shd w:val="clear" w:color="EFD3D2" w:themeColor="accent2" w:themeTint="40" w:fill="EFD3D2"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3">
    <w:name w:val="List Table 1 Light - Accent 3"/>
    <w:basedOn w:val="39"/>
    <w:qFormat/>
    <w:uiPriority w:val="99"/>
    <w:pPr>
      <w:spacing w:after="0" w:line="240" w:lineRule="auto"/>
    </w:pPr>
    <w:tblPr>
      <w:tblLayout w:type="fixed"/>
    </w:tblPr>
    <w:tblStylePr w:type="firstRow">
      <w:rPr>
        <w:b/>
        <w:color w:val="404040"/>
      </w:rPr>
      <w:tblPr>
        <w:tblLayout w:type="fixed"/>
      </w:tblPr>
      <w:tcPr>
        <w:tcBorders>
          <w:top w:val="nil"/>
          <w:left w:val="nil"/>
          <w:bottom w:val="single" w:color="9BBB59" w:themeColor="accent3" w:sz="4" w:space="0"/>
          <w:right w:val="nil"/>
        </w:tcBorders>
      </w:tcPr>
    </w:tblStylePr>
    <w:tblStylePr w:type="lastRow">
      <w:rPr>
        <w:b/>
        <w:color w:val="404040"/>
      </w:rPr>
      <w:tblPr>
        <w:tblLayout w:type="fixed"/>
      </w:tblPr>
      <w:tcPr>
        <w:tcBorders>
          <w:top w:val="single" w:color="9BBB59" w:themeColor="accent3"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E5EDD5" w:themeColor="accent3" w:themeTint="40" w:fill="E5EDD5" w:themeFill="accent3" w:themeFillTint="40"/>
      </w:tcPr>
    </w:tblStylePr>
    <w:tblStylePr w:type="band2Vert">
      <w:tblPr>
        <w:tblLayout w:type="fixed"/>
      </w:tblPr>
    </w:tblStylePr>
    <w:tblStylePr w:type="band1Horz">
      <w:tblPr>
        <w:tblLayout w:type="fixed"/>
      </w:tblPr>
      <w:tcPr>
        <w:shd w:val="clear" w:color="E5EDD5" w:themeColor="accent3" w:themeTint="40" w:fill="E5EDD5"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4">
    <w:name w:val="List Table 1 Light - Accent 4"/>
    <w:basedOn w:val="39"/>
    <w:qFormat/>
    <w:uiPriority w:val="99"/>
    <w:pPr>
      <w:spacing w:after="0" w:line="240" w:lineRule="auto"/>
    </w:pPr>
    <w:tblPr>
      <w:tblLayout w:type="fixed"/>
    </w:tblPr>
    <w:tblStylePr w:type="firstRow">
      <w:rPr>
        <w:b/>
        <w:color w:val="404040"/>
      </w:rPr>
      <w:tblPr>
        <w:tblLayout w:type="fixed"/>
      </w:tblPr>
      <w:tcPr>
        <w:tcBorders>
          <w:top w:val="nil"/>
          <w:left w:val="nil"/>
          <w:bottom w:val="single" w:color="8064A2" w:themeColor="accent4" w:sz="4" w:space="0"/>
          <w:right w:val="nil"/>
        </w:tcBorders>
      </w:tcPr>
    </w:tblStylePr>
    <w:tblStylePr w:type="lastRow">
      <w:rPr>
        <w:b/>
        <w:color w:val="404040"/>
      </w:rPr>
      <w:tblPr>
        <w:tblLayout w:type="fixed"/>
      </w:tblPr>
      <w:tcPr>
        <w:tcBorders>
          <w:top w:val="single" w:color="8064A2" w:themeColor="accent4"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FD8E7" w:themeColor="accent4" w:themeTint="40" w:fill="DFD8E7" w:themeFill="accent4" w:themeFillTint="40"/>
      </w:tcPr>
    </w:tblStylePr>
    <w:tblStylePr w:type="band2Vert">
      <w:tblPr>
        <w:tblLayout w:type="fixed"/>
      </w:tblPr>
    </w:tblStylePr>
    <w:tblStylePr w:type="band1Horz">
      <w:tblPr>
        <w:tblLayout w:type="fixed"/>
      </w:tblPr>
      <w:tcPr>
        <w:shd w:val="clear" w:color="DFD8E7" w:themeColor="accent4" w:themeTint="40" w:fill="DFD8E7"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5">
    <w:name w:val="List Table 1 Light - Accent 5"/>
    <w:basedOn w:val="39"/>
    <w:qFormat/>
    <w:uiPriority w:val="99"/>
    <w:pPr>
      <w:spacing w:after="0" w:line="240" w:lineRule="auto"/>
    </w:pPr>
    <w:tblPr>
      <w:tblLayout w:type="fixed"/>
    </w:tblPr>
    <w:tblStylePr w:type="firstRow">
      <w:rPr>
        <w:b/>
        <w:color w:val="404040"/>
      </w:rPr>
      <w:tblPr>
        <w:tblLayout w:type="fixed"/>
      </w:tblPr>
      <w:tcPr>
        <w:tcBorders>
          <w:top w:val="nil"/>
          <w:left w:val="nil"/>
          <w:bottom w:val="single" w:color="4BACC6" w:themeColor="accent5" w:sz="4" w:space="0"/>
          <w:right w:val="nil"/>
        </w:tcBorders>
      </w:tcPr>
    </w:tblStylePr>
    <w:tblStylePr w:type="lastRow">
      <w:rPr>
        <w:b/>
        <w:color w:val="404040"/>
      </w:rPr>
      <w:tblPr>
        <w:tblLayout w:type="fixed"/>
      </w:tblPr>
      <w:tcPr>
        <w:tcBorders>
          <w:top w:val="single" w:color="4BACC6" w:themeColor="accent5"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1EAF0" w:themeColor="accent5" w:themeTint="40" w:fill="D1EAF0" w:themeFill="accent5" w:themeFillTint="40"/>
      </w:tcPr>
    </w:tblStylePr>
    <w:tblStylePr w:type="band2Vert">
      <w:tblPr>
        <w:tblLayout w:type="fixed"/>
      </w:tblPr>
    </w:tblStylePr>
    <w:tblStylePr w:type="band1Horz">
      <w:tblPr>
        <w:tblLayout w:type="fixed"/>
      </w:tblPr>
      <w:tcPr>
        <w:shd w:val="clear" w:color="D1EAF0" w:themeColor="accent5" w:themeTint="40" w:fill="D1EA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6">
    <w:name w:val="List Table 1 Light - Accent 6"/>
    <w:basedOn w:val="39"/>
    <w:qFormat/>
    <w:uiPriority w:val="99"/>
    <w:pPr>
      <w:spacing w:after="0" w:line="240" w:lineRule="auto"/>
    </w:pPr>
    <w:tblPr>
      <w:tblLayout w:type="fixed"/>
    </w:tblPr>
    <w:tblStylePr w:type="firstRow">
      <w:rPr>
        <w:b/>
        <w:color w:val="404040"/>
      </w:rPr>
      <w:tblPr>
        <w:tblLayout w:type="fixed"/>
      </w:tblPr>
      <w:tcPr>
        <w:tcBorders>
          <w:top w:val="nil"/>
          <w:left w:val="nil"/>
          <w:bottom w:val="single" w:color="F79646" w:themeColor="accent6" w:sz="4" w:space="0"/>
          <w:right w:val="nil"/>
        </w:tcBorders>
      </w:tcPr>
    </w:tblStylePr>
    <w:tblStylePr w:type="lastRow">
      <w:rPr>
        <w:b/>
        <w:color w:val="404040"/>
      </w:rPr>
      <w:tblPr>
        <w:tblLayout w:type="fixed"/>
      </w:tblPr>
      <w:tcPr>
        <w:tcBorders>
          <w:top w:val="single" w:color="F79646" w:themeColor="accent6"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FCE4D0" w:themeColor="accent6" w:themeTint="40" w:fill="FCE4D0" w:themeFill="accent6" w:themeFillTint="40"/>
      </w:tcPr>
    </w:tblStylePr>
    <w:tblStylePr w:type="band2Vert">
      <w:tblPr>
        <w:tblLayout w:type="fixed"/>
      </w:tblPr>
    </w:tblStylePr>
    <w:tblStylePr w:type="band1Horz">
      <w:tblPr>
        <w:tblLayout w:type="fixed"/>
      </w:tblPr>
      <w:tcPr>
        <w:shd w:val="clear" w:color="FCE4D0" w:themeColor="accent6" w:themeTint="40" w:fill="FCE4D0"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7">
    <w:name w:val="List Table 2"/>
    <w:basedOn w:val="3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8">
    <w:name w:val="List Table 2 - Accent 1"/>
    <w:basedOn w:val="39"/>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blPr>
        <w:tblLayout w:type="fixed"/>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blLayout w:type="fixed"/>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2DFEE" w:themeColor="accent1" w:themeTint="40" w:fill="D2DFEE"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9">
    <w:name w:val="List Table 2 - Accent 2"/>
    <w:basedOn w:val="39"/>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blPr>
        <w:tblLayout w:type="fixed"/>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blLayout w:type="fixed"/>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EFD3D2" w:themeColor="accent2" w:themeTint="40" w:fill="EFD3D2"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0">
    <w:name w:val="List Table 2 - Accent 3"/>
    <w:basedOn w:val="39"/>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blPr>
        <w:tblLayout w:type="fixed"/>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blLayout w:type="fixed"/>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5EDD5" w:themeColor="accent3" w:themeTint="40" w:fill="E5EDD5"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1">
    <w:name w:val="List Table 2 - Accent 4"/>
    <w:basedOn w:val="39"/>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blPr>
        <w:tblLayout w:type="fixed"/>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blLayout w:type="fixed"/>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DFD8E7" w:themeColor="accent4" w:themeTint="40" w:fill="DFD8E7"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2">
    <w:name w:val="List Table 2 - Accent 5"/>
    <w:basedOn w:val="39"/>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blPr>
        <w:tblLayout w:type="fixed"/>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blLayout w:type="fixed"/>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1EAF0" w:themeColor="accent5" w:themeTint="40" w:fill="D1EA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3">
    <w:name w:val="List Table 2 - Accent 6"/>
    <w:basedOn w:val="39"/>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blPr>
        <w:tblLayout w:type="fixed"/>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blLayout w:type="fixed"/>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FCE4D0" w:themeColor="accent6" w:themeTint="40" w:fill="FCE4D0"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4">
    <w:name w:val="List Table 3"/>
    <w:basedOn w:val="3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000000" w:themeColor="text1" w:sz="4" w:space="0"/>
          <w:right w:val="single" w:color="000000" w:themeColor="tex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5">
    <w:name w:val="List Table 3 - Accent 1"/>
    <w:basedOn w:val="39"/>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blPr>
        <w:tblLayout w:type="fixed"/>
      </w:tblPr>
      <w:tcPr>
        <w:shd w:val="clear" w:color="4F81BD" w:themeColor="accent1" w:fill="4F81BD"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4F81BD" w:themeColor="accent1" w:sz="4" w:space="0"/>
          <w:right w:val="single" w:color="4F81BD" w:themeColor="accen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4F81BD" w:themeColor="accent1" w:sz="4" w:space="0"/>
          <w:bottom w:val="single" w:color="4F81BD" w:themeColor="accen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6">
    <w:name w:val="List Table 3 - Accent 2"/>
    <w:basedOn w:val="3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blPr>
        <w:tblLayout w:type="fixed"/>
      </w:tblPr>
      <w:tcPr>
        <w:shd w:val="clear" w:color="D99795" w:themeColor="accent2" w:themeTint="97" w:fill="D99795" w:themeFill="accent2" w:themeFillTint="97"/>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D99795" w:themeColor="accent2" w:themeTint="97" w:sz="4" w:space="0"/>
          <w:right w:val="single" w:color="D99795" w:themeColor="accent2" w:themeTint="97"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D99795" w:themeColor="accent2" w:themeTint="97" w:sz="4" w:space="0"/>
          <w:bottom w:val="single" w:color="D99795" w:themeColor="accent2" w:themeTint="9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7">
    <w:name w:val="List Table 3 - Accent 3"/>
    <w:basedOn w:val="39"/>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blPr>
        <w:tblLayout w:type="fixed"/>
      </w:tblPr>
      <w:tcPr>
        <w:shd w:val="clear" w:color="C3D69C" w:themeColor="accent3" w:themeTint="98" w:fill="C3D69C" w:themeFill="accent3"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C3D69C" w:themeColor="accent3" w:themeTint="98" w:sz="4" w:space="0"/>
          <w:right w:val="single" w:color="C3D69C" w:themeColor="accent3"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C3D69C" w:themeColor="accent3" w:themeTint="98" w:sz="4" w:space="0"/>
          <w:bottom w:val="single" w:color="C3D69C" w:themeColor="accent3"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8">
    <w:name w:val="List Table 3 - Accent 4"/>
    <w:basedOn w:val="3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blPr>
        <w:tblLayout w:type="fixed"/>
      </w:tblPr>
      <w:tcPr>
        <w:shd w:val="clear" w:color="B2A1C6" w:themeColor="accent4" w:themeTint="9A" w:fill="B2A1C6" w:themeFill="accent4"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B2A1C6" w:themeColor="accent4" w:themeTint="9A" w:sz="4" w:space="0"/>
          <w:right w:val="single" w:color="B2A1C6" w:themeColor="accent4"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B2A1C6" w:themeColor="accent4" w:themeTint="9A" w:sz="4" w:space="0"/>
          <w:bottom w:val="single" w:color="B2A1C6" w:themeColor="accent4"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9">
    <w:name w:val="List Table 3 - Accent 5"/>
    <w:basedOn w:val="39"/>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blPr>
        <w:tblLayout w:type="fixed"/>
      </w:tblPr>
      <w:tcPr>
        <w:shd w:val="clear" w:color="92CCDC" w:themeColor="accent5" w:themeTint="9A" w:fill="92CCDC" w:themeFill="accent5"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92CCDC" w:themeColor="accent5" w:themeTint="9A" w:sz="4" w:space="0"/>
          <w:right w:val="single" w:color="92CCDC" w:themeColor="accent5"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92CCDC" w:themeColor="accent5" w:themeTint="9A" w:sz="4" w:space="0"/>
          <w:bottom w:val="single" w:color="92CCDC" w:themeColor="accent5"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0">
    <w:name w:val="List Table 3 - Accent 6"/>
    <w:basedOn w:val="39"/>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blPr>
        <w:tblLayout w:type="fixed"/>
      </w:tblPr>
      <w:tcPr>
        <w:shd w:val="clear" w:color="FAC090" w:themeColor="accent6" w:themeTint="98" w:fill="FAC090" w:themeFill="accent6"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FAC090" w:themeColor="accent6" w:themeTint="98" w:sz="4" w:space="0"/>
          <w:right w:val="single" w:color="FAC090" w:themeColor="accent6"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FAC090" w:themeColor="accent6" w:themeTint="98" w:sz="4" w:space="0"/>
          <w:bottom w:val="single" w:color="FAC090" w:themeColor="accent6"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1">
    <w:name w:val="List Table 4"/>
    <w:basedOn w:val="3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2">
    <w:name w:val="List Table 4 - Accent 1"/>
    <w:basedOn w:val="39"/>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blPr>
        <w:tblLayout w:type="fixed"/>
      </w:tblPr>
      <w:tcPr>
        <w:shd w:val="clear" w:color="4F81BD" w:themeColor="accent1" w:fill="4F81BD"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2DFEE" w:themeColor="accent1" w:themeTint="40" w:fill="D2DFEE"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3">
    <w:name w:val="List Table 4 - Accent 2"/>
    <w:basedOn w:val="39"/>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blPr>
        <w:tblLayout w:type="fixed"/>
      </w:tblPr>
      <w:tcPr>
        <w:shd w:val="clear" w:color="C0504D" w:themeColor="accent2" w:fill="C0504D" w:themeFill="accent2"/>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EFD3D2" w:themeColor="accent2" w:themeTint="40" w:fill="EFD3D2"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4">
    <w:name w:val="List Table 4 - Accent 3"/>
    <w:basedOn w:val="39"/>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blPr>
        <w:tblLayout w:type="fixed"/>
      </w:tblPr>
      <w:tcPr>
        <w:shd w:val="clear" w:color="9BBB59" w:themeColor="accent3" w:fill="9BBB59" w:themeFill="accent3"/>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5EDD5" w:themeColor="accent3" w:themeTint="40" w:fill="E5EDD5"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5">
    <w:name w:val="List Table 4 - Accent 4"/>
    <w:basedOn w:val="39"/>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blPr>
        <w:tblLayout w:type="fixed"/>
      </w:tblPr>
      <w:tcPr>
        <w:shd w:val="clear" w:color="8064A2" w:themeColor="accent4" w:fill="8064A2" w:themeFill="accent4"/>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DFD8E7" w:themeColor="accent4" w:themeTint="40" w:fill="DFD8E7"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6">
    <w:name w:val="List Table 4 - Accent 5"/>
    <w:basedOn w:val="39"/>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blPr>
        <w:tblLayout w:type="fixed"/>
      </w:tblPr>
      <w:tcPr>
        <w:shd w:val="clear" w:color="4BACC6" w:themeColor="accent5" w:fill="4BACC6" w:themeFill="accent5"/>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1EAF0" w:themeColor="accent5" w:themeTint="40" w:fill="D1EA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7">
    <w:name w:val="List Table 4 - Accent 6"/>
    <w:basedOn w:val="39"/>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blPr>
        <w:tblLayout w:type="fixed"/>
      </w:tblPr>
      <w:tcPr>
        <w:shd w:val="clear" w:color="F79646" w:themeColor="accent6" w:fill="F79646" w:themeFill="accent6"/>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FCE4D0" w:themeColor="accent6" w:themeTint="40" w:fill="FCE4D0"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8">
    <w:name w:val="List Table 5 Dark"/>
    <w:basedOn w:val="3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7E7E7E" w:themeColor="text1" w:themeTint="80" w:sz="32" w:space="0"/>
          <w:right w:val="single" w:color="FFFFFF" w:themeColor="light1" w:sz="4" w:space="0"/>
        </w:tcBorders>
      </w:tcPr>
    </w:tblStylePr>
    <w:tblStylePr w:type="lastCol">
      <w:tblPr>
        <w:tblLayout w:type="fixed"/>
      </w:tblPr>
      <w:tcPr>
        <w:tcBorders>
          <w:left w:val="single" w:color="FFFFFF" w:themeColor="light1" w:sz="4" w:space="0"/>
          <w:right w:val="single" w:color="7E7E7E" w:themeColor="text1" w:themeTint="80" w:sz="32" w:space="0"/>
        </w:tcBorders>
      </w:tcPr>
    </w:tblStylePr>
    <w:tblStylePr w:type="band1Vert">
      <w:tblPr>
        <w:tblLayout w:type="fixed"/>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9">
    <w:name w:val="List Table 5 Dark - Accent 1"/>
    <w:basedOn w:val="39"/>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4F81BD" w:themeColor="accent1" w:sz="32" w:space="0"/>
          <w:right w:val="single" w:color="FFFFFF" w:themeColor="light1" w:sz="4" w:space="0"/>
        </w:tcBorders>
      </w:tcPr>
    </w:tblStylePr>
    <w:tblStylePr w:type="lastCol">
      <w:tblPr>
        <w:tblLayout w:type="fixed"/>
      </w:tblPr>
      <w:tcPr>
        <w:tcBorders>
          <w:left w:val="single" w:color="FFFFFF" w:themeColor="light1" w:sz="4" w:space="0"/>
          <w:right w:val="single" w:color="4F81BD" w:themeColor="accent1" w:sz="32" w:space="0"/>
        </w:tcBorders>
      </w:tcPr>
    </w:tblStylePr>
    <w:tblStylePr w:type="band1Vert">
      <w:tblPr>
        <w:tblLayout w:type="fixed"/>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blLayout w:type="fixed"/>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0">
    <w:name w:val="List Table 5 Dark - Accent 2"/>
    <w:basedOn w:val="39"/>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D99795" w:themeColor="accent2" w:themeTint="97" w:sz="32" w:space="0"/>
          <w:right w:val="single" w:color="FFFFFF" w:themeColor="light1" w:sz="4" w:space="0"/>
        </w:tcBorders>
      </w:tcPr>
    </w:tblStylePr>
    <w:tblStylePr w:type="lastCol">
      <w:tblPr>
        <w:tblLayout w:type="fixed"/>
      </w:tblPr>
      <w:tcPr>
        <w:tcBorders>
          <w:left w:val="single" w:color="FFFFFF" w:themeColor="light1" w:sz="4" w:space="0"/>
          <w:right w:val="single" w:color="D99795" w:themeColor="accent2" w:themeTint="97" w:sz="32" w:space="0"/>
        </w:tcBorders>
      </w:tcPr>
    </w:tblStylePr>
    <w:tblStylePr w:type="band1Vert">
      <w:tblPr>
        <w:tblLayout w:type="fixed"/>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blLayout w:type="fixed"/>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1">
    <w:name w:val="List Table 5 Dark - Accent 3"/>
    <w:basedOn w:val="39"/>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C3D69C" w:themeColor="accent3"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C3D69C" w:themeColor="accent3"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blLayout w:type="fixed"/>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2">
    <w:name w:val="List Table 5 Dark - Accent 4"/>
    <w:basedOn w:val="39"/>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B2A1C6" w:themeColor="accent4"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B2A1C6" w:themeColor="accent4"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blLayout w:type="fixed"/>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3">
    <w:name w:val="List Table 5 Dark - Accent 5"/>
    <w:basedOn w:val="39"/>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92CCDC" w:themeColor="accent5"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92CCDC" w:themeColor="accent5"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blLayout w:type="fixed"/>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4">
    <w:name w:val="List Table 5 Dark - Accent 6"/>
    <w:basedOn w:val="39"/>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FAC090" w:themeColor="accent6"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FAC090" w:themeColor="accent6"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blLayout w:type="fixed"/>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5">
    <w:name w:val="List Table 6 Colorful"/>
    <w:basedOn w:val="39"/>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blPr>
        <w:tblLayout w:type="fixed"/>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blLayout w:type="fixed"/>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Layout w:type="fixed"/>
      </w:tblPr>
    </w:tblStylePr>
    <w:tblStylePr w:type="lastCol">
      <w:rPr>
        <w:b/>
        <w:color w:val="000000" w:themeColor="text1"/>
        <w14:textFill>
          <w14:solidFill>
            <w14:schemeClr w14:val="tx1"/>
          </w14:solidFill>
        </w14:textFill>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000000" w:themeColor="text1"/>
        <w:sz w:val="22"/>
        <w14:textFill>
          <w14:solidFill>
            <w14:schemeClr w14:val="tx1"/>
          </w14:solidFill>
        </w14:textFill>
      </w:rPr>
      <w:tblPr>
        <w:tblLayout w:type="fixed"/>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6">
    <w:name w:val="List Table 6 Colorful - Accent 1"/>
    <w:basedOn w:val="39"/>
    <w:qFormat/>
    <w:uiPriority w:val="99"/>
    <w:pPr>
      <w:spacing w:after="0" w:line="240" w:lineRule="auto"/>
    </w:pPr>
    <w:tblPr>
      <w:tblBorders>
        <w:top w:val="single" w:color="4F81BD" w:themeColor="accent1" w:sz="4" w:space="0"/>
        <w:bottom w:val="single" w:color="4F81BD" w:themeColor="accent1" w:sz="4" w:space="0"/>
      </w:tblBorders>
      <w:tblLayout w:type="fixed"/>
    </w:tblPr>
    <w:tblStylePr w:type="firstRow">
      <w:rPr>
        <w:b/>
        <w:color w:val="2A4B71" w:themeColor="accent1" w:themeShade="94"/>
      </w:rPr>
      <w:tblPr>
        <w:tblLayout w:type="fixed"/>
      </w:tblPr>
      <w:tcPr>
        <w:tcBorders>
          <w:bottom w:val="single" w:color="4F81BD" w:themeColor="accent1" w:sz="4" w:space="0"/>
        </w:tcBorders>
      </w:tcPr>
    </w:tblStylePr>
    <w:tblStylePr w:type="lastRow">
      <w:rPr>
        <w:b/>
        <w:color w:val="2A4B71" w:themeColor="accent1" w:themeShade="94"/>
      </w:rPr>
      <w:tblPr>
        <w:tblLayout w:type="fixed"/>
      </w:tblPr>
      <w:tcPr>
        <w:tcBorders>
          <w:top w:val="single" w:color="4F81BD" w:themeColor="accent1" w:sz="4" w:space="0"/>
        </w:tcBorders>
      </w:tcPr>
    </w:tblStylePr>
    <w:tblStylePr w:type="firstCol">
      <w:rPr>
        <w:b/>
        <w:color w:val="2A4B71" w:themeColor="accent1" w:themeShade="94"/>
      </w:rPr>
      <w:tblPr>
        <w:tblLayout w:type="fixed"/>
      </w:tblPr>
    </w:tblStylePr>
    <w:tblStylePr w:type="lastCol">
      <w:rPr>
        <w:b/>
        <w:color w:val="2A4B71" w:themeColor="accent1" w:themeShade="94"/>
      </w:rPr>
      <w:tblPr>
        <w:tblLayout w:type="fixed"/>
      </w:tblPr>
    </w:tblStylePr>
    <w:tblStylePr w:type="band1Vert">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2A4B71" w:themeColor="accent1" w:themeShade="94"/>
        <w:sz w:val="22"/>
      </w:rPr>
      <w:tblPr>
        <w:tblLayout w:type="fixed"/>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7">
    <w:name w:val="List Table 6 Colorful - Accent 2"/>
    <w:basedOn w:val="39"/>
    <w:qFormat/>
    <w:uiPriority w:val="99"/>
    <w:pPr>
      <w:spacing w:after="0" w:line="240" w:lineRule="auto"/>
    </w:pPr>
    <w:tblPr>
      <w:tblBorders>
        <w:top w:val="single" w:color="D99795" w:themeColor="accent2" w:themeTint="97" w:sz="4" w:space="0"/>
        <w:bottom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blPr>
        <w:tblLayout w:type="fixed"/>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blLayout w:type="fixed"/>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Layout w:type="fixed"/>
      </w:tblPr>
    </w:tblStylePr>
    <w:tblStylePr w:type="lastCol">
      <w:rPr>
        <w:b/>
        <w:color w:val="DA9896"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8">
    <w:name w:val="List Table 6 Colorful - Accent 3"/>
    <w:basedOn w:val="39"/>
    <w:qFormat/>
    <w:uiPriority w:val="99"/>
    <w:pPr>
      <w:spacing w:after="0" w:line="240" w:lineRule="auto"/>
    </w:pPr>
    <w:tblPr>
      <w:tblBorders>
        <w:top w:val="single" w:color="C3D69C" w:themeColor="accent3" w:themeTint="98" w:sz="4" w:space="0"/>
        <w:bottom w:val="single" w:color="C3D69C" w:themeColor="accent3" w:themeTint="98" w:sz="4" w:space="0"/>
      </w:tblBorders>
      <w:tblLayout w:type="fixed"/>
    </w:tblPr>
    <w:tblStylePr w:type="firstRow">
      <w:rPr>
        <w:b/>
        <w:color w:val="C3D69B" w:themeColor="accent3" w:themeTint="99"/>
        <w14:textFill>
          <w14:solidFill>
            <w14:schemeClr w14:val="accent3">
              <w14:lumMod w14:val="60000"/>
              <w14:lumOff w14:val="40000"/>
            </w14:schemeClr>
          </w14:solidFill>
        </w14:textFill>
      </w:rPr>
      <w:tblPr>
        <w:tblLayout w:type="fixed"/>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blLayout w:type="fixed"/>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Layout w:type="fixed"/>
      </w:tblPr>
    </w:tblStylePr>
    <w:tblStylePr w:type="lastCol">
      <w:rPr>
        <w:b/>
        <w:color w:val="C3D69B" w:themeColor="accent3" w:themeTint="99"/>
        <w14:textFill>
          <w14:solidFill>
            <w14:schemeClr w14:val="accent3">
              <w14:lumMod w14:val="60000"/>
              <w14:lumOff w14:val="40000"/>
            </w14:schemeClr>
          </w14:solidFill>
        </w14:textFill>
      </w:rPr>
      <w:tblPr>
        <w:tblLayout w:type="fixed"/>
      </w:tblPr>
    </w:tblStylePr>
    <w:tblStylePr w:type="band1Vert">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9">
    <w:name w:val="List Table 6 Colorful - Accent 4"/>
    <w:basedOn w:val="39"/>
    <w:qFormat/>
    <w:uiPriority w:val="99"/>
    <w:pPr>
      <w:spacing w:after="0" w:line="240" w:lineRule="auto"/>
    </w:pPr>
    <w:tblPr>
      <w:tblBorders>
        <w:top w:val="single" w:color="B2A1C6" w:themeColor="accent4" w:themeTint="9A" w:sz="4" w:space="0"/>
        <w:bottom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blPr>
        <w:tblLayout w:type="fixed"/>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blLayout w:type="fixed"/>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Layout w:type="fixed"/>
      </w:tblPr>
    </w:tblStylePr>
    <w:tblStylePr w:type="lastCol">
      <w:rPr>
        <w:b/>
        <w:color w:val="B3A2C7"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0">
    <w:name w:val="List Table 6 Colorful - Accent 5"/>
    <w:basedOn w:val="39"/>
    <w:qFormat/>
    <w:uiPriority w:val="99"/>
    <w:pPr>
      <w:spacing w:after="0" w:line="240" w:lineRule="auto"/>
    </w:pPr>
    <w:tblPr>
      <w:tblBorders>
        <w:top w:val="single" w:color="92CCDC" w:themeColor="accent5" w:themeTint="9A" w:sz="4" w:space="0"/>
        <w:bottom w:val="single" w:color="92CCDC" w:themeColor="accent5" w:themeTint="9A" w:sz="4" w:space="0"/>
      </w:tblBorders>
      <w:tblLayout w:type="fixed"/>
    </w:tblPr>
    <w:tblStylePr w:type="firstRow">
      <w:rPr>
        <w:b/>
        <w:color w:val="93CDDD" w:themeColor="accent5" w:themeTint="99"/>
        <w14:textFill>
          <w14:solidFill>
            <w14:schemeClr w14:val="accent5">
              <w14:lumMod w14:val="60000"/>
              <w14:lumOff w14:val="40000"/>
            </w14:schemeClr>
          </w14:solidFill>
        </w14:textFill>
      </w:rPr>
      <w:tblPr>
        <w:tblLayout w:type="fixed"/>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blLayout w:type="fixed"/>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Layout w:type="fixed"/>
      </w:tblPr>
    </w:tblStylePr>
    <w:tblStylePr w:type="lastCol">
      <w:rPr>
        <w:b/>
        <w:color w:val="93CDDD" w:themeColor="accent5" w:themeTint="99"/>
        <w14:textFill>
          <w14:solidFill>
            <w14:schemeClr w14:val="accent5">
              <w14:lumMod w14:val="60000"/>
              <w14:lumOff w14:val="40000"/>
            </w14:schemeClr>
          </w14:solidFill>
        </w14:textFill>
      </w:rPr>
      <w:tblPr>
        <w:tblLayout w:type="fixed"/>
      </w:tblPr>
    </w:tblStylePr>
    <w:tblStylePr w:type="band1Vert">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1">
    <w:name w:val="List Table 6 Colorful - Accent 6"/>
    <w:basedOn w:val="39"/>
    <w:qFormat/>
    <w:uiPriority w:val="99"/>
    <w:pPr>
      <w:spacing w:after="0" w:line="240" w:lineRule="auto"/>
    </w:pPr>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Tint="99"/>
        <w14:textFill>
          <w14:solidFill>
            <w14:schemeClr w14:val="accent6">
              <w14:lumMod w14:val="60000"/>
              <w14:lumOff w14:val="40000"/>
            </w14:schemeClr>
          </w14:solidFill>
        </w14:textFill>
      </w:rPr>
      <w:tblPr>
        <w:tblLayout w:type="fixed"/>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blLayout w:type="fixed"/>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Layout w:type="fixed"/>
      </w:tblPr>
    </w:tblStylePr>
    <w:tblStylePr w:type="lastCol">
      <w:rPr>
        <w:b/>
        <w:color w:val="FAC090" w:themeColor="accent6" w:themeTint="99"/>
        <w14:textFill>
          <w14:solidFill>
            <w14:schemeClr w14:val="accent6">
              <w14:lumMod w14:val="60000"/>
              <w14:lumOff w14:val="40000"/>
            </w14:schemeClr>
          </w14:solidFill>
        </w14:textFill>
      </w:rPr>
      <w:tblPr>
        <w:tblLayout w:type="fixed"/>
      </w:tblPr>
    </w:tblStylePr>
    <w:tblStylePr w:type="band1Vert">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2">
    <w:name w:val="List Table 7 Colorful"/>
    <w:basedOn w:val="39"/>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3">
    <w:name w:val="List Table 7 Colorful - Accent 1"/>
    <w:basedOn w:val="39"/>
    <w:qFormat/>
    <w:uiPriority w:val="99"/>
    <w:pPr>
      <w:spacing w:after="0" w:line="240" w:lineRule="auto"/>
    </w:pPr>
    <w:tblPr>
      <w:tblBorders>
        <w:right w:val="single" w:color="4F81BD" w:themeColor="accent1" w:sz="4" w:space="0"/>
      </w:tblBorders>
      <w:tblLayout w:type="fixed"/>
    </w:tblPr>
    <w:tblStylePr w:type="firstRow">
      <w:rPr>
        <w:rFonts w:ascii="Arial" w:hAnsi="Arial"/>
        <w:i/>
        <w:color w:val="2A4B71" w:themeColor="accent1" w:themeShade="94"/>
        <w:sz w:val="22"/>
      </w:rPr>
      <w:tblPr>
        <w:tblLayout w:type="fixed"/>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blLayout w:type="fixed"/>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blLayout w:type="fixed"/>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blLayout w:type="fixed"/>
      </w:tblPr>
      <w:tcPr>
        <w:tcBorders>
          <w:top w:val="nil"/>
          <w:left w:val="single" w:color="4F81BD" w:themeColor="accent1" w:sz="4" w:space="0"/>
          <w:bottom w:val="nil"/>
          <w:right w:val="nil"/>
        </w:tcBorders>
        <w:shd w:val="clear" w:color="FFFFFF" w:fill="auto"/>
      </w:tcPr>
    </w:tblStylePr>
    <w:tblStylePr w:type="band1Vert">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2A4B71" w:themeColor="accent1" w:themeShade="94"/>
        <w:sz w:val="22"/>
      </w:rPr>
      <w:tblPr>
        <w:tblLayout w:type="fixed"/>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4">
    <w:name w:val="List Table 7 Colorful - Accent 2"/>
    <w:basedOn w:val="39"/>
    <w:qFormat/>
    <w:uiPriority w:val="99"/>
    <w:pPr>
      <w:spacing w:after="0" w:line="240" w:lineRule="auto"/>
    </w:pPr>
    <w:tblPr>
      <w:tblBorders>
        <w:right w:val="single" w:color="D99795" w:themeColor="accent2" w:themeTint="97" w:sz="4" w:space="0"/>
      </w:tblBorders>
      <w:tblLayout w:type="fixed"/>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single" w:color="D99795" w:themeColor="accent2" w:themeTint="97" w:sz="4" w:space="0"/>
          <w:bottom w:val="nil"/>
          <w:right w:val="nil"/>
        </w:tcBorders>
        <w:shd w:val="clear" w:color="FFFFFF" w:fill="auto"/>
      </w:tcPr>
    </w:tblStylePr>
    <w:tblStylePr w:type="band1Vert">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5">
    <w:name w:val="List Table 7 Colorful - Accent 3"/>
    <w:basedOn w:val="39"/>
    <w:qFormat/>
    <w:uiPriority w:val="99"/>
    <w:pPr>
      <w:spacing w:after="0" w:line="240" w:lineRule="auto"/>
    </w:pPr>
    <w:tblPr>
      <w:tblBorders>
        <w:right w:val="single" w:color="C3D69C" w:themeColor="accent3" w:themeTint="98" w:sz="4" w:space="0"/>
      </w:tblBorders>
      <w:tblLayout w:type="fixed"/>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nil"/>
          <w:left w:val="single" w:color="C3D69C" w:themeColor="accent3" w:themeTint="98" w:sz="4" w:space="0"/>
          <w:bottom w:val="nil"/>
          <w:right w:val="nil"/>
        </w:tcBorders>
        <w:shd w:val="clear" w:color="FFFFFF" w:fill="auto"/>
      </w:tcPr>
    </w:tblStylePr>
    <w:tblStylePr w:type="band1Vert">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6">
    <w:name w:val="List Table 7 Colorful - Accent 4"/>
    <w:basedOn w:val="39"/>
    <w:qFormat/>
    <w:uiPriority w:val="99"/>
    <w:pPr>
      <w:spacing w:after="0" w:line="240" w:lineRule="auto"/>
    </w:pPr>
    <w:tblPr>
      <w:tblBorders>
        <w:right w:val="single" w:color="B2A1C6" w:themeColor="accent4" w:themeTint="9A" w:sz="4" w:space="0"/>
      </w:tblBorders>
      <w:tblLayout w:type="fixed"/>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single" w:color="B2A1C6" w:themeColor="accent4" w:themeTint="9A" w:sz="4" w:space="0"/>
          <w:bottom w:val="nil"/>
          <w:right w:val="nil"/>
        </w:tcBorders>
        <w:shd w:val="clear" w:color="FFFFFF" w:fill="auto"/>
      </w:tcPr>
    </w:tblStylePr>
    <w:tblStylePr w:type="band1Vert">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7">
    <w:name w:val="List Table 7 Colorful - Accent 5"/>
    <w:basedOn w:val="39"/>
    <w:qFormat/>
    <w:uiPriority w:val="99"/>
    <w:pPr>
      <w:spacing w:after="0" w:line="240" w:lineRule="auto"/>
    </w:pPr>
    <w:tblPr>
      <w:tblBorders>
        <w:right w:val="single" w:color="92CCDC" w:themeColor="accent5" w:themeTint="9A" w:sz="4" w:space="0"/>
      </w:tblBorders>
      <w:tblLayout w:type="fixed"/>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nil"/>
          <w:left w:val="single" w:color="92CCDC" w:themeColor="accent5" w:themeTint="9A" w:sz="4" w:space="0"/>
          <w:bottom w:val="nil"/>
          <w:right w:val="nil"/>
        </w:tcBorders>
        <w:shd w:val="clear" w:color="FFFFFF" w:fill="auto"/>
      </w:tcPr>
    </w:tblStylePr>
    <w:tblStylePr w:type="band1Vert">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8">
    <w:name w:val="List Table 7 Colorful - Accent 6"/>
    <w:basedOn w:val="39"/>
    <w:qFormat/>
    <w:uiPriority w:val="99"/>
    <w:pPr>
      <w:spacing w:after="0" w:line="240" w:lineRule="auto"/>
    </w:pPr>
    <w:tblPr>
      <w:tblBorders>
        <w:right w:val="single" w:color="FAC090" w:themeColor="accent6" w:themeTint="98" w:sz="4" w:space="0"/>
      </w:tblBorders>
      <w:tblLayout w:type="fixed"/>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nil"/>
          <w:left w:val="single" w:color="FAC090" w:themeColor="accent6" w:themeTint="98" w:sz="4" w:space="0"/>
          <w:bottom w:val="nil"/>
          <w:right w:val="nil"/>
        </w:tcBorders>
        <w:shd w:val="clear" w:color="FFFFFF" w:fill="auto"/>
      </w:tcPr>
    </w:tblStylePr>
    <w:tblStylePr w:type="band1Vert">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9">
    <w:name w:val="Lined - Accent"/>
    <w:basedOn w:val="39"/>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0">
    <w:name w:val="Lined - Accent 1"/>
    <w:basedOn w:val="39"/>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5D8BC2" w:themeColor="accent1" w:themeTint="EA" w:fill="5D8BC2" w:themeFill="accent1" w:themeFillTint="EA"/>
      </w:tcPr>
    </w:tblStylePr>
    <w:tblStylePr w:type="lastRow">
      <w:rPr>
        <w:rFonts w:ascii="Arial" w:hAnsi="Arial"/>
        <w:color w:val="F2F2F2"/>
        <w:sz w:val="22"/>
      </w:rPr>
      <w:tblPr>
        <w:tblLayout w:type="fixed"/>
      </w:tblPr>
      <w:tcPr>
        <w:shd w:val="clear" w:color="5D8BC2" w:themeColor="accent1" w:themeTint="EA" w:fill="5D8BC2" w:themeFill="accent1" w:themeFillTint="EA"/>
      </w:tcPr>
    </w:tblStylePr>
    <w:tblStylePr w:type="firstCol">
      <w:rPr>
        <w:rFonts w:ascii="Arial" w:hAnsi="Arial"/>
        <w:color w:val="F2F2F2"/>
        <w:sz w:val="22"/>
      </w:rPr>
      <w:tblPr>
        <w:tblLayout w:type="fixed"/>
      </w:tblPr>
      <w:tcPr>
        <w:shd w:val="clear" w:color="5D8BC2" w:themeColor="accent1" w:themeTint="EA" w:fill="5D8BC2" w:themeFill="accent1" w:themeFillTint="EA"/>
      </w:tcPr>
    </w:tblStylePr>
    <w:tblStylePr w:type="lastCol">
      <w:rPr>
        <w:rFonts w:ascii="Arial" w:hAnsi="Arial"/>
        <w:color w:val="F2F2F2"/>
        <w:sz w:val="22"/>
      </w:rPr>
      <w:tblPr>
        <w:tblLayout w:type="fixed"/>
      </w:tblPr>
      <w:tcPr>
        <w:shd w:val="clear" w:color="5D8BC2" w:themeColor="accent1" w:themeTint="EA" w:fill="5D8BC2"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7D7EA" w:themeColor="accent1" w:themeTint="50" w:fill="C7D7EA"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7D7EA" w:themeColor="accent1" w:themeTint="50" w:fill="C7D7EA"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1">
    <w:name w:val="Lined - Accent 2"/>
    <w:basedOn w:val="39"/>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D99795" w:themeColor="accent2" w:themeTint="97" w:fill="D99795" w:themeFill="accent2" w:themeFillTint="97"/>
      </w:tcPr>
    </w:tblStylePr>
    <w:tblStylePr w:type="lastRow">
      <w:rPr>
        <w:rFonts w:ascii="Arial" w:hAnsi="Arial"/>
        <w:color w:val="F2F2F2"/>
        <w:sz w:val="22"/>
      </w:rPr>
      <w:tblPr>
        <w:tblLayout w:type="fixed"/>
      </w:tblPr>
      <w:tcPr>
        <w:shd w:val="clear" w:color="D99795" w:themeColor="accent2" w:themeTint="97" w:fill="D99795" w:themeFill="accent2" w:themeFillTint="97"/>
      </w:tcPr>
    </w:tblStylePr>
    <w:tblStylePr w:type="firstCol">
      <w:rPr>
        <w:rFonts w:ascii="Arial" w:hAnsi="Arial"/>
        <w:color w:val="F2F2F2"/>
        <w:sz w:val="22"/>
      </w:rPr>
      <w:tblPr>
        <w:tblLayout w:type="fixed"/>
      </w:tblPr>
      <w:tcPr>
        <w:shd w:val="clear" w:color="D99795" w:themeColor="accent2" w:themeTint="97" w:fill="D99795" w:themeFill="accent2" w:themeFillTint="97"/>
      </w:tcPr>
    </w:tblStylePr>
    <w:tblStylePr w:type="lastCol">
      <w:rPr>
        <w:rFonts w:ascii="Arial" w:hAnsi="Arial"/>
        <w:color w:val="F2F2F2"/>
        <w:sz w:val="22"/>
      </w:rPr>
      <w:tblPr>
        <w:tblLayout w:type="fixed"/>
      </w:tblPr>
      <w:tcPr>
        <w:shd w:val="clear" w:color="D99795" w:themeColor="accent2" w:themeTint="97" w:fill="D9979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2DCDC" w:themeColor="accent2" w:themeTint="32" w:fill="F2DCDC"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2DCDC" w:themeColor="accent2" w:themeTint="32" w:fill="F2DCDC"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2">
    <w:name w:val="Lined - Accent 3"/>
    <w:basedOn w:val="39"/>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9BBB59" w:themeColor="accent3" w:themeTint="FE" w:fill="9BBB59" w:themeFill="accent3" w:themeFillTint="FE"/>
      </w:tcPr>
    </w:tblStylePr>
    <w:tblStylePr w:type="lastRow">
      <w:rPr>
        <w:rFonts w:ascii="Arial" w:hAnsi="Arial"/>
        <w:color w:val="F2F2F2"/>
        <w:sz w:val="22"/>
      </w:rPr>
      <w:tblPr>
        <w:tblLayout w:type="fixed"/>
      </w:tblPr>
      <w:tcPr>
        <w:shd w:val="clear" w:color="9BBB59" w:themeColor="accent3" w:themeTint="FE" w:fill="9BBB59" w:themeFill="accent3" w:themeFillTint="FE"/>
      </w:tcPr>
    </w:tblStylePr>
    <w:tblStylePr w:type="firstCol">
      <w:rPr>
        <w:rFonts w:ascii="Arial" w:hAnsi="Arial"/>
        <w:color w:val="F2F2F2"/>
        <w:sz w:val="22"/>
      </w:rPr>
      <w:tblPr>
        <w:tblLayout w:type="fixed"/>
      </w:tblPr>
      <w:tcPr>
        <w:shd w:val="clear" w:color="9BBB59" w:themeColor="accent3" w:themeTint="FE" w:fill="9BBB59" w:themeFill="accent3" w:themeFillTint="FE"/>
      </w:tcPr>
    </w:tblStylePr>
    <w:tblStylePr w:type="lastCol">
      <w:rPr>
        <w:rFonts w:ascii="Arial" w:hAnsi="Arial"/>
        <w:color w:val="F2F2F2"/>
        <w:sz w:val="22"/>
      </w:rPr>
      <w:tblPr>
        <w:tblLayout w:type="fixed"/>
      </w:tblPr>
      <w:tcPr>
        <w:shd w:val="clear" w:color="9BBB59" w:themeColor="accent3" w:themeTint="FE" w:fill="9BBB59"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AF1DD" w:themeColor="accent3" w:themeTint="34" w:fill="EAF1DD"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AF1DD" w:themeColor="accent3" w:themeTint="34" w:fill="EAF1DD"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3">
    <w:name w:val="Lined - Accent 4"/>
    <w:basedOn w:val="39"/>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B2A1C6" w:themeColor="accent4" w:themeTint="9A" w:fill="B2A1C6" w:themeFill="accent4" w:themeFillTint="9A"/>
      </w:tcPr>
    </w:tblStylePr>
    <w:tblStylePr w:type="lastRow">
      <w:rPr>
        <w:rFonts w:ascii="Arial" w:hAnsi="Arial"/>
        <w:color w:val="F2F2F2"/>
        <w:sz w:val="22"/>
      </w:rPr>
      <w:tblPr>
        <w:tblLayout w:type="fixed"/>
      </w:tblPr>
      <w:tcPr>
        <w:shd w:val="clear" w:color="B2A1C6" w:themeColor="accent4" w:themeTint="9A" w:fill="B2A1C6" w:themeFill="accent4" w:themeFillTint="9A"/>
      </w:tcPr>
    </w:tblStylePr>
    <w:tblStylePr w:type="firstCol">
      <w:rPr>
        <w:rFonts w:ascii="Arial" w:hAnsi="Arial"/>
        <w:color w:val="F2F2F2"/>
        <w:sz w:val="22"/>
      </w:rPr>
      <w:tblPr>
        <w:tblLayout w:type="fixed"/>
      </w:tblPr>
      <w:tcPr>
        <w:shd w:val="clear" w:color="B2A1C6" w:themeColor="accent4" w:themeTint="9A" w:fill="B2A1C6" w:themeFill="accent4" w:themeFillTint="9A"/>
      </w:tcPr>
    </w:tblStylePr>
    <w:tblStylePr w:type="lastCol">
      <w:rPr>
        <w:rFonts w:ascii="Arial" w:hAnsi="Arial"/>
        <w:color w:val="F2F2F2"/>
        <w:sz w:val="22"/>
      </w:rPr>
      <w:tblPr>
        <w:tblLayout w:type="fixed"/>
      </w:tblPr>
      <w:tcPr>
        <w:shd w:val="clear" w:color="B2A1C6" w:themeColor="accent4" w:themeTint="9A" w:fill="B2A1C6"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5DFEC" w:themeColor="accent4" w:themeTint="34" w:fill="E5DFEC"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5DFEC" w:themeColor="accent4" w:themeTint="34" w:fill="E5DFEC"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4">
    <w:name w:val="Lined - Accent 5"/>
    <w:basedOn w:val="39"/>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4BACC6" w:themeColor="accent5" w:fill="4BACC6" w:themeFill="accent5"/>
      </w:tcPr>
    </w:tblStylePr>
    <w:tblStylePr w:type="lastRow">
      <w:rPr>
        <w:rFonts w:ascii="Arial" w:hAnsi="Arial"/>
        <w:color w:val="F2F2F2"/>
        <w:sz w:val="22"/>
      </w:rPr>
      <w:tblPr>
        <w:tblLayout w:type="fixed"/>
      </w:tblPr>
      <w:tcPr>
        <w:shd w:val="clear" w:color="4BACC6" w:themeColor="accent5" w:fill="4BACC6" w:themeFill="accent5"/>
      </w:tcPr>
    </w:tblStylePr>
    <w:tblStylePr w:type="firstCol">
      <w:rPr>
        <w:rFonts w:ascii="Arial" w:hAnsi="Arial"/>
        <w:color w:val="F2F2F2"/>
        <w:sz w:val="22"/>
      </w:rPr>
      <w:tblPr>
        <w:tblLayout w:type="fixed"/>
      </w:tblPr>
      <w:tcPr>
        <w:shd w:val="clear" w:color="4BACC6" w:themeColor="accent5" w:fill="4BACC6" w:themeFill="accent5"/>
      </w:tcPr>
    </w:tblStylePr>
    <w:tblStylePr w:type="lastCol">
      <w:rPr>
        <w:rFonts w:ascii="Arial" w:hAnsi="Arial"/>
        <w:color w:val="F2F2F2"/>
        <w:sz w:val="22"/>
      </w:rPr>
      <w:tblPr>
        <w:tblLayout w:type="fixed"/>
      </w:tblPr>
      <w:tcPr>
        <w:shd w:val="clear" w:color="4BACC6" w:themeColor="accent5" w:fill="4BACC6"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AEEF3" w:themeColor="accent5" w:themeTint="34" w:fill="DAEEF3"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AEEF3" w:themeColor="accent5" w:themeTint="34" w:fill="DAEEF3"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5">
    <w:name w:val="Lined - Accent 6"/>
    <w:basedOn w:val="39"/>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F79646" w:themeColor="accent6" w:fill="F79646" w:themeFill="accent6"/>
      </w:tcPr>
    </w:tblStylePr>
    <w:tblStylePr w:type="lastRow">
      <w:rPr>
        <w:rFonts w:ascii="Arial" w:hAnsi="Arial"/>
        <w:color w:val="F2F2F2"/>
        <w:sz w:val="22"/>
      </w:rPr>
      <w:tblPr>
        <w:tblLayout w:type="fixed"/>
      </w:tblPr>
      <w:tcPr>
        <w:shd w:val="clear" w:color="F79646" w:themeColor="accent6" w:fill="F79646" w:themeFill="accent6"/>
      </w:tcPr>
    </w:tblStylePr>
    <w:tblStylePr w:type="firstCol">
      <w:rPr>
        <w:rFonts w:ascii="Arial" w:hAnsi="Arial"/>
        <w:color w:val="F2F2F2"/>
        <w:sz w:val="22"/>
      </w:rPr>
      <w:tblPr>
        <w:tblLayout w:type="fixed"/>
      </w:tblPr>
      <w:tcPr>
        <w:shd w:val="clear" w:color="F79646" w:themeColor="accent6" w:fill="F79646" w:themeFill="accent6"/>
      </w:tcPr>
    </w:tblStylePr>
    <w:tblStylePr w:type="lastCol">
      <w:rPr>
        <w:rFonts w:ascii="Arial" w:hAnsi="Arial"/>
        <w:color w:val="F2F2F2"/>
        <w:sz w:val="22"/>
      </w:rPr>
      <w:tblPr>
        <w:tblLayout w:type="fixed"/>
      </w:tblPr>
      <w:tcPr>
        <w:shd w:val="clear" w:color="F79646" w:themeColor="accent6" w:fill="F79646"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DE9D9" w:themeColor="accent6" w:themeTint="34" w:fill="FDE9D9"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DE9D9" w:themeColor="accent6" w:themeTint="34" w:fill="FDE9D9"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6">
    <w:name w:val="Bordered &amp; Lined - Accent"/>
    <w:basedOn w:val="3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7">
    <w:name w:val="Bordered &amp; Lined - Accent 1"/>
    <w:basedOn w:val="39"/>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blPr>
        <w:tblLayout w:type="fixed"/>
      </w:tblPr>
      <w:tcPr>
        <w:shd w:val="clear" w:color="5D8BC2" w:themeColor="accent1" w:themeTint="EA" w:fill="5D8BC2" w:themeFill="accent1" w:themeFillTint="EA"/>
      </w:tcPr>
    </w:tblStylePr>
    <w:tblStylePr w:type="lastRow">
      <w:rPr>
        <w:rFonts w:ascii="Arial" w:hAnsi="Arial"/>
        <w:color w:val="F2F2F2"/>
        <w:sz w:val="22"/>
      </w:rPr>
      <w:tblPr>
        <w:tblLayout w:type="fixed"/>
      </w:tblPr>
      <w:tcPr>
        <w:shd w:val="clear" w:color="5D8BC2" w:themeColor="accent1" w:themeTint="EA" w:fill="5D8BC2" w:themeFill="accent1" w:themeFillTint="EA"/>
      </w:tcPr>
    </w:tblStylePr>
    <w:tblStylePr w:type="firstCol">
      <w:rPr>
        <w:rFonts w:ascii="Arial" w:hAnsi="Arial"/>
        <w:color w:val="F2F2F2"/>
        <w:sz w:val="22"/>
      </w:rPr>
      <w:tblPr>
        <w:tblLayout w:type="fixed"/>
      </w:tblPr>
      <w:tcPr>
        <w:shd w:val="clear" w:color="5D8BC2" w:themeColor="accent1" w:themeTint="EA" w:fill="5D8BC2" w:themeFill="accent1" w:themeFillTint="EA"/>
      </w:tcPr>
    </w:tblStylePr>
    <w:tblStylePr w:type="lastCol">
      <w:rPr>
        <w:rFonts w:ascii="Arial" w:hAnsi="Arial"/>
        <w:color w:val="F2F2F2"/>
        <w:sz w:val="22"/>
      </w:rPr>
      <w:tblPr>
        <w:tblLayout w:type="fixed"/>
      </w:tblPr>
      <w:tcPr>
        <w:shd w:val="clear" w:color="5D8BC2" w:themeColor="accent1" w:themeTint="EA" w:fill="5D8BC2"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7D7EA" w:themeColor="accent1" w:themeTint="50" w:fill="C7D7EA"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7D7EA" w:themeColor="accent1" w:themeTint="50" w:fill="C7D7EA"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8">
    <w:name w:val="Bordered &amp; Lined - Accent 2"/>
    <w:basedOn w:val="39"/>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blPr>
        <w:tblLayout w:type="fixed"/>
      </w:tblPr>
      <w:tcPr>
        <w:shd w:val="clear" w:color="D99795" w:themeColor="accent2" w:themeTint="97" w:fill="D99795" w:themeFill="accent2" w:themeFillTint="97"/>
      </w:tcPr>
    </w:tblStylePr>
    <w:tblStylePr w:type="lastRow">
      <w:rPr>
        <w:rFonts w:ascii="Arial" w:hAnsi="Arial"/>
        <w:color w:val="F2F2F2"/>
        <w:sz w:val="22"/>
      </w:rPr>
      <w:tblPr>
        <w:tblLayout w:type="fixed"/>
      </w:tblPr>
      <w:tcPr>
        <w:shd w:val="clear" w:color="D99795" w:themeColor="accent2" w:themeTint="97" w:fill="D99795" w:themeFill="accent2" w:themeFillTint="97"/>
      </w:tcPr>
    </w:tblStylePr>
    <w:tblStylePr w:type="firstCol">
      <w:rPr>
        <w:rFonts w:ascii="Arial" w:hAnsi="Arial"/>
        <w:color w:val="F2F2F2"/>
        <w:sz w:val="22"/>
      </w:rPr>
      <w:tblPr>
        <w:tblLayout w:type="fixed"/>
      </w:tblPr>
      <w:tcPr>
        <w:shd w:val="clear" w:color="D99795" w:themeColor="accent2" w:themeTint="97" w:fill="D99795" w:themeFill="accent2" w:themeFillTint="97"/>
      </w:tcPr>
    </w:tblStylePr>
    <w:tblStylePr w:type="lastCol">
      <w:rPr>
        <w:rFonts w:ascii="Arial" w:hAnsi="Arial"/>
        <w:color w:val="F2F2F2"/>
        <w:sz w:val="22"/>
      </w:rPr>
      <w:tblPr>
        <w:tblLayout w:type="fixed"/>
      </w:tblPr>
      <w:tcPr>
        <w:shd w:val="clear" w:color="D99795" w:themeColor="accent2" w:themeTint="97" w:fill="D9979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2DCDC" w:themeColor="accent2" w:themeTint="32" w:fill="F2DCDC"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2DCDC" w:themeColor="accent2" w:themeTint="32" w:fill="F2DCDC"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9">
    <w:name w:val="Bordered &amp; Lined - Accent 3"/>
    <w:basedOn w:val="39"/>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blPr>
        <w:tblLayout w:type="fixed"/>
      </w:tblPr>
      <w:tcPr>
        <w:shd w:val="clear" w:color="9BBB59" w:themeColor="accent3" w:themeTint="FE" w:fill="9BBB59" w:themeFill="accent3" w:themeFillTint="FE"/>
      </w:tcPr>
    </w:tblStylePr>
    <w:tblStylePr w:type="lastRow">
      <w:rPr>
        <w:rFonts w:ascii="Arial" w:hAnsi="Arial"/>
        <w:color w:val="F2F2F2"/>
        <w:sz w:val="22"/>
      </w:rPr>
      <w:tblPr>
        <w:tblLayout w:type="fixed"/>
      </w:tblPr>
      <w:tcPr>
        <w:shd w:val="clear" w:color="9BBB59" w:themeColor="accent3" w:themeTint="FE" w:fill="9BBB59" w:themeFill="accent3" w:themeFillTint="FE"/>
      </w:tcPr>
    </w:tblStylePr>
    <w:tblStylePr w:type="firstCol">
      <w:rPr>
        <w:rFonts w:ascii="Arial" w:hAnsi="Arial"/>
        <w:color w:val="F2F2F2"/>
        <w:sz w:val="22"/>
      </w:rPr>
      <w:tblPr>
        <w:tblLayout w:type="fixed"/>
      </w:tblPr>
      <w:tcPr>
        <w:shd w:val="clear" w:color="9BBB59" w:themeColor="accent3" w:themeTint="FE" w:fill="9BBB59" w:themeFill="accent3" w:themeFillTint="FE"/>
      </w:tcPr>
    </w:tblStylePr>
    <w:tblStylePr w:type="lastCol">
      <w:rPr>
        <w:rFonts w:ascii="Arial" w:hAnsi="Arial"/>
        <w:color w:val="F2F2F2"/>
        <w:sz w:val="22"/>
      </w:rPr>
      <w:tblPr>
        <w:tblLayout w:type="fixed"/>
      </w:tblPr>
      <w:tcPr>
        <w:shd w:val="clear" w:color="9BBB59" w:themeColor="accent3" w:themeTint="FE" w:fill="9BBB59"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AF1DD" w:themeColor="accent3" w:themeTint="34" w:fill="EAF1DD"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AF1DD" w:themeColor="accent3" w:themeTint="34" w:fill="EAF1DD"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0">
    <w:name w:val="Bordered &amp; Lined - Accent 4"/>
    <w:basedOn w:val="39"/>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blPr>
        <w:tblLayout w:type="fixed"/>
      </w:tblPr>
      <w:tcPr>
        <w:shd w:val="clear" w:color="B2A1C6" w:themeColor="accent4" w:themeTint="9A" w:fill="B2A1C6" w:themeFill="accent4" w:themeFillTint="9A"/>
      </w:tcPr>
    </w:tblStylePr>
    <w:tblStylePr w:type="lastRow">
      <w:rPr>
        <w:rFonts w:ascii="Arial" w:hAnsi="Arial"/>
        <w:color w:val="F2F2F2"/>
        <w:sz w:val="22"/>
      </w:rPr>
      <w:tblPr>
        <w:tblLayout w:type="fixed"/>
      </w:tblPr>
      <w:tcPr>
        <w:shd w:val="clear" w:color="B2A1C6" w:themeColor="accent4" w:themeTint="9A" w:fill="B2A1C6" w:themeFill="accent4" w:themeFillTint="9A"/>
      </w:tcPr>
    </w:tblStylePr>
    <w:tblStylePr w:type="firstCol">
      <w:rPr>
        <w:rFonts w:ascii="Arial" w:hAnsi="Arial"/>
        <w:color w:val="F2F2F2"/>
        <w:sz w:val="22"/>
      </w:rPr>
      <w:tblPr>
        <w:tblLayout w:type="fixed"/>
      </w:tblPr>
      <w:tcPr>
        <w:shd w:val="clear" w:color="B2A1C6" w:themeColor="accent4" w:themeTint="9A" w:fill="B2A1C6" w:themeFill="accent4" w:themeFillTint="9A"/>
      </w:tcPr>
    </w:tblStylePr>
    <w:tblStylePr w:type="lastCol">
      <w:rPr>
        <w:rFonts w:ascii="Arial" w:hAnsi="Arial"/>
        <w:color w:val="F2F2F2"/>
        <w:sz w:val="22"/>
      </w:rPr>
      <w:tblPr>
        <w:tblLayout w:type="fixed"/>
      </w:tblPr>
      <w:tcPr>
        <w:shd w:val="clear" w:color="B2A1C6" w:themeColor="accent4" w:themeTint="9A" w:fill="B2A1C6"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5DFEC" w:themeColor="accent4" w:themeTint="34" w:fill="E5DFEC"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5DFEC" w:themeColor="accent4" w:themeTint="34" w:fill="E5DFEC"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1">
    <w:name w:val="Bordered &amp; Lined - Accent 5"/>
    <w:basedOn w:val="39"/>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blPr>
        <w:tblLayout w:type="fixed"/>
      </w:tblPr>
      <w:tcPr>
        <w:shd w:val="clear" w:color="4BACC6" w:themeColor="accent5" w:fill="4BACC6" w:themeFill="accent5"/>
      </w:tcPr>
    </w:tblStylePr>
    <w:tblStylePr w:type="lastRow">
      <w:rPr>
        <w:rFonts w:ascii="Arial" w:hAnsi="Arial"/>
        <w:color w:val="F2F2F2"/>
        <w:sz w:val="22"/>
      </w:rPr>
      <w:tblPr>
        <w:tblLayout w:type="fixed"/>
      </w:tblPr>
      <w:tcPr>
        <w:shd w:val="clear" w:color="4BACC6" w:themeColor="accent5" w:fill="4BACC6" w:themeFill="accent5"/>
      </w:tcPr>
    </w:tblStylePr>
    <w:tblStylePr w:type="firstCol">
      <w:rPr>
        <w:rFonts w:ascii="Arial" w:hAnsi="Arial"/>
        <w:color w:val="F2F2F2"/>
        <w:sz w:val="22"/>
      </w:rPr>
      <w:tblPr>
        <w:tblLayout w:type="fixed"/>
      </w:tblPr>
      <w:tcPr>
        <w:shd w:val="clear" w:color="4BACC6" w:themeColor="accent5" w:fill="4BACC6" w:themeFill="accent5"/>
      </w:tcPr>
    </w:tblStylePr>
    <w:tblStylePr w:type="lastCol">
      <w:rPr>
        <w:rFonts w:ascii="Arial" w:hAnsi="Arial"/>
        <w:color w:val="F2F2F2"/>
        <w:sz w:val="22"/>
      </w:rPr>
      <w:tblPr>
        <w:tblLayout w:type="fixed"/>
      </w:tblPr>
      <w:tcPr>
        <w:shd w:val="clear" w:color="4BACC6" w:themeColor="accent5" w:fill="4BACC6"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AEEF3" w:themeColor="accent5" w:themeTint="34" w:fill="DAEEF3"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AEEF3" w:themeColor="accent5" w:themeTint="34" w:fill="DAEEF3"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2">
    <w:name w:val="Bordered &amp; Lined - Accent 6"/>
    <w:basedOn w:val="39"/>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blPr>
        <w:tblLayout w:type="fixed"/>
      </w:tblPr>
      <w:tcPr>
        <w:shd w:val="clear" w:color="F79646" w:themeColor="accent6" w:fill="F79646" w:themeFill="accent6"/>
      </w:tcPr>
    </w:tblStylePr>
    <w:tblStylePr w:type="lastRow">
      <w:rPr>
        <w:rFonts w:ascii="Arial" w:hAnsi="Arial"/>
        <w:color w:val="F2F2F2"/>
        <w:sz w:val="22"/>
      </w:rPr>
      <w:tblPr>
        <w:tblLayout w:type="fixed"/>
      </w:tblPr>
      <w:tcPr>
        <w:shd w:val="clear" w:color="F79646" w:themeColor="accent6" w:fill="F79646" w:themeFill="accent6"/>
      </w:tcPr>
    </w:tblStylePr>
    <w:tblStylePr w:type="firstCol">
      <w:rPr>
        <w:rFonts w:ascii="Arial" w:hAnsi="Arial"/>
        <w:color w:val="F2F2F2"/>
        <w:sz w:val="22"/>
      </w:rPr>
      <w:tblPr>
        <w:tblLayout w:type="fixed"/>
      </w:tblPr>
      <w:tcPr>
        <w:shd w:val="clear" w:color="F79646" w:themeColor="accent6" w:fill="F79646" w:themeFill="accent6"/>
      </w:tcPr>
    </w:tblStylePr>
    <w:tblStylePr w:type="lastCol">
      <w:rPr>
        <w:rFonts w:ascii="Arial" w:hAnsi="Arial"/>
        <w:color w:val="F2F2F2"/>
        <w:sz w:val="22"/>
      </w:rPr>
      <w:tblPr>
        <w:tblLayout w:type="fixed"/>
      </w:tblPr>
      <w:tcPr>
        <w:shd w:val="clear" w:color="F79646" w:themeColor="accent6" w:fill="F79646"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DE9D9" w:themeColor="accent6" w:themeTint="34" w:fill="FDE9D9"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DE9D9" w:themeColor="accent6" w:themeTint="34" w:fill="FDE9D9"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3">
    <w:name w:val="Bordered"/>
    <w:basedOn w:val="39"/>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blPr>
        <w:tblLayout w:type="fixed"/>
      </w:tblPr>
      <w:tcPr>
        <w:tcBorders>
          <w:bottom w:val="single" w:color="7E7E7E" w:themeColor="text1" w:themeTint="80" w:sz="12" w:space="0"/>
        </w:tcBorders>
      </w:tcPr>
    </w:tblStylePr>
    <w:tblStylePr w:type="lastRow">
      <w:rPr>
        <w:rFonts w:ascii="Arial" w:hAnsi="Arial"/>
        <w:color w:val="404040"/>
        <w:sz w:val="22"/>
      </w:rPr>
      <w:tblPr>
        <w:tblLayout w:type="fixed"/>
      </w:tblPr>
      <w:tcPr>
        <w:tcBorders>
          <w:top w:val="single" w:color="7E7E7E" w:themeColor="text1" w:themeTint="80"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7E7E7E" w:themeColor="text1" w:themeTint="80"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4">
    <w:name w:val="Bordered - Accent 1"/>
    <w:basedOn w:val="39"/>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blPr>
        <w:tblLayout w:type="fixed"/>
      </w:tblPr>
      <w:tcPr>
        <w:tcBorders>
          <w:bottom w:val="single" w:color="4F81BD" w:themeColor="accent1" w:sz="12" w:space="0"/>
        </w:tcBorders>
      </w:tcPr>
    </w:tblStylePr>
    <w:tblStylePr w:type="lastRow">
      <w:rPr>
        <w:rFonts w:ascii="Arial" w:hAnsi="Arial"/>
        <w:color w:val="404040"/>
        <w:sz w:val="22"/>
      </w:rPr>
      <w:tblPr>
        <w:tblLayout w:type="fixed"/>
      </w:tblPr>
      <w:tcPr>
        <w:tcBorders>
          <w:top w:val="single" w:color="4F81BD" w:themeColor="accent1"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4F81BD" w:themeColor="accent1"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5">
    <w:name w:val="Bordered - Accent 2"/>
    <w:basedOn w:val="39"/>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blPr>
        <w:tblLayout w:type="fixed"/>
      </w:tblPr>
      <w:tcPr>
        <w:tcBorders>
          <w:bottom w:val="single" w:color="D99795" w:themeColor="accent2" w:themeTint="97" w:sz="12" w:space="0"/>
        </w:tcBorders>
      </w:tcPr>
    </w:tblStylePr>
    <w:tblStylePr w:type="lastRow">
      <w:rPr>
        <w:rFonts w:ascii="Arial" w:hAnsi="Arial"/>
        <w:color w:val="404040"/>
        <w:sz w:val="22"/>
      </w:rPr>
      <w:tblPr>
        <w:tblLayout w:type="fixed"/>
      </w:tblPr>
      <w:tcPr>
        <w:tcBorders>
          <w:top w:val="single" w:color="D99795" w:themeColor="accent2" w:themeTint="97"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D99795" w:themeColor="accent2" w:themeTint="97"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6">
    <w:name w:val="Bordered - Accent 3"/>
    <w:basedOn w:val="39"/>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blPr>
        <w:tblLayout w:type="fixed"/>
      </w:tblPr>
      <w:tcPr>
        <w:tcBorders>
          <w:bottom w:val="single" w:color="C3D69C" w:themeColor="accent3" w:themeTint="98" w:sz="12" w:space="0"/>
        </w:tcBorders>
      </w:tcPr>
    </w:tblStylePr>
    <w:tblStylePr w:type="lastRow">
      <w:rPr>
        <w:rFonts w:ascii="Arial" w:hAnsi="Arial"/>
        <w:color w:val="404040"/>
        <w:sz w:val="22"/>
      </w:rPr>
      <w:tblPr>
        <w:tblLayout w:type="fixed"/>
      </w:tblPr>
      <w:tcPr>
        <w:tcBorders>
          <w:top w:val="single" w:color="C3D69C" w:themeColor="accent3"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C3D69C" w:themeColor="accent3"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7">
    <w:name w:val="Bordered - Accent 4"/>
    <w:basedOn w:val="3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blPr>
        <w:tblLayout w:type="fixed"/>
      </w:tblPr>
      <w:tcPr>
        <w:tcBorders>
          <w:bottom w:val="single" w:color="B2A1C6" w:themeColor="accent4" w:themeTint="9A" w:sz="12" w:space="0"/>
        </w:tcBorders>
      </w:tcPr>
    </w:tblStylePr>
    <w:tblStylePr w:type="lastRow">
      <w:rPr>
        <w:rFonts w:ascii="Arial" w:hAnsi="Arial"/>
        <w:color w:val="404040"/>
        <w:sz w:val="22"/>
      </w:rPr>
      <w:tblPr>
        <w:tblLayout w:type="fixed"/>
      </w:tblPr>
      <w:tcPr>
        <w:tcBorders>
          <w:top w:val="single" w:color="B2A1C6" w:themeColor="accent4"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B2A1C6" w:themeColor="accent4"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8">
    <w:name w:val="Bordered - Accent 5"/>
    <w:basedOn w:val="39"/>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blPr>
        <w:tblLayout w:type="fixed"/>
      </w:tblPr>
      <w:tcPr>
        <w:tcBorders>
          <w:bottom w:val="single" w:color="92CCDC" w:themeColor="accent5" w:themeTint="9A" w:sz="12" w:space="0"/>
        </w:tcBorders>
      </w:tcPr>
    </w:tblStylePr>
    <w:tblStylePr w:type="lastRow">
      <w:rPr>
        <w:rFonts w:ascii="Arial" w:hAnsi="Arial"/>
        <w:color w:val="404040"/>
        <w:sz w:val="22"/>
      </w:rPr>
      <w:tblPr>
        <w:tblLayout w:type="fixed"/>
      </w:tblPr>
      <w:tcPr>
        <w:tcBorders>
          <w:top w:val="single" w:color="92CCDC" w:themeColor="accent5"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92CCDC" w:themeColor="accent5"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9">
    <w:name w:val="Bordered - Accent 6"/>
    <w:basedOn w:val="39"/>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blPr>
        <w:tblLayout w:type="fixed"/>
      </w:tblPr>
      <w:tcPr>
        <w:tcBorders>
          <w:bottom w:val="single" w:color="FAC090" w:themeColor="accent6" w:themeTint="98" w:sz="12" w:space="0"/>
        </w:tcBorders>
      </w:tcPr>
    </w:tblStylePr>
    <w:tblStylePr w:type="lastRow">
      <w:rPr>
        <w:rFonts w:ascii="Arial" w:hAnsi="Arial"/>
        <w:color w:val="404040"/>
        <w:sz w:val="22"/>
      </w:rPr>
      <w:tblPr>
        <w:tblLayout w:type="fixed"/>
      </w:tblPr>
      <w:tcPr>
        <w:tcBorders>
          <w:top w:val="single" w:color="FAC090" w:themeColor="accent6"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FAC090" w:themeColor="accent6"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customStyle="1" w:styleId="180">
    <w:name w:val="Footnote Text Char"/>
    <w:link w:val="26"/>
    <w:qFormat/>
    <w:uiPriority w:val="99"/>
    <w:rPr>
      <w:sz w:val="18"/>
    </w:rPr>
  </w:style>
  <w:style w:type="character" w:customStyle="1" w:styleId="181">
    <w:name w:val="Endnote Text Char"/>
    <w:link w:val="19"/>
    <w:uiPriority w:val="99"/>
    <w:rPr>
      <w:sz w:val="20"/>
    </w:rPr>
  </w:style>
  <w:style w:type="paragraph" w:customStyle="1" w:styleId="182">
    <w:name w:val="TOC Heading"/>
    <w:unhideWhenUsed/>
    <w:uiPriority w:val="39"/>
    <w:rPr>
      <w:rFonts w:hint="default" w:ascii="Calibri" w:hAnsi="Calibri" w:eastAsia="宋体" w:cs="Times New Roman"/>
    </w:rPr>
  </w:style>
  <w:style w:type="character" w:customStyle="1" w:styleId="183">
    <w:name w:val="Heading 1 Char"/>
    <w:basedOn w:val="33"/>
    <w:link w:val="3"/>
    <w:qFormat/>
    <w:uiPriority w:val="99"/>
    <w:rPr>
      <w:rFonts w:ascii="Times New Roman" w:hAnsi="Times New Roman" w:cs="Times New Roman"/>
      <w:b/>
      <w:bCs/>
      <w:sz w:val="44"/>
      <w:szCs w:val="44"/>
    </w:rPr>
  </w:style>
  <w:style w:type="character" w:customStyle="1" w:styleId="184">
    <w:name w:val="Heading 2 Char"/>
    <w:basedOn w:val="33"/>
    <w:link w:val="4"/>
    <w:qFormat/>
    <w:uiPriority w:val="99"/>
    <w:rPr>
      <w:rFonts w:ascii="Cambria" w:hAnsi="Cambria" w:eastAsia="宋体" w:cs="Times New Roman"/>
      <w:b/>
      <w:bCs/>
      <w:sz w:val="32"/>
      <w:szCs w:val="32"/>
    </w:rPr>
  </w:style>
  <w:style w:type="character" w:customStyle="1" w:styleId="185">
    <w:name w:val="Heading 3 Char"/>
    <w:basedOn w:val="33"/>
    <w:link w:val="5"/>
    <w:qFormat/>
    <w:uiPriority w:val="99"/>
    <w:rPr>
      <w:rFonts w:ascii="Times New Roman" w:hAnsi="Times New Roman" w:cs="Times New Roman"/>
      <w:b/>
      <w:bCs/>
      <w:sz w:val="32"/>
      <w:szCs w:val="32"/>
    </w:rPr>
  </w:style>
  <w:style w:type="character" w:customStyle="1" w:styleId="186">
    <w:name w:val="Body Text Char"/>
    <w:basedOn w:val="33"/>
    <w:link w:val="2"/>
    <w:semiHidden/>
    <w:qFormat/>
    <w:uiPriority w:val="99"/>
    <w:rPr>
      <w:rFonts w:ascii="Times New Roman" w:hAnsi="Times New Roman" w:cs="Times New Roman"/>
      <w:sz w:val="24"/>
      <w:szCs w:val="24"/>
    </w:rPr>
  </w:style>
  <w:style w:type="character" w:customStyle="1" w:styleId="187">
    <w:name w:val="Salutation Char"/>
    <w:basedOn w:val="33"/>
    <w:link w:val="14"/>
    <w:semiHidden/>
    <w:qFormat/>
    <w:uiPriority w:val="99"/>
    <w:rPr>
      <w:rFonts w:eastAsia="宋体" w:cs="Times New Roman"/>
      <w:sz w:val="24"/>
      <w:szCs w:val="24"/>
      <w:lang w:val="en-US" w:eastAsia="zh-CN" w:bidi="ar-SA"/>
    </w:rPr>
  </w:style>
  <w:style w:type="character" w:customStyle="1" w:styleId="188">
    <w:name w:val="Plain Text Char"/>
    <w:basedOn w:val="33"/>
    <w:link w:val="17"/>
    <w:semiHidden/>
    <w:qFormat/>
    <w:uiPriority w:val="99"/>
    <w:rPr>
      <w:rFonts w:ascii="宋体" w:hAnsi="Courier New" w:eastAsia="宋体" w:cs="Times New Roman"/>
      <w:sz w:val="22"/>
      <w:szCs w:val="22"/>
      <w:lang w:val="en-US" w:eastAsia="zh-CN" w:bidi="ar-SA"/>
    </w:rPr>
  </w:style>
  <w:style w:type="character" w:customStyle="1" w:styleId="189">
    <w:name w:val="Balloon Text Char"/>
    <w:basedOn w:val="33"/>
    <w:link w:val="20"/>
    <w:semiHidden/>
    <w:qFormat/>
    <w:uiPriority w:val="99"/>
    <w:rPr>
      <w:rFonts w:ascii="Times New Roman" w:hAnsi="Times New Roman" w:cs="Times New Roman"/>
      <w:sz w:val="18"/>
      <w:szCs w:val="18"/>
    </w:rPr>
  </w:style>
  <w:style w:type="character" w:customStyle="1" w:styleId="190">
    <w:name w:val="Footer Char"/>
    <w:basedOn w:val="33"/>
    <w:link w:val="21"/>
    <w:semiHidden/>
    <w:qFormat/>
    <w:uiPriority w:val="99"/>
    <w:rPr>
      <w:rFonts w:ascii="Times New Roman" w:hAnsi="Times New Roman" w:cs="Times New Roman"/>
      <w:sz w:val="18"/>
      <w:szCs w:val="18"/>
    </w:rPr>
  </w:style>
  <w:style w:type="character" w:customStyle="1" w:styleId="191">
    <w:name w:val="Header Char"/>
    <w:basedOn w:val="33"/>
    <w:link w:val="22"/>
    <w:semiHidden/>
    <w:qFormat/>
    <w:uiPriority w:val="99"/>
    <w:rPr>
      <w:rFonts w:ascii="Times New Roman" w:hAnsi="Times New Roman" w:cs="Times New Roman"/>
      <w:sz w:val="18"/>
      <w:szCs w:val="18"/>
    </w:rPr>
  </w:style>
  <w:style w:type="character" w:customStyle="1" w:styleId="192">
    <w:name w:val="Header Char1"/>
    <w:link w:val="22"/>
    <w:semiHidden/>
    <w:qFormat/>
    <w:uiPriority w:val="99"/>
    <w:rPr>
      <w:sz w:val="18"/>
    </w:rPr>
  </w:style>
  <w:style w:type="character" w:customStyle="1" w:styleId="193">
    <w:name w:val="Footer Char1"/>
    <w:link w:val="21"/>
    <w:qFormat/>
    <w:uiPriority w:val="99"/>
    <w:rPr>
      <w:sz w:val="18"/>
    </w:rPr>
  </w:style>
  <w:style w:type="character" w:customStyle="1" w:styleId="194">
    <w:name w:val="Body Text Char1"/>
    <w:link w:val="2"/>
    <w:qFormat/>
    <w:uiPriority w:val="99"/>
    <w:rPr>
      <w:rFonts w:ascii="仿宋_GB2312" w:hAnsi="Times New Roman" w:eastAsia="仿宋_GB2312"/>
      <w:sz w:val="24"/>
    </w:rPr>
  </w:style>
  <w:style w:type="paragraph" w:customStyle="1" w:styleId="195">
    <w:name w:val="Default"/>
    <w:qFormat/>
    <w:uiPriority w:val="99"/>
    <w:pPr>
      <w:widowControl w:val="0"/>
    </w:pPr>
    <w:rPr>
      <w:rFonts w:hint="default" w:ascii="仿宋" w:hAnsi="Calibri" w:eastAsia="仿宋" w:cs="仿宋"/>
      <w:color w:val="000000"/>
      <w:sz w:val="24"/>
      <w:szCs w:val="24"/>
      <w:lang w:val="en-US" w:eastAsia="zh-CN" w:bidi="ar-SA"/>
    </w:rPr>
  </w:style>
  <w:style w:type="paragraph" w:styleId="196">
    <w:name w:val="List Paragraph"/>
    <w:basedOn w:val="1"/>
    <w:qFormat/>
    <w:uiPriority w:val="99"/>
    <w:pPr>
      <w:ind w:firstLine="420"/>
    </w:pPr>
  </w:style>
  <w:style w:type="paragraph" w:customStyle="1" w:styleId="197">
    <w:name w:val="TOC 标题1"/>
    <w:basedOn w:val="3"/>
    <w:next w:val="1"/>
    <w:qFormat/>
    <w:uiPriority w:val="99"/>
    <w:pPr>
      <w:widowControl/>
      <w:spacing w:before="480" w:after="0" w:line="276" w:lineRule="auto"/>
      <w:jc w:val="left"/>
      <w:outlineLvl w:val="9"/>
    </w:pPr>
    <w:rPr>
      <w:rFonts w:ascii="Cambria" w:hAnsi="Cambria"/>
      <w:color w:val="365F91"/>
      <w:sz w:val="28"/>
      <w:szCs w:val="28"/>
    </w:rPr>
  </w:style>
  <w:style w:type="paragraph" w:customStyle="1" w:styleId="198">
    <w:name w:val="TOC Heading1"/>
    <w:basedOn w:val="3"/>
    <w:next w:val="1"/>
    <w:qFormat/>
    <w:uiPriority w:val="99"/>
    <w:pPr>
      <w:widowControl/>
      <w:spacing w:before="480" w:after="0" w:line="276" w:lineRule="auto"/>
      <w:jc w:val="left"/>
      <w:outlineLvl w:val="9"/>
    </w:pPr>
    <w:rPr>
      <w:rFonts w:ascii="Cambria" w:hAnsi="Cambria"/>
      <w:color w:val="365F91"/>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image" Target="media/image3.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2.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manualLayout>
          <c:layoutTarget val="inner"/>
          <c:xMode val="edge"/>
          <c:yMode val="edge"/>
          <c:x val="0.026035"/>
          <c:y val="0.158519"/>
          <c:w val="0.951771"/>
          <c:h val="0.691429"/>
        </c:manualLayout>
      </c:layout>
      <c:pieChart>
        <c:varyColors val="1"/>
        <c:ser>
          <c:idx val="0"/>
          <c:order val="0"/>
          <c:tx>
            <c:strRef>
              <c:f>'[决算公开柱状图表2021年(汇总）1.xls]Sheet1'!$B$70</c:f>
              <c:strCache>
                <c:ptCount val="1"/>
                <c:pt idx="0">
                  <c:v>2021年支出决算结构图</c:v>
                </c:pt>
              </c:strCache>
            </c:strRef>
          </c:tx>
          <c:explosion val="0"/>
          <c:dPt>
            <c:idx val="0"/>
            <c:bubble3D val="0"/>
            <c:explosion val="0"/>
            <c:spPr>
              <a:solidFill>
                <a:srgbClr val="4F81BD"/>
              </a:solidFill>
              <a:ln w="25400">
                <a:solidFill>
                  <a:srgbClr val="FFFFFF"/>
                </a:solidFill>
              </a:ln>
              <a:effectLst/>
            </c:spPr>
          </c:dPt>
          <c:dPt>
            <c:idx val="1"/>
            <c:bubble3D val="0"/>
            <c:explosion val="0"/>
            <c:spPr>
              <a:solidFill>
                <a:srgbClr val="C0504D"/>
              </a:solidFill>
              <a:ln w="25400">
                <a:solidFill>
                  <a:srgbClr val="FFFFFF"/>
                </a:solidFill>
                <a:round/>
              </a:ln>
              <a:effectLst/>
            </c:spPr>
          </c:dPt>
          <c:dLbls>
            <c:delete val="1"/>
          </c:dLbls>
          <c:cat>
            <c:strRef>
              <c:f>'[决算公开柱状图表2021年(汇总）1.xls]Sheet1'!$C$69:$D$69</c:f>
              <c:strCache>
                <c:ptCount val="2"/>
                <c:pt idx="0">
                  <c:v>基本支出</c:v>
                </c:pt>
                <c:pt idx="1">
                  <c:v>项目支出</c:v>
                </c:pt>
              </c:strCache>
            </c:strRef>
          </c:cat>
          <c:val>
            <c:numRef>
              <c:f>'[决算公开柱状图表2021年(汇总）1.xls]Sheet1'!$C$70:$D$70</c:f>
              <c:numCache>
                <c:formatCode>General</c:formatCode>
                <c:ptCount val="2"/>
                <c:pt idx="0">
                  <c:v>6568000</c:v>
                </c:pt>
                <c:pt idx="1">
                  <c:v>71500000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6325"/>
          <c:y val="0.895"/>
          <c:w val="0.27325"/>
          <c:h val="0.07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miter/>
        </a:ln>
        <a:effectLst/>
      </c:spPr>
      <c:txPr>
        <a:bodyPr rot="0" spcFirstLastPara="0" vertOverflow="ellipsis" vert="horz" wrap="square" anchor="ctr" anchorCtr="1"/>
        <a:lstStyle/>
        <a:p>
          <a:pPr>
            <a:defRPr lang="zh-CN" sz="1400" b="0" i="0" u="none" strike="noStrike" kern="1200" spc="0" baseline="0">
              <a:solidFill>
                <a:sysClr val="windowText" lastClr="000000">
                  <a:lumMod val="65000"/>
                  <a:lumOff val="35000"/>
                </a:sysClr>
              </a:solidFill>
              <a:latin typeface="+mn-lt"/>
              <a:ea typeface="+mn-ea"/>
              <a:cs typeface="+mn-cs"/>
            </a:defRPr>
          </a:pPr>
        </a:p>
      </c:txPr>
    </c:title>
    <c:autoTitleDeleted val="0"/>
    <c:plotArea>
      <c:layout/>
      <c:barChart>
        <c:barDir val="col"/>
        <c:grouping val="clustered"/>
        <c:varyColors val="0"/>
        <c:ser>
          <c:idx val="0"/>
          <c:order val="0"/>
          <c:tx>
            <c:strRef>
              <c:f>'[决算公开柱状图表2021年(汇总）1.xls]Sheet1'!$C$56</c:f>
              <c:strCache>
                <c:ptCount val="1"/>
                <c:pt idx="0">
                  <c:v>一般公共预算财政拨款</c:v>
                </c:pt>
              </c:strCache>
            </c:strRef>
          </c:tx>
          <c:spPr>
            <a:solidFill>
              <a:srgbClr val="5B9BD5"/>
            </a:solidFill>
            <a:ln>
              <a:noFill/>
            </a:ln>
            <a:effectLst/>
          </c:spPr>
          <c:invertIfNegative val="0"/>
          <c:dLbls>
            <c:delete val="1"/>
          </c:dLbls>
          <c:cat>
            <c:strRef>
              <c:f>'[决算公开柱状图表2021年(汇总）1.xls]Sheet1'!$B$57:$B$58</c:f>
              <c:strCache>
                <c:ptCount val="2"/>
                <c:pt idx="0">
                  <c:v>2020年</c:v>
                </c:pt>
                <c:pt idx="1">
                  <c:v>2021年</c:v>
                </c:pt>
              </c:strCache>
            </c:strRef>
          </c:cat>
          <c:val>
            <c:numRef>
              <c:f>'[决算公开柱状图表2021年(汇总）1.xls]Sheet1'!$C$57:$C$58</c:f>
              <c:numCache>
                <c:formatCode>General</c:formatCode>
                <c:ptCount val="2"/>
                <c:pt idx="0">
                  <c:v>14905900</c:v>
                </c:pt>
                <c:pt idx="1">
                  <c:v>32178000</c:v>
                </c:pt>
              </c:numCache>
            </c:numRef>
          </c:val>
        </c:ser>
        <c:dLbls>
          <c:showLegendKey val="0"/>
          <c:showVal val="0"/>
          <c:showCatName val="0"/>
          <c:showSerName val="0"/>
          <c:showPercent val="0"/>
          <c:showBubbleSize val="0"/>
        </c:dLbls>
        <c:gapWidth val="219"/>
        <c:overlap val="-27"/>
        <c:axId val="320560473"/>
        <c:axId val="130329288"/>
      </c:barChart>
      <c:catAx>
        <c:axId val="320560473"/>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等线"/>
                <a:ea typeface="等线"/>
                <a:cs typeface="Arial" panose="020B0604020202020204" pitchFamily="2"/>
              </a:defRPr>
            </a:pPr>
          </a:p>
        </c:txPr>
        <c:crossAx val="130329288"/>
        <c:crosses val="autoZero"/>
        <c:auto val="1"/>
        <c:lblAlgn val="ctr"/>
        <c:lblOffset val="100"/>
        <c:noMultiLvlLbl val="0"/>
      </c:catAx>
      <c:valAx>
        <c:axId val="130329288"/>
        <c:scaling>
          <c:orientation val="minMax"/>
        </c:scaling>
        <c:delete val="0"/>
        <c:axPos val="l"/>
        <c:majorGridlines>
          <c:spPr>
            <a:ln w="9525" cap="flat" cmpd="sng" algn="ctr">
              <a:solidFill>
                <a:sysClr val="windowText" lastClr="000000">
                  <a:lumMod val="15000"/>
                  <a:lumOff val="85000"/>
                </a:sys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等线"/>
                <a:ea typeface="等线"/>
                <a:cs typeface="Arial" panose="020B0604020202020204" pitchFamily="2"/>
              </a:defRPr>
            </a:pPr>
          </a:p>
        </c:txPr>
        <c:crossAx val="320560473"/>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miter/>
        </a:ln>
        <a:effectLst/>
      </c:spPr>
      <c:txPr>
        <a:bodyPr rot="0" spcFirstLastPara="0" vertOverflow="ellipsis" vert="horz" wrap="square" anchor="ctr" anchorCtr="1"/>
        <a:lstStyle/>
        <a:p>
          <a:pPr>
            <a:defRPr lang="zh-CN" sz="1400" b="0" i="0" u="none" strike="noStrike" spc="0" baseline="0">
              <a:solidFill>
                <a:sysClr val="windowText" lastClr="000000">
                  <a:lumMod val="65000"/>
                  <a:lumOff val="35000"/>
                </a:sysClr>
              </a:solidFill>
              <a:latin typeface="+mn-lt"/>
              <a:ea typeface="+mn-ea"/>
              <a:cs typeface="+mn-cs"/>
            </a:defRPr>
          </a:pPr>
        </a:p>
      </c:txPr>
    </c:title>
    <c:autoTitleDeleted val="0"/>
    <c:plotArea>
      <c:layout/>
      <c:pieChart>
        <c:varyColors val="1"/>
        <c:ser>
          <c:idx val="0"/>
          <c:order val="0"/>
          <c:tx>
            <c:strRef>
              <c:f>'[决算公开柱状图表2021年(汇总）1.xls]Sheet2'!$C$3</c:f>
              <c:strCache>
                <c:ptCount val="1"/>
                <c:pt idx="0">
                  <c:v>2021一般公共预算财政拨款支出决算结构图</c:v>
                </c:pt>
              </c:strCache>
            </c:strRef>
          </c:tx>
          <c:spPr/>
          <c:explosion val="0"/>
          <c:dPt>
            <c:idx val="0"/>
            <c:bubble3D val="0"/>
            <c:spPr>
              <a:solidFill>
                <a:srgbClr val="5B9BD5"/>
              </a:solidFill>
              <a:ln w="19050">
                <a:solidFill>
                  <a:sysClr val="window" lastClr="FFFFFF"/>
                </a:solidFill>
              </a:ln>
              <a:effectLst/>
            </c:spPr>
          </c:dPt>
          <c:dPt>
            <c:idx val="1"/>
            <c:bubble3D val="0"/>
            <c:spPr>
              <a:solidFill>
                <a:srgbClr val="ED7D31"/>
              </a:solidFill>
              <a:ln w="19050">
                <a:solidFill>
                  <a:sysClr val="window" lastClr="FFFFFF"/>
                </a:solidFill>
              </a:ln>
              <a:effectLst/>
            </c:spPr>
          </c:dPt>
          <c:dPt>
            <c:idx val="2"/>
            <c:bubble3D val="0"/>
            <c:spPr>
              <a:solidFill>
                <a:srgbClr val="A5A5A5"/>
              </a:solidFill>
              <a:ln w="19050">
                <a:solidFill>
                  <a:sysClr val="window" lastClr="FFFFFF"/>
                </a:solidFill>
              </a:ln>
              <a:effectLst/>
            </c:spPr>
          </c:dPt>
          <c:dPt>
            <c:idx val="3"/>
            <c:bubble3D val="0"/>
            <c:spPr>
              <a:solidFill>
                <a:srgbClr val="FFC000"/>
              </a:solidFill>
              <a:ln w="19050">
                <a:solidFill>
                  <a:sysClr val="window" lastClr="FFFFFF"/>
                </a:solidFill>
              </a:ln>
              <a:effectLst/>
            </c:spPr>
          </c:dPt>
          <c:dPt>
            <c:idx val="4"/>
            <c:bubble3D val="0"/>
            <c:spPr>
              <a:solidFill>
                <a:srgbClr val="4472C4"/>
              </a:solidFill>
              <a:ln w="19050">
                <a:solidFill>
                  <a:sysClr val="window" lastClr="FFFFFF"/>
                </a:solidFill>
              </a:ln>
              <a:effectLst/>
            </c:spPr>
          </c:dPt>
          <c:dPt>
            <c:idx val="5"/>
            <c:bubble3D val="0"/>
            <c:spPr>
              <a:solidFill>
                <a:srgbClr val="70AD47"/>
              </a:solidFill>
              <a:ln w="19050">
                <a:solidFill>
                  <a:sysClr val="window" lastClr="FFFFFF"/>
                </a:solidFill>
              </a:ln>
              <a:effectLst/>
            </c:spPr>
          </c:dPt>
          <c:dPt>
            <c:idx val="6"/>
            <c:bubble3D val="0"/>
            <c:spPr>
              <a:solidFill>
                <a:srgbClr val="5B9BD5">
                  <a:lumMod val="60000"/>
                </a:srgbClr>
              </a:solidFill>
              <a:ln w="19050">
                <a:solidFill>
                  <a:sysClr val="window" lastClr="FFFFFF"/>
                </a:solidFill>
              </a:ln>
              <a:effectLst/>
            </c:spPr>
          </c:dPt>
          <c:dPt>
            <c:idx val="7"/>
            <c:bubble3D val="0"/>
            <c:spPr>
              <a:solidFill>
                <a:srgbClr val="ED7D31">
                  <a:lumMod val="60000"/>
                </a:srgbClr>
              </a:solidFill>
              <a:ln w="19050">
                <a:solidFill>
                  <a:sysClr val="window" lastClr="FFFFFF"/>
                </a:solidFill>
              </a:ln>
              <a:effectLst/>
            </c:spPr>
          </c:dPt>
          <c:dLbls>
            <c:delete val="1"/>
          </c:dLbls>
          <c:cat>
            <c:strRef>
              <c:f>'[决算公开柱状图表2021年(汇总）1.xls]Sheet2'!$B$4:$B$11</c:f>
              <c:strCache>
                <c:ptCount val="8"/>
                <c:pt idx="0">
                  <c:v>公共服务支出</c:v>
                </c:pt>
                <c:pt idx="1">
                  <c:v>文化旅游和传媒支出</c:v>
                </c:pt>
                <c:pt idx="2">
                  <c:v>社会保障和就业支出</c:v>
                </c:pt>
                <c:pt idx="3">
                  <c:v>卫生健康支出</c:v>
                </c:pt>
                <c:pt idx="4">
                  <c:v>农林水支出</c:v>
                </c:pt>
                <c:pt idx="5">
                  <c:v>住房保障支出</c:v>
                </c:pt>
                <c:pt idx="6">
                  <c:v>其他支出</c:v>
                </c:pt>
              </c:strCache>
            </c:strRef>
          </c:cat>
          <c:val>
            <c:numRef>
              <c:f>'[决算公开柱状图表2021年(汇总）1.xls]Sheet2'!$C$4:$C$11</c:f>
              <c:numCache>
                <c:formatCode>General</c:formatCode>
                <c:ptCount val="8"/>
                <c:pt idx="0">
                  <c:v>10000</c:v>
                </c:pt>
                <c:pt idx="1">
                  <c:v>29338300</c:v>
                </c:pt>
                <c:pt idx="2">
                  <c:v>1249300</c:v>
                </c:pt>
                <c:pt idx="3">
                  <c:v>337000</c:v>
                </c:pt>
                <c:pt idx="4">
                  <c:v>700000</c:v>
                </c:pt>
                <c:pt idx="5">
                  <c:v>483400</c:v>
                </c:pt>
                <c:pt idx="6">
                  <c:v>60000</c:v>
                </c:pt>
                <c:pt idx="7">
                  <c:v>32178000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cs:categoryAxis>
  <cs:chartArea>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cs:chartArea>
  <cs:dataLabel>
    <cs:lnRef idx="0"/>
    <cs:fillRef idx="0"/>
    <cs:effectRef idx="0"/>
    <cs:fontRef idx="minor">
      <a:sysClr val="windowText" lastClr="000000">
        <a:lumMod val="75000"/>
        <a:lumOff val="25000"/>
      </a:sysClr>
    </cs:fontRef>
    <cs:defRPr sz="9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rgbClr val="FFFFFF"/>
        </a:solidFill>
        <a:round/>
      </a:ln>
    </cs:spPr>
  </cs:dataPointLine>
  <cs:dataPointMarker>
    <cs:lnRef idx="0">
      <cs:styleClr val="auto"/>
    </cs:lnRef>
    <cs:fillRef idx="1">
      <cs:styleClr val="auto"/>
    </cs:fillRef>
    <cs:effectRef idx="0"/>
    <cs:fontRef idx="minor">
      <a:sysClr val="windowText" lastClr="000000"/>
    </cs:fontRef>
    <cs:spPr>
      <a:ln w="9525">
        <a:solidFill>
          <a:srgbClr val="FFFFFF"/>
        </a:solidFill>
      </a:ln>
    </cs:spPr>
  </cs:dataPointMarker>
  <cs:dataPointMarkerLayout symbol="circle" size="5"/>
  <cs:dataPointWireframe>
    <cs:lnRef idx="0">
      <cs:styleClr val="auto"/>
    </cs:lnRef>
    <cs:fillRef idx="0"/>
    <cs:effectRef idx="0"/>
    <cs:fontRef idx="minor">
      <a:sysClr val="windowText" lastClr="000000"/>
    </cs:fontRef>
    <cs:spPr>
      <a:ln w="9525" cap="rnd">
        <a:solidFill>
          <a:srgbClr val="FFFFFF"/>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cs:legend>
  <cs:plotArea>
    <cs:lnRef idx="0"/>
    <cs:fillRef idx="0"/>
    <cs:effectRef idx="0"/>
    <cs:fontRef idx="minor">
      <a:sysClr val="windowText" lastClr="000000"/>
    </cs:fontRef>
  </cs:plotArea>
  <cs:plotArea3D>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spc="0"/>
  </cs:title>
  <cs:trendline>
    <cs:lnRef idx="0">
      <cs:styleClr val="auto"/>
    </cs:lnRef>
    <cs:fillRef idx="0"/>
    <cs:effectRef idx="0"/>
    <cs:fontRef idx="minor">
      <a:sysClr val="windowText" lastClr="000000"/>
    </cs:fontRef>
    <cs:spPr>
      <a:ln w="19050" cap="rnd">
        <a:solidFill>
          <a:srgbClr val="FFFFFF"/>
        </a:solidFill>
        <a:prstDash val="sysDot"/>
      </a:ln>
    </cs:spPr>
  </cs:trendline>
  <cs:trendlineLabel>
    <cs:lnRef idx="0"/>
    <cs:fillRef idx="0"/>
    <cs:effectRef idx="0"/>
    <cs:fontRef idx="minor">
      <a:sysClr val="windowText" lastClr="000000">
        <a:lumMod val="65000"/>
        <a:lumOff val="35000"/>
      </a:sysClr>
    </cs:fontRef>
    <cs:defRPr sz="9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rgbClr val="FFFFFF"/>
      </a:solidFill>
      <a:gradFill>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rgbClr val="FFFFFF"/>
      </a:solidFill>
      <a:solidFill>
        <a:srgbClr val="FFFFFF">
          <a:tint val="95000"/>
          <a:satMod val="170000"/>
        </a:srgbClr>
      </a:solidFill>
      <a:gradFill>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rgbClr val="FFFFFF"/>
      </a:solidFill>
      <a:gradFill>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rgbClr val="FFFFFF"/>
      </a:solidFill>
      <a:solidFill>
        <a:srgbClr val="FFFFFF">
          <a:tint val="95000"/>
          <a:satMod val="170000"/>
        </a:srgbClr>
      </a:solidFill>
      <a:gradFill>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四川省财政厅</Company>
  <TotalTime>0</TotalTime>
  <ScaleCrop>false</ScaleCrop>
  <LinksUpToDate>false</LinksUpToDate>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2022-10-24T02:49:00Z</dcterms:created>
  <dc:creator>曹颖</dc:creator>
  <cp:lastModifiedBy>Administrator</cp:lastModifiedBy>
  <dcterms:modified xsi:type="dcterms:W3CDTF">2024-12-25T09:57:38Z</dcterms:modified>
  <dc:title>四川省***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130318EF53BC46A99920CA9A1F1BB400_13</vt:lpwstr>
  </property>
</Properties>
</file>