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方正小标宋简体" w:hAnsi="宋体" w:eastAsia="方正小标宋简体"/>
          <w:sz w:val="72"/>
          <w:szCs w:val="72"/>
        </w:rPr>
      </w:pPr>
      <w:bookmarkStart w:id="0" w:name="_Toc15377193"/>
      <w:bookmarkStart w:id="1" w:name="_Toc15396597"/>
      <w:bookmarkStart w:id="2" w:name="_Toc15378441"/>
      <w:bookmarkStart w:id="3" w:name="_Toc15306267"/>
      <w:bookmarkStart w:id="4" w:name="_Toc15396475"/>
      <w:bookmarkStart w:id="5" w:name="_Toc15377425"/>
    </w:p>
    <w:p>
      <w:pPr>
        <w:pStyle w:val="14"/>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bookmarkEnd w:id="5"/>
    </w:p>
    <w:p>
      <w:pPr>
        <w:spacing w:line="360" w:lineRule="auto"/>
        <w:jc w:val="center"/>
        <w:outlineLvl w:val="0"/>
        <w:rPr>
          <w:rFonts w:hint="eastAsia" w:ascii="方正小标宋简体" w:hAnsi="方正小标宋简体" w:eastAsia="方正小标宋简体" w:cs="方正小标宋简体"/>
          <w:sz w:val="72"/>
          <w:szCs w:val="72"/>
        </w:rPr>
      </w:pPr>
      <w:bookmarkStart w:id="6" w:name="_Toc15396598"/>
      <w:bookmarkStart w:id="7" w:name="_Toc15306268"/>
      <w:bookmarkStart w:id="8" w:name="_Toc15378442"/>
      <w:bookmarkStart w:id="9" w:name="_Toc15377426"/>
      <w:bookmarkStart w:id="10" w:name="_Toc15377194"/>
      <w:bookmarkStart w:id="11" w:name="_Toc15396476"/>
    </w:p>
    <w:p>
      <w:pPr>
        <w:spacing w:line="360" w:lineRule="auto"/>
        <w:jc w:val="center"/>
        <w:outlineLvl w:val="0"/>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盐边县文化广播电视和旅游局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lang w:eastAsia="zh-CN"/>
        </w:rPr>
        <w:t>公开</w:t>
      </w:r>
    </w:p>
    <w:p>
      <w:pPr>
        <w:widowControl/>
        <w:jc w:val="center"/>
        <w:rPr>
          <w:rFonts w:ascii="黑体" w:hAnsi="黑体" w:eastAsia="黑体"/>
          <w:sz w:val="48"/>
          <w:szCs w:val="48"/>
        </w:rPr>
      </w:pPr>
      <w:r>
        <w:rPr>
          <w:rFonts w:ascii="方正小标宋简体" w:hAnsi="宋体" w:eastAsia="方正小标宋简体"/>
          <w:sz w:val="36"/>
          <w:szCs w:val="36"/>
        </w:rPr>
        <w:br w:type="page" w:clear="all"/>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25"/>
      </w:pPr>
      <w:r>
        <w:rPr>
          <w:rFonts w:hint="eastAsia"/>
        </w:rPr>
        <w:t>公开时间：2023年</w:t>
      </w:r>
      <w:r>
        <w:rPr>
          <w:rFonts w:hint="eastAsia"/>
          <w:lang w:val="en-US" w:eastAsia="zh-CN"/>
        </w:rPr>
        <w:t>10</w:t>
      </w:r>
      <w:r>
        <w:rPr>
          <w:rFonts w:hint="eastAsia"/>
        </w:rPr>
        <w:t xml:space="preserve">月 </w:t>
      </w:r>
      <w:r>
        <w:rPr>
          <w:rFonts w:hint="eastAsia"/>
          <w:lang w:val="en-US" w:eastAsia="zh-CN"/>
        </w:rPr>
        <w:t>28</w:t>
      </w:r>
      <w:r>
        <w:rPr>
          <w:rFonts w:hint="eastAsia"/>
        </w:rPr>
        <w:t xml:space="preserve"> 日</w:t>
      </w:r>
    </w:p>
    <w:p/>
    <w:p>
      <w:pPr>
        <w:pStyle w:val="31"/>
        <w:spacing w:line="440" w:lineRule="exact"/>
        <w:jc w:val="left"/>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第一部分 部门概况</w:t>
      </w:r>
      <w:r>
        <w:rPr>
          <w:rFonts w:hint="eastAsia"/>
          <w:sz w:val="24"/>
          <w:lang w:val="en-US" w:eastAsia="zh-CN"/>
        </w:rPr>
        <w:t>...................................................................................4</w:t>
      </w:r>
    </w:p>
    <w:p>
      <w:pPr>
        <w:pStyle w:val="31"/>
        <w:spacing w:line="440" w:lineRule="exact"/>
        <w:jc w:val="left"/>
        <w:rPr>
          <w:rFonts w:hint="default" w:ascii="仿宋" w:hAnsi="仿宋" w:eastAsia="宋体"/>
          <w:sz w:val="24"/>
          <w:lang w:val="en-US" w:eastAsia="zh-CN"/>
        </w:rPr>
      </w:pPr>
      <w:r>
        <w:rPr>
          <w:rFonts w:hint="eastAsia"/>
          <w:sz w:val="24"/>
        </w:rPr>
        <w:t>一、部门职责</w:t>
      </w:r>
      <w:r>
        <w:rPr>
          <w:rFonts w:hint="eastAsia"/>
          <w:sz w:val="24"/>
          <w:lang w:val="en-US" w:eastAsia="zh-CN"/>
        </w:rPr>
        <w:t>.............................................................................................4</w:t>
      </w:r>
    </w:p>
    <w:p>
      <w:pPr>
        <w:pStyle w:val="31"/>
        <w:spacing w:line="440" w:lineRule="exact"/>
        <w:jc w:val="left"/>
        <w:rPr>
          <w:rFonts w:ascii="仿宋" w:hAnsi="仿宋" w:eastAsia="仿宋" w:cstheme="minorBidi"/>
          <w:sz w:val="24"/>
        </w:rPr>
      </w:pPr>
      <w:r>
        <w:rPr>
          <w:rFonts w:hint="eastAsia"/>
          <w:sz w:val="24"/>
        </w:rPr>
        <w:t>二、机构设置</w:t>
      </w:r>
      <w:r>
        <w:rPr>
          <w:rFonts w:hint="eastAsia"/>
          <w:sz w:val="24"/>
          <w:lang w:val="en-US" w:eastAsia="zh-CN"/>
        </w:rPr>
        <w:t>.............................................................................................5</w:t>
      </w:r>
    </w:p>
    <w:p>
      <w:pPr>
        <w:pStyle w:val="31"/>
        <w:spacing w:line="440" w:lineRule="exact"/>
        <w:jc w:val="left"/>
        <w:rPr>
          <w:rFonts w:ascii="仿宋" w:hAnsi="仿宋" w:eastAsia="仿宋" w:cstheme="minorBidi"/>
          <w:sz w:val="24"/>
        </w:rPr>
      </w:pPr>
      <w:r>
        <w:rPr>
          <w:rFonts w:hint="eastAsia"/>
          <w:sz w:val="24"/>
        </w:rPr>
        <w:t>第二部分 2023年度部门决算情况说明</w:t>
      </w:r>
      <w:r>
        <w:rPr>
          <w:rFonts w:hint="eastAsia"/>
          <w:sz w:val="24"/>
          <w:lang w:val="en-US" w:eastAsia="zh-CN"/>
        </w:rPr>
        <w:t>..................................................6</w:t>
      </w:r>
    </w:p>
    <w:p>
      <w:pPr>
        <w:pStyle w:val="31"/>
        <w:spacing w:line="440" w:lineRule="exact"/>
        <w:jc w:val="left"/>
        <w:rPr>
          <w:rFonts w:hint="eastAsia"/>
          <w:sz w:val="24"/>
          <w:lang w:val="en-US" w:eastAsia="zh-CN"/>
        </w:rPr>
      </w:pPr>
      <w:r>
        <w:rPr>
          <w:rFonts w:hint="eastAsia"/>
          <w:sz w:val="24"/>
        </w:rPr>
        <w:t>一、收入支出决算总体情况说明</w:t>
      </w:r>
      <w:r>
        <w:rPr>
          <w:rFonts w:hint="eastAsia"/>
          <w:sz w:val="24"/>
          <w:lang w:val="en-US" w:eastAsia="zh-CN"/>
        </w:rPr>
        <w:t>.............................................................6</w:t>
      </w:r>
    </w:p>
    <w:p>
      <w:pPr>
        <w:pStyle w:val="31"/>
        <w:spacing w:line="440" w:lineRule="exact"/>
        <w:jc w:val="left"/>
        <w:rPr>
          <w:rFonts w:hint="default" w:ascii="仿宋" w:hAnsi="仿宋" w:eastAsia="仿宋" w:cstheme="minorBidi"/>
          <w:sz w:val="24"/>
          <w:lang w:val="en-US"/>
        </w:rPr>
      </w:pPr>
      <w:r>
        <w:rPr>
          <w:rFonts w:hint="eastAsia"/>
          <w:sz w:val="24"/>
          <w:lang w:val="en-US" w:eastAsia="zh-CN"/>
        </w:rPr>
        <w:t>二、收入决算情况说明.............................................................................6</w:t>
      </w:r>
    </w:p>
    <w:p>
      <w:pPr>
        <w:pStyle w:val="31"/>
        <w:spacing w:line="440" w:lineRule="exact"/>
        <w:jc w:val="left"/>
        <w:rPr>
          <w:rFonts w:hint="default" w:ascii="仿宋" w:hAnsi="仿宋" w:eastAsia="仿宋" w:cstheme="minorBidi"/>
          <w:sz w:val="24"/>
          <w:lang w:val="en-US"/>
        </w:rPr>
      </w:pPr>
      <w:r>
        <w:rPr>
          <w:rFonts w:hint="eastAsia"/>
          <w:sz w:val="24"/>
        </w:rPr>
        <w:t>三、支出决算情况说明</w:t>
      </w:r>
      <w:r>
        <w:rPr>
          <w:rFonts w:hint="eastAsia"/>
          <w:sz w:val="24"/>
          <w:lang w:val="en-US" w:eastAsia="zh-CN"/>
        </w:rPr>
        <w:t>.............................................................................7</w:t>
      </w:r>
    </w:p>
    <w:p>
      <w:pPr>
        <w:pStyle w:val="31"/>
        <w:spacing w:line="440" w:lineRule="exact"/>
        <w:jc w:val="left"/>
        <w:rPr>
          <w:rFonts w:hint="default" w:ascii="仿宋" w:hAnsi="仿宋" w:eastAsia="仿宋" w:cstheme="minorBidi"/>
          <w:sz w:val="24"/>
          <w:lang w:val="en-US"/>
        </w:rPr>
      </w:pPr>
      <w:r>
        <w:rPr>
          <w:rFonts w:hint="eastAsia"/>
          <w:sz w:val="24"/>
        </w:rPr>
        <w:t>四、财政拨款收入支出决算总体情况说明</w:t>
      </w:r>
      <w:r>
        <w:rPr>
          <w:rFonts w:hint="eastAsia"/>
          <w:sz w:val="24"/>
          <w:lang w:val="en-US" w:eastAsia="zh-CN"/>
        </w:rPr>
        <w:t>.............................................8</w:t>
      </w:r>
    </w:p>
    <w:p>
      <w:pPr>
        <w:pStyle w:val="31"/>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sz w:val="24"/>
          <w:lang w:val="en-US" w:eastAsia="zh-CN"/>
        </w:rPr>
        <w:t>.....................................8</w:t>
      </w:r>
    </w:p>
    <w:p>
      <w:pPr>
        <w:pStyle w:val="31"/>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sz w:val="24"/>
          <w:lang w:val="en-US" w:eastAsia="zh-CN"/>
        </w:rPr>
        <w:t>............................13</w:t>
      </w:r>
    </w:p>
    <w:p>
      <w:pPr>
        <w:pStyle w:val="31"/>
        <w:spacing w:line="440" w:lineRule="exact"/>
        <w:jc w:val="left"/>
        <w:rPr>
          <w:rFonts w:hint="default" w:ascii="仿宋" w:hAnsi="仿宋" w:eastAsia="仿宋" w:cstheme="minorBidi"/>
          <w:sz w:val="24"/>
          <w:lang w:val="en-US"/>
        </w:rPr>
      </w:pPr>
      <w:r>
        <w:rPr>
          <w:rFonts w:hint="eastAsia"/>
          <w:sz w:val="24"/>
        </w:rPr>
        <w:t>七、财政拨款“三公”经费支出决算情况说明</w:t>
      </w:r>
      <w:r>
        <w:rPr>
          <w:rFonts w:hint="eastAsia"/>
          <w:sz w:val="24"/>
          <w:lang w:val="en-US" w:eastAsia="zh-CN"/>
        </w:rPr>
        <w:t>....................................13</w:t>
      </w:r>
    </w:p>
    <w:p>
      <w:pPr>
        <w:pStyle w:val="31"/>
        <w:spacing w:line="440" w:lineRule="exact"/>
        <w:jc w:val="left"/>
        <w:rPr>
          <w:rFonts w:hint="default" w:ascii="仿宋" w:hAnsi="仿宋" w:eastAsia="仿宋" w:cstheme="minorBidi"/>
          <w:sz w:val="24"/>
          <w:lang w:val="en-US"/>
        </w:rPr>
      </w:pPr>
      <w:r>
        <w:rPr>
          <w:rFonts w:hint="eastAsia"/>
          <w:sz w:val="24"/>
        </w:rPr>
        <w:t>八、政府性基金预算支出决算情况说明</w:t>
      </w:r>
      <w:r>
        <w:rPr>
          <w:rFonts w:hint="eastAsia"/>
          <w:sz w:val="24"/>
          <w:lang w:val="en-US" w:eastAsia="zh-CN"/>
        </w:rPr>
        <w:t>................................................15</w:t>
      </w:r>
    </w:p>
    <w:p>
      <w:pPr>
        <w:pStyle w:val="31"/>
        <w:spacing w:line="440" w:lineRule="exact"/>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九、国有资本经营预算支出决算情况说明</w:t>
      </w:r>
      <w:r>
        <w:rPr>
          <w:rFonts w:hint="eastAsia"/>
          <w:sz w:val="24"/>
          <w:lang w:val="en-US" w:eastAsia="zh-CN"/>
        </w:rPr>
        <w:t>............................................15</w:t>
      </w:r>
    </w:p>
    <w:p>
      <w:pPr>
        <w:spacing w:line="440" w:lineRule="exact"/>
        <w:ind w:firstLine="420"/>
        <w:jc w:val="left"/>
        <w:rPr>
          <w:rFonts w:hint="default" w:asciiTheme="minorEastAsia" w:hAnsiTheme="minorEastAsia" w:eastAsiaTheme="minorEastAsia" w:cstheme="minorEastAsia"/>
          <w:sz w:val="24"/>
          <w:lang w:val="en-US"/>
        </w:rPr>
      </w:pPr>
      <w:r>
        <w:rPr>
          <w:rStyle w:val="3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r>
        <w:rPr>
          <w:rFonts w:hint="eastAsia"/>
          <w:sz w:val="24"/>
          <w:lang w:val="en-US" w:eastAsia="zh-CN"/>
        </w:rPr>
        <w:t>............................................................15</w:t>
      </w:r>
    </w:p>
    <w:p>
      <w:pPr>
        <w:pStyle w:val="31"/>
        <w:spacing w:line="440" w:lineRule="exact"/>
        <w:jc w:val="left"/>
        <w:rPr>
          <w:rFonts w:hint="default"/>
          <w:sz w:val="24"/>
          <w:lang w:val="en-US"/>
        </w:rPr>
      </w:pPr>
      <w:r>
        <w:rPr>
          <w:rFonts w:hint="eastAsia"/>
          <w:sz w:val="24"/>
        </w:rPr>
        <w:t>第三部分</w:t>
      </w:r>
      <w:r>
        <w:rPr>
          <w:sz w:val="24"/>
        </w:rPr>
        <w:t xml:space="preserve"> </w:t>
      </w:r>
      <w:r>
        <w:rPr>
          <w:rFonts w:hint="eastAsia"/>
          <w:sz w:val="24"/>
        </w:rPr>
        <w:t>名词解释</w:t>
      </w:r>
      <w:r>
        <w:rPr>
          <w:rFonts w:hint="eastAsia"/>
          <w:sz w:val="24"/>
          <w:lang w:val="en-US" w:eastAsia="zh-CN"/>
        </w:rPr>
        <w:t>..................................................................................18</w:t>
      </w:r>
    </w:p>
    <w:p>
      <w:pPr>
        <w:pStyle w:val="31"/>
        <w:spacing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sz w:val="24"/>
          <w:lang w:val="en-US" w:eastAsia="zh-CN"/>
        </w:rPr>
        <w:t>..........................................................................................22</w:t>
      </w:r>
    </w:p>
    <w:p>
      <w:pPr>
        <w:pStyle w:val="31"/>
        <w:spacing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sz w:val="24"/>
          <w:lang w:val="en-US" w:eastAsia="zh-CN"/>
        </w:rPr>
        <w:t>..........................................................................................22</w:t>
      </w:r>
    </w:p>
    <w:p>
      <w:pPr>
        <w:pStyle w:val="31"/>
        <w:spacing w:line="440" w:lineRule="exact"/>
        <w:jc w:val="left"/>
        <w:rPr>
          <w:rFonts w:hint="eastAsia"/>
          <w:sz w:val="24"/>
          <w:lang w:val="en-US" w:eastAsia="zh-CN"/>
        </w:rPr>
      </w:pPr>
      <w:r>
        <w:rPr>
          <w:rFonts w:hint="eastAsia"/>
          <w:sz w:val="24"/>
        </w:rPr>
        <w:t>一、收入支出决算总表</w:t>
      </w:r>
      <w:r>
        <w:rPr>
          <w:rFonts w:hint="eastAsia"/>
          <w:sz w:val="24"/>
          <w:lang w:val="en-US" w:eastAsia="zh-CN"/>
        </w:rPr>
        <w:t>............................................................................50</w:t>
      </w:r>
    </w:p>
    <w:p>
      <w:pPr>
        <w:pStyle w:val="31"/>
        <w:spacing w:line="440" w:lineRule="exact"/>
        <w:jc w:val="left"/>
        <w:rPr>
          <w:rFonts w:hint="eastAsia"/>
          <w:sz w:val="24"/>
          <w:lang w:val="en-US" w:eastAsia="zh-CN"/>
        </w:rPr>
      </w:pPr>
      <w:r>
        <w:rPr>
          <w:rFonts w:hint="eastAsia"/>
          <w:sz w:val="24"/>
        </w:rPr>
        <w:t>二、收入决算表</w:t>
      </w:r>
      <w:r>
        <w:rPr>
          <w:rFonts w:hint="eastAsia"/>
          <w:sz w:val="24"/>
          <w:lang w:val="en-US" w:eastAsia="zh-CN"/>
        </w:rPr>
        <w:t>........................................................................................50</w:t>
      </w:r>
    </w:p>
    <w:p>
      <w:pPr>
        <w:pStyle w:val="31"/>
        <w:spacing w:line="440" w:lineRule="exact"/>
        <w:jc w:val="left"/>
        <w:rPr>
          <w:rFonts w:hint="eastAsia"/>
          <w:sz w:val="24"/>
          <w:lang w:val="en-US" w:eastAsia="zh-CN"/>
        </w:rPr>
      </w:pPr>
      <w:r>
        <w:rPr>
          <w:rFonts w:hint="eastAsia"/>
          <w:sz w:val="24"/>
        </w:rPr>
        <w:t>三、支出决算表</w:t>
      </w:r>
      <w:r>
        <w:rPr>
          <w:rFonts w:hint="eastAsia"/>
          <w:sz w:val="24"/>
          <w:lang w:val="en-US" w:eastAsia="zh-CN"/>
        </w:rPr>
        <w:t>........................................................................................50</w:t>
      </w:r>
    </w:p>
    <w:p>
      <w:pPr>
        <w:pStyle w:val="31"/>
        <w:spacing w:line="440" w:lineRule="exact"/>
        <w:jc w:val="left"/>
        <w:rPr>
          <w:rFonts w:hint="eastAsia"/>
          <w:sz w:val="24"/>
          <w:lang w:val="en-US" w:eastAsia="zh-CN"/>
        </w:rPr>
      </w:pPr>
      <w:r>
        <w:rPr>
          <w:rFonts w:hint="eastAsia"/>
          <w:sz w:val="24"/>
        </w:rPr>
        <w:t>四、财政拨款收入支出决算总表</w:t>
      </w:r>
      <w:r>
        <w:rPr>
          <w:rFonts w:hint="eastAsia"/>
          <w:sz w:val="24"/>
          <w:lang w:val="en-US" w:eastAsia="zh-CN"/>
        </w:rPr>
        <w:t>............................................................50</w:t>
      </w:r>
    </w:p>
    <w:p>
      <w:pPr>
        <w:pStyle w:val="31"/>
        <w:spacing w:line="440" w:lineRule="exact"/>
        <w:jc w:val="left"/>
        <w:rPr>
          <w:rFonts w:hint="eastAsia"/>
          <w:sz w:val="24"/>
          <w:lang w:val="en-US" w:eastAsia="zh-CN"/>
        </w:rPr>
      </w:pPr>
      <w:r>
        <w:rPr>
          <w:rFonts w:hint="eastAsia"/>
          <w:sz w:val="24"/>
        </w:rPr>
        <w:t>五、财政拨款支出决算明细表</w:t>
      </w:r>
      <w:r>
        <w:rPr>
          <w:rFonts w:hint="eastAsia"/>
          <w:sz w:val="24"/>
          <w:lang w:val="en-US" w:eastAsia="zh-CN"/>
        </w:rPr>
        <w:t>................................................................50</w:t>
      </w:r>
    </w:p>
    <w:p>
      <w:pPr>
        <w:pStyle w:val="31"/>
        <w:spacing w:line="440" w:lineRule="exact"/>
        <w:jc w:val="left"/>
        <w:rPr>
          <w:rFonts w:hint="default"/>
          <w:sz w:val="24"/>
          <w:lang w:val="en-US"/>
        </w:rPr>
      </w:pPr>
      <w:r>
        <w:rPr>
          <w:rFonts w:hint="eastAsia"/>
          <w:sz w:val="24"/>
        </w:rPr>
        <w:t>六、一般公共预算财政拨款支出决算表</w:t>
      </w:r>
      <w:r>
        <w:rPr>
          <w:rFonts w:hint="eastAsia"/>
          <w:sz w:val="24"/>
          <w:lang w:val="en-US" w:eastAsia="zh-CN"/>
        </w:rPr>
        <w:t>................................................50</w:t>
      </w:r>
    </w:p>
    <w:p>
      <w:pPr>
        <w:pStyle w:val="31"/>
        <w:spacing w:line="440" w:lineRule="exact"/>
        <w:jc w:val="left"/>
        <w:rPr>
          <w:rFonts w:hint="eastAsia"/>
          <w:sz w:val="24"/>
          <w:lang w:val="en-US" w:eastAsia="zh-CN"/>
        </w:rPr>
      </w:pPr>
      <w:r>
        <w:rPr>
          <w:rFonts w:hint="eastAsia"/>
          <w:sz w:val="24"/>
        </w:rPr>
        <w:t>七、一般公共预算财政拨款支出决算明细表</w:t>
      </w:r>
      <w:r>
        <w:rPr>
          <w:rFonts w:hint="eastAsia"/>
          <w:sz w:val="24"/>
          <w:lang w:val="en-US" w:eastAsia="zh-CN"/>
        </w:rPr>
        <w:t>........................................50</w:t>
      </w:r>
    </w:p>
    <w:p>
      <w:pPr>
        <w:pStyle w:val="31"/>
        <w:spacing w:line="440" w:lineRule="exact"/>
        <w:jc w:val="left"/>
        <w:rPr>
          <w:rFonts w:hint="default"/>
          <w:sz w:val="24"/>
          <w:lang w:val="en-US"/>
        </w:rPr>
      </w:pPr>
      <w:r>
        <w:rPr>
          <w:rFonts w:hint="eastAsia"/>
          <w:sz w:val="24"/>
        </w:rPr>
        <w:t>八、一般公共预算财政拨款基本支出决算明细表</w:t>
      </w:r>
      <w:r>
        <w:rPr>
          <w:rFonts w:hint="eastAsia"/>
          <w:sz w:val="24"/>
          <w:lang w:val="en-US" w:eastAsia="zh-CN"/>
        </w:rPr>
        <w:t>................................50</w:t>
      </w:r>
    </w:p>
    <w:p>
      <w:pPr>
        <w:pStyle w:val="31"/>
        <w:spacing w:line="440" w:lineRule="exact"/>
        <w:jc w:val="left"/>
        <w:rPr>
          <w:rFonts w:hint="default"/>
          <w:sz w:val="24"/>
          <w:lang w:val="en-US"/>
        </w:rPr>
      </w:pPr>
      <w:r>
        <w:rPr>
          <w:rFonts w:hint="eastAsia"/>
          <w:sz w:val="24"/>
        </w:rPr>
        <w:t>九、一般公共预算财政拨款项目支出决算表</w:t>
      </w:r>
      <w:r>
        <w:rPr>
          <w:rFonts w:hint="eastAsia"/>
          <w:sz w:val="24"/>
          <w:lang w:val="en-US" w:eastAsia="zh-CN"/>
        </w:rPr>
        <w:t>........................................50</w:t>
      </w:r>
    </w:p>
    <w:p>
      <w:pPr>
        <w:pStyle w:val="31"/>
        <w:spacing w:line="440" w:lineRule="exact"/>
        <w:jc w:val="left"/>
        <w:rPr>
          <w:rFonts w:hint="default"/>
          <w:sz w:val="24"/>
          <w:lang w:val="en-US"/>
        </w:rPr>
      </w:pPr>
      <w:r>
        <w:rPr>
          <w:rFonts w:hint="eastAsia"/>
          <w:sz w:val="24"/>
        </w:rPr>
        <w:t>十、政府性基金预算财政拨款收入支出决算表</w:t>
      </w:r>
      <w:r>
        <w:rPr>
          <w:rFonts w:hint="eastAsia"/>
          <w:sz w:val="24"/>
          <w:lang w:val="en-US" w:eastAsia="zh-CN"/>
        </w:rPr>
        <w:t>....................................50</w:t>
      </w:r>
    </w:p>
    <w:p>
      <w:pPr>
        <w:pStyle w:val="31"/>
        <w:spacing w:line="440" w:lineRule="exact"/>
        <w:jc w:val="left"/>
        <w:rPr>
          <w:rFonts w:hint="eastAsia"/>
          <w:sz w:val="24"/>
          <w:lang w:val="en-US" w:eastAsia="zh-CN"/>
        </w:rPr>
      </w:pPr>
      <w:r>
        <w:rPr>
          <w:rFonts w:hint="eastAsia"/>
          <w:sz w:val="24"/>
        </w:rPr>
        <w:t>十一、国有资本经营预算财政拨款收入支出决算表</w:t>
      </w:r>
      <w:r>
        <w:rPr>
          <w:rFonts w:hint="eastAsia"/>
          <w:sz w:val="24"/>
          <w:lang w:val="en-US" w:eastAsia="zh-CN"/>
        </w:rPr>
        <w:t>............................50</w:t>
      </w:r>
    </w:p>
    <w:p>
      <w:pPr>
        <w:pStyle w:val="31"/>
        <w:spacing w:line="440" w:lineRule="exact"/>
        <w:jc w:val="left"/>
        <w:rPr>
          <w:rFonts w:hint="eastAsia"/>
          <w:sz w:val="24"/>
          <w:lang w:val="en-US" w:eastAsia="zh-CN"/>
        </w:rPr>
      </w:pPr>
      <w:r>
        <w:rPr>
          <w:rFonts w:hint="eastAsia"/>
          <w:sz w:val="24"/>
        </w:rPr>
        <w:t>十二、国有资本经营预算财政拨款支出决算表</w:t>
      </w:r>
      <w:r>
        <w:rPr>
          <w:rFonts w:hint="eastAsia"/>
          <w:sz w:val="24"/>
          <w:lang w:val="en-US" w:eastAsia="zh-CN"/>
        </w:rPr>
        <w:t>....................................50</w:t>
      </w:r>
    </w:p>
    <w:p>
      <w:pPr>
        <w:pStyle w:val="31"/>
        <w:spacing w:line="440" w:lineRule="exact"/>
        <w:jc w:val="left"/>
        <w:rPr>
          <w:rFonts w:hint="default" w:asciiTheme="minorEastAsia" w:hAnsiTheme="minorEastAsia" w:eastAsiaTheme="minorEastAsia" w:cstheme="minorEastAsia"/>
          <w:sz w:val="24"/>
          <w:lang w:val="en-US"/>
        </w:rPr>
      </w:pPr>
      <w:r>
        <w:rPr>
          <w:rFonts w:hint="eastAsia"/>
          <w:sz w:val="24"/>
        </w:rPr>
        <w:t>十三、财政拨款“三公”经费支出决算表</w:t>
      </w:r>
      <w:r>
        <w:rPr>
          <w:rFonts w:hint="eastAsia"/>
          <w:sz w:val="24"/>
          <w:lang w:val="en-US" w:eastAsia="zh-CN"/>
        </w:rPr>
        <w:t>............................................50</w:t>
      </w:r>
    </w:p>
    <w:p>
      <w:pPr>
        <w:pStyle w:val="3"/>
        <w:jc w:val="center"/>
        <w:rPr>
          <w:rStyle w:val="196"/>
          <w:rFonts w:ascii="黑体" w:hAnsi="黑体" w:eastAsia="黑体"/>
          <w:b/>
          <w:bCs w:val="0"/>
        </w:rPr>
      </w:pPr>
      <w:bookmarkStart w:id="12" w:name="_Toc15377196"/>
      <w:bookmarkStart w:id="13" w:name="_Toc15396599"/>
      <w:r>
        <w:rPr>
          <w:rFonts w:hint="eastAsia" w:ascii="黑体" w:hAnsi="黑体" w:eastAsia="黑体"/>
          <w:b w:val="0"/>
        </w:rPr>
        <w:t xml:space="preserve">第一部分 </w:t>
      </w:r>
      <w:r>
        <w:rPr>
          <w:rStyle w:val="196"/>
          <w:rFonts w:hint="eastAsia" w:ascii="黑体" w:hAnsi="黑体" w:eastAsia="黑体"/>
          <w:b w:val="0"/>
          <w:bCs w:val="0"/>
        </w:rPr>
        <w:t>部门概况</w:t>
      </w:r>
      <w:bookmarkEnd w:id="12"/>
      <w:bookmarkEnd w:id="13"/>
    </w:p>
    <w:p>
      <w:pPr>
        <w:pStyle w:val="4"/>
        <w:numPr>
          <w:ilvl w:val="0"/>
          <w:numId w:val="0"/>
        </w:numPr>
        <w:ind w:firstLine="640"/>
        <w:rPr>
          <w:rFonts w:hint="eastAsia" w:ascii="黑体" w:hAnsi="黑体" w:eastAsia="黑体"/>
          <w:b w:val="0"/>
        </w:rPr>
      </w:pPr>
      <w:r>
        <w:rPr>
          <w:rFonts w:hint="eastAsia" w:ascii="黑体" w:hAnsi="黑体" w:eastAsia="黑体"/>
          <w:b w:val="0"/>
          <w:lang w:val="en-US" w:eastAsia="zh-CN"/>
        </w:rPr>
        <w:t xml:space="preserve">一、 </w:t>
      </w:r>
      <w:r>
        <w:rPr>
          <w:rFonts w:hint="eastAsia" w:ascii="黑体" w:hAnsi="黑体" w:eastAsia="黑体"/>
          <w:b w:val="0"/>
        </w:rPr>
        <w:t>部门职责</w:t>
      </w:r>
    </w:p>
    <w:p>
      <w:pPr>
        <w:keepNext/>
        <w:keepLines/>
        <w:spacing w:line="576" w:lineRule="exact"/>
        <w:ind w:firstLine="640"/>
        <w:jc w:val="both"/>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lang w:val="zh-CN"/>
        </w:rPr>
        <w:t>组织推动全县文化、广播电视和旅游业发展，拟定发展规划并组织实施，推进文化广播电视和旅游体制机制改革，推进文化广播电视和旅游融合发展</w:t>
      </w:r>
      <w:r>
        <w:rPr>
          <w:rFonts w:hint="eastAsia" w:ascii="仿宋_GB2312" w:hAnsi="仿宋_GB2312" w:eastAsia="仿宋_GB2312"/>
          <w:color w:val="000000"/>
          <w:sz w:val="32"/>
          <w:lang w:val="en-US" w:eastAsia="zh-CN"/>
        </w:rPr>
        <w:t>。</w:t>
      </w:r>
    </w:p>
    <w:p>
      <w:pPr>
        <w:keepNext/>
        <w:keepLines/>
        <w:spacing w:line="576"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lang w:val="zh-CN"/>
        </w:rPr>
        <w:t>指导、管理全县文化、广播电视和旅游发展领域的公共服务体系建设。</w:t>
      </w:r>
    </w:p>
    <w:p>
      <w:pPr>
        <w:keepNext/>
        <w:keepLines/>
        <w:spacing w:line="576"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组织、指导、管理全县文化、广播电视和旅游基础设施重大工程设施建设，组织全县文化广播电视和旅游宣传推广，促进文化广播电视和旅游产业对外合作与市场推广，制定旅游市场开发战略并组织实施，推进全域旅游。</w:t>
      </w:r>
    </w:p>
    <w:p>
      <w:pPr>
        <w:keepNext/>
        <w:keepLines/>
        <w:spacing w:line="576"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lang w:val="zh-CN"/>
        </w:rPr>
        <w:t>指导、管理县级公共文化设施；组织、指导开展社会群众文化活动。</w:t>
      </w:r>
    </w:p>
    <w:p>
      <w:pPr>
        <w:keepNext/>
        <w:keepLines/>
        <w:spacing w:line="576"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lang w:val="zh-CN"/>
        </w:rPr>
        <w:t>依法管理社会文化和旅游市场。负责文化旅游市场领域综合行政执法工作，组织查处全县性、跨区域文化、文物、广播电视、旅游等市场的违法行为，开展扫黄打非集中行动，维护市场秩序。</w:t>
      </w:r>
    </w:p>
    <w:p>
      <w:pPr>
        <w:keepNext/>
        <w:keepLines/>
        <w:spacing w:line="576"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6.</w:t>
      </w:r>
      <w:r>
        <w:rPr>
          <w:rFonts w:hint="eastAsia" w:ascii="仿宋_GB2312" w:hAnsi="仿宋_GB2312" w:eastAsia="仿宋_GB2312"/>
          <w:color w:val="000000"/>
          <w:sz w:val="32"/>
          <w:lang w:val="zh-CN"/>
        </w:rPr>
        <w:t>负责全县广播电视与新媒体新技术新业态融合发展，推进“三网融合”。负责广播电视节目传输覆盖、监测和安全播出的监督管理，指导、推进应急广播电视体系。</w:t>
      </w:r>
    </w:p>
    <w:p>
      <w:pPr>
        <w:numPr>
          <w:ilvl w:val="0"/>
          <w:numId w:val="0"/>
        </w:numPr>
        <w:rPr>
          <w:rFonts w:hint="eastAsia" w:eastAsia="宋体"/>
          <w:lang w:val="en-US" w:eastAsia="zh-CN"/>
        </w:rPr>
      </w:pPr>
    </w:p>
    <w:p>
      <w:pPr>
        <w:pStyle w:val="4"/>
        <w:ind w:firstLine="640"/>
        <w:rPr>
          <w:rStyle w:val="197"/>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197"/>
          <w:rFonts w:hint="eastAsia" w:ascii="黑体" w:hAnsi="黑体" w:eastAsia="黑体"/>
          <w:b w:val="0"/>
          <w:bCs w:val="0"/>
        </w:rPr>
        <w:t>构设置</w:t>
      </w:r>
      <w:bookmarkEnd w:id="14"/>
      <w:bookmarkEnd w:id="15"/>
    </w:p>
    <w:p>
      <w:pPr>
        <w:ind w:firstLine="800"/>
        <w:rPr>
          <w:rFonts w:ascii="仿宋" w:hAnsi="仿宋" w:eastAsia="仿宋"/>
          <w:sz w:val="32"/>
          <w:szCs w:val="32"/>
        </w:rPr>
      </w:pPr>
      <w:r>
        <w:rPr>
          <w:sz w:val="32"/>
          <w:szCs w:val="32"/>
        </w:rPr>
        <w:t>盐边县文化广播电视和旅游局</w:t>
      </w:r>
      <w:r>
        <w:rPr>
          <w:rFonts w:hint="eastAsia" w:ascii="仿宋" w:hAnsi="仿宋" w:eastAsia="仿宋"/>
          <w:sz w:val="32"/>
          <w:szCs w:val="32"/>
        </w:rPr>
        <w:t>下属二级预算单位</w:t>
      </w:r>
      <w:r>
        <w:rPr>
          <w:rFonts w:hint="eastAsia"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14"/>
        <w:spacing w:before="93" w:line="600" w:lineRule="exact"/>
        <w:ind w:firstLine="672"/>
        <w:rPr>
          <w:rFonts w:ascii="仿宋" w:hAnsi="仿宋" w:eastAsia="仿宋"/>
          <w:sz w:val="32"/>
          <w:szCs w:val="32"/>
        </w:rPr>
      </w:pPr>
      <w:r>
        <w:rPr>
          <w:rFonts w:hint="eastAsia" w:ascii="仿宋" w:hAnsi="仿宋" w:eastAsia="仿宋"/>
          <w:sz w:val="32"/>
          <w:szCs w:val="32"/>
        </w:rPr>
        <w:t>纳入</w:t>
      </w:r>
      <w:r>
        <w:rPr>
          <w:rFonts w:ascii="Times New Roman" w:eastAsia="宋体"/>
          <w:sz w:val="32"/>
          <w:szCs w:val="32"/>
        </w:rPr>
        <w:t>盐边县文化广播电视和旅游局</w:t>
      </w:r>
      <w:r>
        <w:rPr>
          <w:rFonts w:hint="eastAsia" w:ascii="仿宋" w:hAnsi="仿宋" w:eastAsia="仿宋"/>
          <w:sz w:val="32"/>
          <w:szCs w:val="32"/>
        </w:rPr>
        <w:t>2023年度部门决算编制范围的二级预算单位包括：</w:t>
      </w:r>
    </w:p>
    <w:p>
      <w:pPr>
        <w:widowControl/>
        <w:spacing w:line="590" w:lineRule="exact"/>
        <w:ind w:firstLine="640"/>
        <w:rPr>
          <w:rFonts w:hint="eastAsia" w:ascii="仿宋_GB2312" w:hAnsi="仿宋_GB2312" w:eastAsia="仿宋_GB2312"/>
          <w:color w:val="000000"/>
          <w:sz w:val="32"/>
          <w:lang w:val="zh-CN"/>
        </w:rPr>
      </w:pPr>
      <w:bookmarkStart w:id="16" w:name="_Toc15377203"/>
      <w:bookmarkStart w:id="17" w:name="_Toc15377434"/>
      <w:bookmarkStart w:id="18" w:name="_Toc15306277"/>
      <w:bookmarkStart w:id="19" w:name="_Toc15378450"/>
      <w:r>
        <w:rPr>
          <w:rFonts w:hint="eastAsia" w:ascii="仿宋_GB2312" w:hAnsi="仿宋_GB2312" w:eastAsia="仿宋_GB2312"/>
          <w:color w:val="000000"/>
          <w:sz w:val="32"/>
          <w:lang w:val="zh-CN"/>
        </w:rPr>
        <w:t>盐边县文化广播电视和旅游局</w:t>
      </w:r>
      <w:r>
        <w:rPr>
          <w:rFonts w:hint="eastAsia" w:ascii="仿宋_GB2312" w:hAnsi="仿宋_GB2312" w:eastAsia="仿宋_GB2312"/>
          <w:color w:val="000000"/>
          <w:sz w:val="32"/>
          <w:lang w:val="en-US"/>
        </w:rPr>
        <w:t>下属二级单位</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lang w:val="en-US"/>
        </w:rPr>
        <w:t>个，</w:t>
      </w:r>
      <w:r>
        <w:rPr>
          <w:rFonts w:hint="eastAsia" w:ascii="仿宋_GB2312" w:hAnsi="仿宋_GB2312" w:eastAsia="仿宋_GB2312"/>
          <w:color w:val="000000"/>
          <w:sz w:val="32"/>
          <w:lang w:val="en-US" w:eastAsia="zh-CN"/>
        </w:rPr>
        <w:t>为</w:t>
      </w:r>
      <w:r>
        <w:rPr>
          <w:rFonts w:hint="eastAsia" w:ascii="仿宋_GB2312" w:hAnsi="仿宋_GB2312" w:eastAsia="仿宋_GB2312"/>
          <w:color w:val="000000"/>
          <w:sz w:val="32"/>
          <w:lang w:val="en-US"/>
        </w:rPr>
        <w:t>其他事业单位</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lang w:val="en-US"/>
        </w:rPr>
        <w:t>个。</w:t>
      </w:r>
      <w:r>
        <w:rPr>
          <w:rFonts w:hint="eastAsia" w:ascii="仿宋_GB2312" w:hAnsi="仿宋_GB2312" w:eastAsia="仿宋_GB2312"/>
          <w:color w:val="000000"/>
          <w:sz w:val="32"/>
          <w:lang w:val="zh-CN"/>
        </w:rPr>
        <w:t>与盐边县北部工作委员会(格萨拉温泉柏林山生态经济区管理委员会)和盐边县文化和旅游公共服务中心合署办公。</w:t>
      </w:r>
    </w:p>
    <w:p>
      <w:pPr>
        <w:spacing w:before="93" w:line="576"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纳入盐边县文化广播电视和旅游局202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年度部门决算编制范围的预算单位包括：</w:t>
      </w:r>
    </w:p>
    <w:p>
      <w:pPr>
        <w:pStyle w:val="14"/>
        <w:numPr>
          <w:ilvl w:val="0"/>
          <w:numId w:val="1"/>
        </w:numPr>
        <w:spacing w:before="93" w:line="600" w:lineRule="exact"/>
        <w:ind w:left="1152"/>
        <w:outlineLvl w:val="2"/>
        <w:rPr>
          <w:rFonts w:hint="eastAsia" w:ascii="仿宋_GB2312" w:hAnsi="仿宋_GB2312" w:eastAsia="仿宋_GB2312"/>
          <w:color w:val="000000"/>
          <w:sz w:val="32"/>
          <w:lang w:val="zh-CN"/>
        </w:rPr>
      </w:pPr>
      <w:bookmarkStart w:id="20" w:name="_Toc15378449"/>
      <w:bookmarkStart w:id="21" w:name="_Toc52180071"/>
      <w:bookmarkStart w:id="22" w:name="_Toc15377202"/>
      <w:bookmarkStart w:id="23" w:name="_Toc15306276"/>
      <w:bookmarkStart w:id="24" w:name="_Toc15377433"/>
      <w:bookmarkStart w:id="25" w:name="OLE_LINK3"/>
      <w:r>
        <w:rPr>
          <w:rFonts w:hint="eastAsia" w:ascii="仿宋_GB2312" w:hAnsi="仿宋_GB2312" w:eastAsia="仿宋_GB2312"/>
          <w:color w:val="000000"/>
          <w:sz w:val="32"/>
          <w:lang w:val="zh-CN"/>
        </w:rPr>
        <w:t>盐边县文化和旅游公共服务中心</w:t>
      </w:r>
      <w:bookmarkEnd w:id="20"/>
      <w:bookmarkEnd w:id="21"/>
      <w:bookmarkEnd w:id="22"/>
      <w:bookmarkEnd w:id="23"/>
      <w:bookmarkEnd w:id="24"/>
      <w:bookmarkEnd w:id="25"/>
    </w:p>
    <w:p>
      <w:pPr>
        <w:pStyle w:val="14"/>
        <w:numPr>
          <w:ilvl w:val="0"/>
          <w:numId w:val="1"/>
        </w:numPr>
        <w:spacing w:before="93" w:line="600" w:lineRule="exact"/>
        <w:outlineLvl w:val="2"/>
        <w:rPr>
          <w:rFonts w:hint="eastAsia" w:ascii="仿宋_GB2312" w:hAnsi="仿宋_GB2312" w:eastAsia="仿宋_GB2312"/>
          <w:color w:val="000000"/>
          <w:sz w:val="32"/>
          <w:lang w:val="zh-CN"/>
        </w:rPr>
      </w:pPr>
      <w:r>
        <w:rPr>
          <w:rFonts w:hint="eastAsia" w:ascii="仿宋_GB2312" w:hAnsi="仿宋_GB2312" w:eastAsia="仿宋_GB2312"/>
          <w:color w:val="000000"/>
          <w:sz w:val="32"/>
          <w:lang w:val="zh-CN"/>
        </w:rPr>
        <w:t>盐边县北部工作委员会(格萨拉温泉柏林山生态经济区管理委员会)</w:t>
      </w:r>
      <w:bookmarkEnd w:id="16"/>
      <w:bookmarkEnd w:id="17"/>
      <w:bookmarkEnd w:id="18"/>
      <w:bookmarkEnd w:id="19"/>
    </w:p>
    <w:p>
      <w:pPr>
        <w:widowControl/>
        <w:jc w:val="left"/>
        <w:rPr>
          <w:rFonts w:ascii="仿宋" w:hAnsi="仿宋" w:eastAsia="仿宋"/>
          <w:sz w:val="32"/>
          <w:szCs w:val="32"/>
        </w:rPr>
      </w:pPr>
      <w:r>
        <w:rPr>
          <w:rFonts w:ascii="仿宋" w:hAnsi="仿宋" w:eastAsia="仿宋"/>
          <w:sz w:val="32"/>
          <w:szCs w:val="32"/>
        </w:rPr>
        <w:br w:type="page" w:clear="all"/>
      </w:r>
    </w:p>
    <w:p>
      <w:pPr>
        <w:pStyle w:val="3"/>
        <w:ind w:right="440"/>
        <w:jc w:val="center"/>
        <w:rPr>
          <w:rStyle w:val="196"/>
          <w:rFonts w:ascii="黑体" w:hAnsi="黑体" w:eastAsia="黑体"/>
          <w:b w:val="0"/>
          <w:bCs/>
        </w:rPr>
      </w:pPr>
      <w:bookmarkStart w:id="26" w:name="_Toc15396602"/>
      <w:bookmarkStart w:id="27" w:name="_Toc15377204"/>
      <w:r>
        <w:rPr>
          <w:rFonts w:hint="eastAsia" w:ascii="黑体" w:hAnsi="黑体" w:eastAsia="黑体"/>
          <w:b w:val="0"/>
        </w:rPr>
        <w:t>第二部分 2023年度</w:t>
      </w:r>
      <w:r>
        <w:rPr>
          <w:rStyle w:val="196"/>
          <w:rFonts w:hint="eastAsia" w:ascii="黑体" w:hAnsi="黑体" w:eastAsia="黑体"/>
          <w:b w:val="0"/>
          <w:bCs/>
        </w:rPr>
        <w:t>部门决算情况说明</w:t>
      </w:r>
      <w:bookmarkEnd w:id="26"/>
      <w:bookmarkEnd w:id="27"/>
    </w:p>
    <w:p/>
    <w:p>
      <w:pPr>
        <w:pStyle w:val="195"/>
        <w:numPr>
          <w:ilvl w:val="0"/>
          <w:numId w:val="2"/>
        </w:numPr>
        <w:spacing w:line="600" w:lineRule="exact"/>
        <w:outlineLvl w:val="1"/>
        <w:rPr>
          <w:rStyle w:val="197"/>
          <w:rFonts w:ascii="黑体" w:hAnsi="黑体" w:eastAsia="黑体"/>
          <w:b w:val="0"/>
        </w:rPr>
      </w:pPr>
      <w:bookmarkStart w:id="28" w:name="_Toc15377205"/>
      <w:bookmarkStart w:id="29" w:name="_Toc15396603"/>
      <w:r>
        <w:rPr>
          <w:rFonts w:hint="eastAsia" w:ascii="黑体" w:hAnsi="黑体" w:eastAsia="黑体"/>
          <w:sz w:val="32"/>
          <w:szCs w:val="32"/>
        </w:rPr>
        <w:t>收</w:t>
      </w:r>
      <w:r>
        <w:rPr>
          <w:rStyle w:val="197"/>
          <w:rFonts w:hint="eastAsia" w:ascii="黑体" w:hAnsi="黑体" w:eastAsia="黑体"/>
          <w:b w:val="0"/>
        </w:rPr>
        <w:t>入支出决算总体情况说明</w:t>
      </w:r>
      <w:bookmarkEnd w:id="28"/>
      <w:bookmarkEnd w:id="29"/>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2226.18</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394.38</w:t>
      </w:r>
      <w:r>
        <w:rPr>
          <w:rFonts w:hint="eastAsia" w:ascii="仿宋" w:hAnsi="仿宋" w:eastAsia="仿宋"/>
          <w:sz w:val="32"/>
          <w:szCs w:val="32"/>
        </w:rPr>
        <w:t>万元，增长</w:t>
      </w:r>
      <w:r>
        <w:rPr>
          <w:rFonts w:hint="eastAsia" w:ascii="仿宋" w:hAnsi="仿宋" w:eastAsia="仿宋"/>
          <w:sz w:val="32"/>
          <w:szCs w:val="32"/>
          <w:lang w:val="en-US" w:eastAsia="zh-CN"/>
        </w:rPr>
        <w:t>21.53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增加天府旅游名县创建经费和上级补助公共文化（文旅融合项目）经费</w:t>
      </w:r>
      <w:r>
        <w:rPr>
          <w:rFonts w:hint="eastAsia" w:ascii="仿宋" w:hAnsi="仿宋" w:eastAsia="仿宋"/>
          <w:sz w:val="32"/>
          <w:szCs w:val="32"/>
        </w:rPr>
        <w:t>。</w:t>
      </w:r>
    </w:p>
    <w:p>
      <w:pPr>
        <w:rPr>
          <w:rFonts w:hint="eastAsia" w:ascii="仿宋" w:hAnsi="仿宋" w:eastAsia="仿宋"/>
          <w:sz w:val="32"/>
          <w:szCs w:val="32"/>
        </w:rPr>
      </w:pPr>
    </w:p>
    <w:p>
      <w:pPr>
        <w:pStyle w:val="2"/>
        <w:rPr>
          <w:rFonts w:hint="eastAsia" w:ascii="仿宋" w:hAnsi="仿宋" w:eastAsia="仿宋"/>
          <w:sz w:val="32"/>
          <w:szCs w:val="32"/>
        </w:rPr>
      </w:pPr>
      <w:r>
        <w:rPr>
          <w:rFonts w:hint="eastAsia"/>
          <w:lang w:val="en-US" w:eastAsia="zh-CN"/>
        </w:rPr>
        <w:t xml:space="preserve">                </w:t>
      </w:r>
      <w:r>
        <w:drawing>
          <wp:inline distT="0" distB="0" distL="0" distR="0">
            <wp:extent cx="3020060" cy="2350770"/>
            <wp:effectExtent l="4445" t="4445" r="2349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rPr>
          <w:rFonts w:hint="eastAsia"/>
        </w:rPr>
      </w:pPr>
    </w:p>
    <w:p>
      <w:pPr>
        <w:spacing w:line="600" w:lineRule="exact"/>
        <w:ind w:firstLine="64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sz w:val="32"/>
          <w:szCs w:val="32"/>
          <w:lang w:val="en-US" w:eastAsia="zh-CN"/>
        </w:rPr>
        <w:t>2022、2023年</w:t>
      </w:r>
      <w:r>
        <w:rPr>
          <w:rFonts w:hint="eastAsia" w:ascii="仿宋" w:hAnsi="仿宋" w:eastAsia="仿宋"/>
          <w:sz w:val="32"/>
          <w:szCs w:val="32"/>
        </w:rPr>
        <w:t>收、支决算总计变动情况柱状图）</w:t>
      </w:r>
    </w:p>
    <w:p>
      <w:pPr>
        <w:spacing w:line="600" w:lineRule="exact"/>
        <w:ind w:firstLine="640"/>
        <w:jc w:val="left"/>
        <w:rPr>
          <w:rFonts w:ascii="仿宋_GB2312" w:eastAsia="仿宋_GB2312"/>
          <w:sz w:val="32"/>
          <w:szCs w:val="32"/>
        </w:rPr>
      </w:pPr>
    </w:p>
    <w:p>
      <w:pPr>
        <w:pStyle w:val="195"/>
        <w:numPr>
          <w:ilvl w:val="0"/>
          <w:numId w:val="2"/>
        </w:numPr>
        <w:spacing w:line="600" w:lineRule="exact"/>
        <w:outlineLvl w:val="1"/>
        <w:rPr>
          <w:rStyle w:val="197"/>
          <w:rFonts w:ascii="黑体" w:hAnsi="黑体" w:eastAsia="黑体"/>
          <w:b w:val="0"/>
        </w:rPr>
      </w:pPr>
      <w:bookmarkStart w:id="30" w:name="_Toc15377206"/>
      <w:bookmarkStart w:id="31" w:name="_Toc15396604"/>
      <w:r>
        <w:rPr>
          <w:rFonts w:hint="eastAsia" w:ascii="黑体" w:hAnsi="黑体" w:eastAsia="黑体"/>
          <w:sz w:val="32"/>
          <w:szCs w:val="32"/>
        </w:rPr>
        <w:t>收</w:t>
      </w:r>
      <w:r>
        <w:rPr>
          <w:rStyle w:val="197"/>
          <w:rFonts w:hint="eastAsia" w:ascii="黑体" w:hAnsi="黑体" w:eastAsia="黑体"/>
          <w:b w:val="0"/>
        </w:rPr>
        <w:t>入决算情况说明</w:t>
      </w:r>
      <w:bookmarkEnd w:id="30"/>
      <w:bookmarkEnd w:id="31"/>
    </w:p>
    <w:p>
      <w:pPr>
        <w:spacing w:line="600" w:lineRule="exact"/>
        <w:ind w:firstLine="64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2226.18</w:t>
      </w:r>
      <w:r>
        <w:rPr>
          <w:rFonts w:hint="eastAsia" w:ascii="仿宋" w:hAnsi="仿宋" w:eastAsia="仿宋"/>
          <w:sz w:val="32"/>
          <w:szCs w:val="32"/>
        </w:rPr>
        <w:t>万元，其中：一般公共预算财政拨款收入</w:t>
      </w:r>
      <w:r>
        <w:rPr>
          <w:sz w:val="32"/>
          <w:szCs w:val="32"/>
        </w:rPr>
        <w:t>2204.08</w:t>
      </w:r>
      <w:r>
        <w:rPr>
          <w:rFonts w:hint="eastAsia" w:ascii="仿宋" w:hAnsi="仿宋" w:eastAsia="仿宋"/>
          <w:sz w:val="32"/>
          <w:szCs w:val="32"/>
        </w:rPr>
        <w:t>万元，占</w:t>
      </w:r>
      <w:r>
        <w:rPr>
          <w:sz w:val="32"/>
          <w:szCs w:val="32"/>
        </w:rPr>
        <w:t>99</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22.1</w:t>
      </w:r>
      <w:r>
        <w:rPr>
          <w:rFonts w:hint="eastAsia" w:ascii="仿宋" w:hAnsi="仿宋" w:eastAsia="仿宋"/>
          <w:sz w:val="32"/>
          <w:szCs w:val="32"/>
        </w:rPr>
        <w:t>万元，占</w:t>
      </w:r>
      <w:r>
        <w:rPr>
          <w:sz w:val="32"/>
          <w:szCs w:val="32"/>
        </w:rPr>
        <w:t>0.99</w:t>
      </w:r>
      <w:r>
        <w:rPr>
          <w:rFonts w:ascii="仿宋" w:hAnsi="仿宋" w:eastAsia="仿宋"/>
          <w:sz w:val="32"/>
          <w:szCs w:val="32"/>
        </w:rPr>
        <w:t>%</w:t>
      </w:r>
      <w:r>
        <w:rPr>
          <w:rFonts w:hint="eastAsia" w:ascii="仿宋" w:hAnsi="仿宋" w:eastAsia="仿宋"/>
          <w:sz w:val="32"/>
          <w:szCs w:val="32"/>
        </w:rPr>
        <w:t>。</w:t>
      </w:r>
    </w:p>
    <w:p>
      <w:pPr>
        <w:pStyle w:val="2"/>
        <w:rPr>
          <w:rFonts w:ascii="仿宋" w:hAnsi="仿宋" w:eastAsia="仿宋"/>
          <w:sz w:val="32"/>
          <w:szCs w:val="32"/>
        </w:rPr>
      </w:pPr>
    </w:p>
    <w:p>
      <w:pPr>
        <w:rPr>
          <w:rFonts w:ascii="仿宋" w:hAnsi="仿宋" w:eastAsia="仿宋"/>
          <w:sz w:val="32"/>
          <w:szCs w:val="32"/>
        </w:rPr>
      </w:pPr>
      <w:r>
        <w:rPr>
          <w:rFonts w:hint="eastAsia"/>
          <w:lang w:val="en-US" w:eastAsia="zh-CN"/>
        </w:rPr>
        <w:t xml:space="preserve">          </w:t>
      </w:r>
      <w:r>
        <w:drawing>
          <wp:inline distT="0" distB="0" distL="0" distR="0">
            <wp:extent cx="3310255" cy="1925955"/>
            <wp:effectExtent l="4445" t="4445" r="19050" b="1270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rPr>
          <w:rFonts w:ascii="仿宋" w:hAnsi="仿宋" w:eastAsia="仿宋"/>
          <w:sz w:val="32"/>
          <w:szCs w:val="32"/>
        </w:rPr>
      </w:pPr>
    </w:p>
    <w:p/>
    <w:p>
      <w:pPr>
        <w:spacing w:line="600" w:lineRule="exact"/>
        <w:ind w:firstLine="960"/>
        <w:rPr>
          <w:rFonts w:hint="default" w:ascii="仿宋" w:hAnsi="仿宋" w:eastAsia="仿宋"/>
          <w:sz w:val="32"/>
          <w:szCs w:val="32"/>
          <w:lang w:val="en-US" w:eastAsia="zh-CN"/>
        </w:rPr>
      </w:pPr>
      <w:r>
        <w:rPr>
          <w:rFonts w:hint="eastAsia" w:ascii="仿宋" w:hAnsi="仿宋" w:eastAsia="仿宋"/>
          <w:sz w:val="32"/>
          <w:szCs w:val="32"/>
        </w:rPr>
        <w:t>（图2：</w:t>
      </w:r>
      <w:r>
        <w:rPr>
          <w:rFonts w:hint="eastAsia" w:ascii="仿宋" w:hAnsi="仿宋" w:eastAsia="仿宋"/>
          <w:sz w:val="32"/>
          <w:szCs w:val="32"/>
          <w:lang w:val="en-US" w:eastAsia="zh-CN"/>
        </w:rPr>
        <w:t>2023年</w:t>
      </w:r>
      <w:r>
        <w:rPr>
          <w:rFonts w:hint="eastAsia" w:ascii="仿宋" w:hAnsi="仿宋" w:eastAsia="仿宋"/>
          <w:sz w:val="32"/>
          <w:szCs w:val="32"/>
        </w:rPr>
        <w:t>收入决算结构饼状图）</w:t>
      </w:r>
      <w:r>
        <w:rPr>
          <w:rFonts w:hint="eastAsia" w:ascii="仿宋" w:hAnsi="仿宋" w:eastAsia="仿宋"/>
          <w:sz w:val="32"/>
          <w:szCs w:val="32"/>
          <w:lang w:val="en-US" w:eastAsia="zh-CN"/>
        </w:rPr>
        <w:t xml:space="preserve">  </w:t>
      </w:r>
    </w:p>
    <w:p>
      <w:pPr>
        <w:spacing w:line="600" w:lineRule="exact"/>
        <w:ind w:firstLine="640"/>
        <w:rPr>
          <w:rFonts w:ascii="仿宋_GB2312" w:eastAsia="仿宋_GB2312"/>
          <w:sz w:val="32"/>
          <w:szCs w:val="32"/>
        </w:rPr>
      </w:pPr>
    </w:p>
    <w:p>
      <w:pPr>
        <w:pStyle w:val="195"/>
        <w:numPr>
          <w:ilvl w:val="0"/>
          <w:numId w:val="2"/>
        </w:numPr>
        <w:spacing w:line="600" w:lineRule="exact"/>
        <w:outlineLvl w:val="1"/>
        <w:rPr>
          <w:rStyle w:val="197"/>
          <w:rFonts w:ascii="黑体" w:hAnsi="黑体" w:eastAsia="黑体"/>
          <w:b w:val="0"/>
        </w:rPr>
      </w:pPr>
      <w:bookmarkStart w:id="32" w:name="_Toc15377207"/>
      <w:bookmarkStart w:id="33" w:name="_Toc15396605"/>
      <w:r>
        <w:rPr>
          <w:rFonts w:hint="eastAsia" w:ascii="黑体" w:hAnsi="黑体" w:eastAsia="黑体"/>
          <w:sz w:val="32"/>
          <w:szCs w:val="32"/>
        </w:rPr>
        <w:t>支</w:t>
      </w:r>
      <w:r>
        <w:rPr>
          <w:rStyle w:val="197"/>
          <w:rFonts w:hint="eastAsia" w:ascii="黑体" w:hAnsi="黑体" w:eastAsia="黑体"/>
          <w:b w:val="0"/>
        </w:rPr>
        <w:t>出决算情况说明</w:t>
      </w:r>
      <w:bookmarkEnd w:id="32"/>
      <w:bookmarkEnd w:id="33"/>
    </w:p>
    <w:p>
      <w:pPr>
        <w:keepNext w:val="0"/>
        <w:keepLines w:val="0"/>
        <w:pageBreakBefore w:val="0"/>
        <w:widowControl w:val="0"/>
        <w:spacing w:line="360" w:lineRule="auto"/>
        <w:ind w:firstLine="64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2226.18</w:t>
      </w:r>
      <w:r>
        <w:rPr>
          <w:rFonts w:hint="eastAsia" w:ascii="仿宋" w:hAnsi="仿宋" w:eastAsia="仿宋"/>
          <w:sz w:val="32"/>
          <w:szCs w:val="32"/>
        </w:rPr>
        <w:t>万元，其中：基本支出</w:t>
      </w:r>
      <w:r>
        <w:rPr>
          <w:sz w:val="32"/>
          <w:szCs w:val="32"/>
        </w:rPr>
        <w:t>698.6</w:t>
      </w:r>
      <w:r>
        <w:rPr>
          <w:rFonts w:hint="eastAsia"/>
          <w:sz w:val="32"/>
          <w:szCs w:val="32"/>
          <w:lang w:val="en-US" w:eastAsia="zh-CN"/>
        </w:rPr>
        <w:t>4</w:t>
      </w:r>
      <w:r>
        <w:rPr>
          <w:rFonts w:hint="eastAsia" w:ascii="仿宋" w:hAnsi="仿宋" w:eastAsia="仿宋"/>
          <w:sz w:val="32"/>
          <w:szCs w:val="32"/>
        </w:rPr>
        <w:t>万元，占</w:t>
      </w:r>
      <w:r>
        <w:rPr>
          <w:sz w:val="32"/>
          <w:szCs w:val="32"/>
        </w:rPr>
        <w:t>31.38</w:t>
      </w:r>
      <w:r>
        <w:rPr>
          <w:rFonts w:ascii="仿宋" w:hAnsi="仿宋" w:eastAsia="仿宋"/>
          <w:sz w:val="32"/>
          <w:szCs w:val="32"/>
        </w:rPr>
        <w:t>%</w:t>
      </w:r>
      <w:r>
        <w:rPr>
          <w:rFonts w:hint="eastAsia" w:ascii="仿宋" w:hAnsi="仿宋" w:eastAsia="仿宋"/>
          <w:sz w:val="32"/>
          <w:szCs w:val="32"/>
        </w:rPr>
        <w:t>；项目支出</w:t>
      </w:r>
      <w:r>
        <w:rPr>
          <w:sz w:val="32"/>
          <w:szCs w:val="32"/>
        </w:rPr>
        <w:t>1527.5</w:t>
      </w:r>
      <w:r>
        <w:rPr>
          <w:rFonts w:hint="eastAsia"/>
          <w:sz w:val="32"/>
          <w:szCs w:val="32"/>
          <w:lang w:val="en-US" w:eastAsia="zh-CN"/>
        </w:rPr>
        <w:t>4</w:t>
      </w:r>
      <w:r>
        <w:rPr>
          <w:rFonts w:hint="eastAsia" w:ascii="仿宋" w:hAnsi="仿宋" w:eastAsia="仿宋"/>
          <w:sz w:val="32"/>
          <w:szCs w:val="32"/>
        </w:rPr>
        <w:t>万元，占</w:t>
      </w:r>
      <w:r>
        <w:rPr>
          <w:sz w:val="32"/>
          <w:szCs w:val="32"/>
        </w:rPr>
        <w:t>68.6</w:t>
      </w:r>
      <w:r>
        <w:rPr>
          <w:rFonts w:hint="eastAsia"/>
          <w:sz w:val="32"/>
          <w:szCs w:val="32"/>
          <w:lang w:val="en-US" w:eastAsia="zh-CN"/>
        </w:rPr>
        <w:t>2</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keepNext w:val="0"/>
        <w:keepLines w:val="0"/>
        <w:pageBreakBefore w:val="0"/>
        <w:widowControl w:val="0"/>
        <w:spacing w:line="360" w:lineRule="auto"/>
        <w:rPr>
          <w:rFonts w:hint="eastAsia" w:ascii="仿宋" w:hAnsi="仿宋" w:eastAsia="仿宋"/>
          <w:sz w:val="32"/>
          <w:szCs w:val="32"/>
        </w:rPr>
      </w:pPr>
      <w:r>
        <w:rPr>
          <w:rFonts w:hint="eastAsia"/>
          <w:lang w:val="en-US" w:eastAsia="zh-CN"/>
        </w:rPr>
        <w:t xml:space="preserve">         </w:t>
      </w:r>
      <w:r>
        <w:drawing>
          <wp:inline distT="0" distB="0" distL="0" distR="0">
            <wp:extent cx="3400425" cy="1741805"/>
            <wp:effectExtent l="4445" t="4445" r="5080"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spacing w:line="360" w:lineRule="auto"/>
        <w:ind w:firstLine="640"/>
        <w:rPr>
          <w:rFonts w:hint="eastAsia" w:ascii="仿宋" w:hAnsi="仿宋" w:eastAsia="仿宋"/>
          <w:sz w:val="32"/>
          <w:szCs w:val="32"/>
        </w:rPr>
      </w:pPr>
    </w:p>
    <w:p>
      <w:pPr>
        <w:keepNext w:val="0"/>
        <w:keepLines w:val="0"/>
        <w:pageBreakBefore w:val="0"/>
        <w:widowControl w:val="0"/>
        <w:spacing w:line="360" w:lineRule="auto"/>
        <w:ind w:firstLine="960"/>
        <w:rPr>
          <w:rFonts w:ascii="仿宋" w:hAnsi="仿宋" w:eastAsia="仿宋"/>
          <w:sz w:val="32"/>
          <w:szCs w:val="32"/>
        </w:rPr>
      </w:pPr>
      <w:r>
        <w:rPr>
          <w:rFonts w:hint="eastAsia" w:ascii="仿宋" w:hAnsi="仿宋" w:eastAsia="仿宋"/>
          <w:sz w:val="32"/>
          <w:szCs w:val="32"/>
        </w:rPr>
        <w:t>（图3：支出决算结构饼状图）</w:t>
      </w:r>
    </w:p>
    <w:p>
      <w:pPr>
        <w:keepNext w:val="0"/>
        <w:keepLines w:val="0"/>
        <w:pageBreakBefore w:val="0"/>
        <w:widowControl w:val="0"/>
        <w:spacing w:line="360" w:lineRule="auto"/>
        <w:ind w:firstLine="640"/>
        <w:rPr>
          <w:rFonts w:ascii="仿宋_GB2312" w:eastAsia="仿宋_GB2312"/>
          <w:sz w:val="32"/>
          <w:szCs w:val="32"/>
        </w:rPr>
      </w:pPr>
    </w:p>
    <w:p>
      <w:pPr>
        <w:spacing w:line="600" w:lineRule="exact"/>
        <w:ind w:firstLine="640"/>
        <w:outlineLvl w:val="1"/>
        <w:rPr>
          <w:rStyle w:val="197"/>
          <w:rFonts w:ascii="黑体" w:hAnsi="黑体" w:eastAsia="黑体"/>
          <w:b w:val="0"/>
        </w:rPr>
      </w:pPr>
      <w:bookmarkStart w:id="34" w:name="_Toc15377208"/>
      <w:bookmarkStart w:id="35" w:name="_Toc15396606"/>
      <w:r>
        <w:rPr>
          <w:rFonts w:hint="eastAsia" w:ascii="黑体" w:hAnsi="黑体" w:eastAsia="黑体"/>
          <w:sz w:val="32"/>
          <w:szCs w:val="32"/>
        </w:rPr>
        <w:t>四、财</w:t>
      </w:r>
      <w:r>
        <w:rPr>
          <w:rStyle w:val="197"/>
          <w:rFonts w:hint="eastAsia" w:ascii="黑体" w:hAnsi="黑体" w:eastAsia="黑体"/>
          <w:b w:val="0"/>
        </w:rPr>
        <w:t>政拨款收入支出决算总体情况说明</w:t>
      </w:r>
      <w:bookmarkEnd w:id="34"/>
      <w:bookmarkEnd w:id="35"/>
    </w:p>
    <w:p>
      <w:pPr>
        <w:keepNext w:val="0"/>
        <w:keepLines w:val="0"/>
        <w:pageBreakBefore w:val="0"/>
        <w:widowControl w:val="0"/>
        <w:spacing w:line="240" w:lineRule="auto"/>
        <w:ind w:firstLine="640"/>
        <w:rPr>
          <w:rFonts w:ascii="仿宋" w:hAnsi="仿宋" w:eastAsia="仿宋"/>
          <w:b/>
          <w:sz w:val="32"/>
          <w:szCs w:val="32"/>
        </w:rPr>
      </w:pPr>
      <w:r>
        <w:rPr>
          <w:rFonts w:hint="eastAsia" w:ascii="仿宋" w:hAnsi="仿宋" w:eastAsia="仿宋"/>
          <w:sz w:val="32"/>
          <w:szCs w:val="32"/>
        </w:rPr>
        <w:t>2023年度财政拨款收、支总计均为</w:t>
      </w:r>
      <w:r>
        <w:rPr>
          <w:rFonts w:ascii="仿宋" w:hAnsi="仿宋" w:eastAsia="仿宋"/>
          <w:b/>
          <w:sz w:val="32"/>
          <w:szCs w:val="32"/>
        </w:rPr>
        <w:t>2204.08</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452.28</w:t>
      </w:r>
      <w:r>
        <w:rPr>
          <w:rFonts w:hint="eastAsia" w:ascii="仿宋" w:hAnsi="仿宋" w:eastAsia="仿宋"/>
          <w:sz w:val="32"/>
          <w:szCs w:val="32"/>
        </w:rPr>
        <w:t>万元，增长</w:t>
      </w:r>
      <w:r>
        <w:rPr>
          <w:rFonts w:hint="eastAsia" w:ascii="仿宋" w:hAnsi="仿宋" w:eastAsia="仿宋"/>
          <w:sz w:val="32"/>
          <w:szCs w:val="32"/>
          <w:lang w:val="en-US" w:eastAsia="zh-CN"/>
        </w:rPr>
        <w:t>25.82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增加天府旅游名县创建经费和上级补助公共文化（文旅融合项目）经费。</w:t>
      </w:r>
    </w:p>
    <w:p>
      <w:pPr>
        <w:spacing w:line="60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pStyle w:val="2"/>
        <w:rPr>
          <w:rFonts w:hint="eastAsia" w:ascii="仿宋" w:hAnsi="仿宋" w:eastAsia="仿宋"/>
          <w:sz w:val="32"/>
          <w:szCs w:val="32"/>
          <w:lang w:val="en-US" w:eastAsia="zh-CN"/>
        </w:rPr>
      </w:pPr>
      <w:r>
        <w:rPr>
          <w:rFonts w:hint="eastAsia"/>
          <w:lang w:val="en-US" w:eastAsia="zh-CN"/>
        </w:rPr>
        <w:t xml:space="preserve">       </w:t>
      </w:r>
      <w:r>
        <w:drawing>
          <wp:inline distT="0" distB="0" distL="0" distR="0">
            <wp:extent cx="4104005" cy="2153920"/>
            <wp:effectExtent l="4445" t="4445" r="6350" b="1333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hint="eastAsia"/>
          <w:lang w:val="en-US" w:eastAsia="zh-CN"/>
        </w:rPr>
      </w:pPr>
    </w:p>
    <w:p>
      <w:pPr>
        <w:rPr>
          <w:rFonts w:hint="default"/>
          <w:lang w:val="en-US" w:eastAsia="zh-CN"/>
        </w:rPr>
      </w:pPr>
    </w:p>
    <w:p>
      <w:pPr>
        <w:spacing w:line="600" w:lineRule="exact"/>
        <w:ind w:firstLine="640"/>
        <w:rPr>
          <w:rFonts w:ascii="仿宋" w:hAnsi="仿宋" w:eastAsia="仿宋"/>
          <w:b/>
          <w:sz w:val="32"/>
          <w:szCs w:val="32"/>
        </w:rPr>
      </w:pPr>
      <w:r>
        <w:rPr>
          <w:rFonts w:hint="eastAsia" w:ascii="仿宋" w:hAnsi="仿宋" w:eastAsia="仿宋"/>
          <w:sz w:val="32"/>
          <w:szCs w:val="32"/>
        </w:rPr>
        <w:t>（图4：</w:t>
      </w:r>
      <w:r>
        <w:rPr>
          <w:rFonts w:hint="eastAsia" w:ascii="仿宋" w:hAnsi="仿宋" w:eastAsia="仿宋"/>
          <w:sz w:val="32"/>
          <w:szCs w:val="32"/>
          <w:lang w:val="en-US" w:eastAsia="zh-CN"/>
        </w:rPr>
        <w:t>2023年</w:t>
      </w:r>
      <w:r>
        <w:rPr>
          <w:rFonts w:hint="eastAsia" w:ascii="仿宋" w:hAnsi="仿宋" w:eastAsia="仿宋"/>
          <w:sz w:val="32"/>
          <w:szCs w:val="32"/>
        </w:rPr>
        <w:t>财政拨款收、支决算总计变动柱状图）</w:t>
      </w:r>
    </w:p>
    <w:p>
      <w:pPr>
        <w:spacing w:line="600" w:lineRule="exact"/>
        <w:ind w:firstLine="640"/>
        <w:outlineLvl w:val="1"/>
        <w:rPr>
          <w:rStyle w:val="197"/>
          <w:rFonts w:ascii="黑体" w:hAnsi="黑体" w:eastAsia="黑体"/>
          <w:b w:val="0"/>
        </w:rPr>
      </w:pPr>
      <w:bookmarkStart w:id="36" w:name="_Toc15377209"/>
      <w:bookmarkStart w:id="37" w:name="_Toc15396607"/>
      <w:r>
        <w:rPr>
          <w:rFonts w:hint="eastAsia" w:ascii="黑体" w:hAnsi="黑体" w:eastAsia="黑体"/>
          <w:sz w:val="32"/>
          <w:szCs w:val="32"/>
        </w:rPr>
        <w:t>五、</w:t>
      </w:r>
      <w:r>
        <w:rPr>
          <w:rFonts w:hint="eastAsia" w:ascii="黑体" w:hAnsi="黑体" w:eastAsia="黑体"/>
          <w:b/>
          <w:sz w:val="32"/>
          <w:szCs w:val="32"/>
        </w:rPr>
        <w:t>一</w:t>
      </w:r>
      <w:r>
        <w:rPr>
          <w:rStyle w:val="197"/>
          <w:rFonts w:hint="eastAsia" w:ascii="黑体" w:hAnsi="黑体" w:eastAsia="黑体"/>
          <w:b w:val="0"/>
        </w:rPr>
        <w:t>般公共预算财政拨款支出决算情况说明</w:t>
      </w:r>
      <w:bookmarkEnd w:id="36"/>
      <w:bookmarkEnd w:id="37"/>
    </w:p>
    <w:p>
      <w:pPr>
        <w:spacing w:line="600" w:lineRule="exact"/>
        <w:ind w:firstLine="643"/>
        <w:outlineLvl w:val="2"/>
        <w:rPr>
          <w:rFonts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pPr>
        <w:keepNext w:val="0"/>
        <w:keepLines w:val="0"/>
        <w:pageBreakBefore w:val="0"/>
        <w:widowControl w:val="0"/>
        <w:spacing w:line="360" w:lineRule="auto"/>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2204.08</w:t>
      </w:r>
      <w:r>
        <w:rPr>
          <w:rFonts w:hint="eastAsia" w:ascii="仿宋" w:hAnsi="仿宋" w:eastAsia="仿宋"/>
          <w:sz w:val="32"/>
          <w:szCs w:val="32"/>
        </w:rPr>
        <w:t>万元，占本年支出合计的</w:t>
      </w:r>
      <w:r>
        <w:rPr>
          <w:rFonts w:ascii="仿宋" w:hAnsi="仿宋" w:eastAsia="仿宋"/>
          <w:b/>
          <w:sz w:val="32"/>
          <w:szCs w:val="32"/>
        </w:rPr>
        <w:t>99</w:t>
      </w:r>
      <w:r>
        <w:rPr>
          <w:rFonts w:hint="eastAsia" w:ascii="仿宋" w:hAnsi="仿宋" w:eastAsia="仿宋"/>
          <w:b/>
          <w:sz w:val="32"/>
          <w:szCs w:val="32"/>
          <w:lang w:val="en-US" w:eastAsia="zh-CN"/>
        </w:rPr>
        <w:t>.01</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452.28</w:t>
      </w:r>
      <w:r>
        <w:rPr>
          <w:rFonts w:hint="eastAsia" w:ascii="仿宋" w:hAnsi="仿宋" w:eastAsia="仿宋"/>
          <w:sz w:val="32"/>
          <w:szCs w:val="32"/>
        </w:rPr>
        <w:t>万元，增长</w:t>
      </w:r>
      <w:r>
        <w:rPr>
          <w:rFonts w:hint="eastAsia" w:ascii="仿宋" w:hAnsi="仿宋" w:eastAsia="仿宋"/>
          <w:sz w:val="32"/>
          <w:szCs w:val="32"/>
          <w:lang w:val="en-US" w:eastAsia="zh-CN"/>
        </w:rPr>
        <w:t>25.82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增加天府旅游名县创建经费和上级补助公共文化（文旅融合项目）经费。</w:t>
      </w:r>
    </w:p>
    <w:p>
      <w:pPr>
        <w:keepNext w:val="0"/>
        <w:keepLines w:val="0"/>
        <w:pageBreakBefore w:val="0"/>
        <w:widowControl w:val="0"/>
        <w:spacing w:line="360" w:lineRule="auto"/>
        <w:ind w:firstLine="420"/>
        <w:rPr>
          <w:rFonts w:hint="eastAsia" w:ascii="仿宋" w:hAnsi="仿宋" w:eastAsia="仿宋"/>
          <w:sz w:val="32"/>
          <w:szCs w:val="32"/>
        </w:rPr>
      </w:pPr>
      <w:r>
        <w:rPr>
          <w:rFonts w:hint="eastAsia"/>
          <w:lang w:val="en-US" w:eastAsia="zh-CN"/>
        </w:rPr>
        <w:t xml:space="preserve">            </w:t>
      </w:r>
      <w:r>
        <w:drawing>
          <wp:inline distT="0" distB="0" distL="0" distR="0">
            <wp:extent cx="3004820" cy="2299970"/>
            <wp:effectExtent l="4445" t="4445" r="19685" b="1968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spacing w:line="360" w:lineRule="auto"/>
        <w:ind w:firstLine="640"/>
        <w:rPr>
          <w:rFonts w:hint="eastAsia"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rPr>
          <w:rFonts w:ascii="仿宋" w:hAnsi="仿宋" w:eastAsia="仿宋"/>
          <w:sz w:val="32"/>
          <w:szCs w:val="32"/>
        </w:rPr>
      </w:pPr>
    </w:p>
    <w:p>
      <w:pPr>
        <w:spacing w:line="600" w:lineRule="exact"/>
        <w:ind w:firstLine="643"/>
        <w:outlineLvl w:val="2"/>
        <w:rPr>
          <w:rFonts w:ascii="仿宋" w:hAnsi="仿宋" w:eastAsia="仿宋"/>
          <w:b/>
          <w:sz w:val="32"/>
          <w:szCs w:val="32"/>
        </w:rPr>
      </w:pPr>
      <w:bookmarkStart w:id="39" w:name="_Toc15377211"/>
      <w:r>
        <w:rPr>
          <w:rFonts w:hint="eastAsia" w:ascii="仿宋" w:hAnsi="仿宋" w:eastAsia="仿宋"/>
          <w:b/>
          <w:sz w:val="32"/>
          <w:szCs w:val="32"/>
        </w:rPr>
        <w:t>（二）一般公共预算财政拨款支出决算结构情况</w:t>
      </w:r>
      <w:bookmarkEnd w:id="39"/>
    </w:p>
    <w:p>
      <w:pPr>
        <w:keepNext w:val="0"/>
        <w:keepLines w:val="0"/>
        <w:pageBreakBefore w:val="0"/>
        <w:widowControl w:val="0"/>
        <w:numPr>
          <w:ilvl w:val="0"/>
          <w:numId w:val="0"/>
        </w:numPr>
        <w:spacing w:line="240" w:lineRule="auto"/>
        <w:ind w:firstLine="960"/>
        <w:jc w:val="both"/>
        <w:rPr>
          <w:rFonts w:hint="eastAsia" w:ascii="仿宋_GB2312" w:hAnsi="仿宋_GB2312" w:eastAsia="仿宋_GB2312"/>
          <w:color w:val="000000"/>
          <w:sz w:val="32"/>
          <w:lang w:val="zh-CN"/>
        </w:rPr>
      </w:pPr>
      <w:r>
        <w:rPr>
          <w:rFonts w:hint="eastAsia" w:ascii="仿宋" w:hAnsi="仿宋" w:eastAsia="仿宋"/>
          <w:sz w:val="32"/>
          <w:szCs w:val="32"/>
        </w:rPr>
        <w:t>2023年度一般公共预算财政拨款支出</w:t>
      </w:r>
      <w:r>
        <w:rPr>
          <w:rFonts w:ascii="仿宋" w:hAnsi="仿宋" w:eastAsia="仿宋"/>
          <w:b/>
          <w:sz w:val="32"/>
          <w:szCs w:val="32"/>
        </w:rPr>
        <w:t>2204.08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_GB2312" w:hAnsi="仿宋_GB2312" w:eastAsia="仿宋_GB2312"/>
          <w:color w:val="000000"/>
          <w:sz w:val="32"/>
          <w:lang w:val="zh-CN"/>
        </w:rPr>
        <w:t xml:space="preserve"> 一般公共服务支出0万元，占0%；外交支出0万元，占0%；国防支出0万元，占0%；公共安全支出0万元，占0%；教育支出0万元，占0%；科学技术支出0万元，占0%；文化体育与传媒支出</w:t>
      </w:r>
      <w:r>
        <w:rPr>
          <w:rFonts w:hint="eastAsia" w:ascii="仿宋_GB2312" w:hAnsi="仿宋_GB2312" w:eastAsia="仿宋_GB2312"/>
          <w:color w:val="000000"/>
          <w:sz w:val="32"/>
          <w:lang w:val="en-US" w:eastAsia="zh-CN"/>
        </w:rPr>
        <w:t>1994.18</w:t>
      </w:r>
      <w:r>
        <w:rPr>
          <w:rFonts w:hint="eastAsia" w:ascii="仿宋_GB2312" w:hAnsi="仿宋_GB2312" w:eastAsia="仿宋_GB2312"/>
          <w:color w:val="000000"/>
          <w:sz w:val="32"/>
          <w:lang w:val="zh-CN"/>
        </w:rPr>
        <w:t>万元</w:t>
      </w:r>
      <w:r>
        <w:rPr>
          <w:rFonts w:hint="eastAsia" w:ascii="仿宋_GB2312" w:hAnsi="仿宋_GB2312" w:eastAsia="仿宋_GB2312"/>
          <w:color w:val="auto"/>
          <w:sz w:val="32"/>
          <w:lang w:val="zh-CN"/>
        </w:rPr>
        <w:t>，占</w:t>
      </w:r>
      <w:r>
        <w:rPr>
          <w:rFonts w:hint="eastAsia" w:ascii="仿宋_GB2312" w:hAnsi="仿宋_GB2312" w:eastAsia="仿宋_GB2312"/>
          <w:color w:val="auto"/>
          <w:sz w:val="32"/>
          <w:lang w:val="en-US" w:eastAsia="zh-CN"/>
        </w:rPr>
        <w:t>90.47</w:t>
      </w:r>
      <w:r>
        <w:rPr>
          <w:rFonts w:hint="eastAsia" w:ascii="仿宋_GB2312" w:hAnsi="仿宋_GB2312" w:eastAsia="仿宋_GB2312"/>
          <w:color w:val="auto"/>
          <w:sz w:val="32"/>
          <w:lang w:val="zh-CN"/>
        </w:rPr>
        <w:t>%；社会保障和就业支出</w:t>
      </w:r>
      <w:r>
        <w:rPr>
          <w:rFonts w:hint="eastAsia" w:ascii="仿宋_GB2312" w:hAnsi="仿宋_GB2312" w:eastAsia="仿宋_GB2312"/>
          <w:color w:val="auto"/>
          <w:sz w:val="32"/>
          <w:lang w:val="en-US" w:eastAsia="zh-CN"/>
        </w:rPr>
        <w:t>93.8</w:t>
      </w:r>
      <w:r>
        <w:rPr>
          <w:rFonts w:hint="eastAsia" w:ascii="仿宋_GB2312" w:hAnsi="仿宋_GB2312" w:eastAsia="仿宋_GB2312"/>
          <w:color w:val="auto"/>
          <w:sz w:val="32"/>
          <w:lang w:val="zh-CN"/>
        </w:rPr>
        <w:t>万元，占</w:t>
      </w:r>
      <w:r>
        <w:rPr>
          <w:rFonts w:hint="eastAsia" w:ascii="仿宋_GB2312" w:hAnsi="仿宋_GB2312" w:eastAsia="仿宋_GB2312"/>
          <w:color w:val="auto"/>
          <w:sz w:val="32"/>
          <w:lang w:val="en-US" w:eastAsia="zh-CN"/>
        </w:rPr>
        <w:t>4.25</w:t>
      </w:r>
      <w:r>
        <w:rPr>
          <w:rFonts w:hint="eastAsia" w:ascii="仿宋_GB2312" w:hAnsi="仿宋_GB2312" w:eastAsia="仿宋_GB2312"/>
          <w:color w:val="auto"/>
          <w:sz w:val="32"/>
          <w:lang w:val="zh-CN"/>
        </w:rPr>
        <w:t>%；卫生健康支出</w:t>
      </w:r>
      <w:r>
        <w:rPr>
          <w:rFonts w:hint="eastAsia" w:ascii="仿宋_GB2312" w:hAnsi="仿宋_GB2312" w:eastAsia="仿宋_GB2312"/>
          <w:color w:val="auto"/>
          <w:sz w:val="32"/>
          <w:lang w:val="en-US" w:eastAsia="zh-CN"/>
        </w:rPr>
        <w:t>36.5</w:t>
      </w:r>
      <w:r>
        <w:rPr>
          <w:rFonts w:hint="eastAsia" w:ascii="仿宋_GB2312" w:hAnsi="仿宋_GB2312" w:eastAsia="仿宋_GB2312"/>
          <w:color w:val="auto"/>
          <w:sz w:val="32"/>
          <w:lang w:val="zh-CN"/>
        </w:rPr>
        <w:t>万元，占</w:t>
      </w:r>
      <w:r>
        <w:rPr>
          <w:rFonts w:hint="eastAsia" w:ascii="仿宋_GB2312" w:hAnsi="仿宋_GB2312" w:eastAsia="仿宋_GB2312"/>
          <w:color w:val="auto"/>
          <w:sz w:val="32"/>
          <w:lang w:val="en-US" w:eastAsia="zh-CN"/>
        </w:rPr>
        <w:t>1.66</w:t>
      </w:r>
      <w:r>
        <w:rPr>
          <w:rFonts w:hint="eastAsia" w:ascii="仿宋_GB2312" w:hAnsi="仿宋_GB2312" w:eastAsia="仿宋_GB2312"/>
          <w:color w:val="auto"/>
          <w:sz w:val="32"/>
          <w:lang w:val="zh-CN"/>
        </w:rPr>
        <w:t>%；节能环保支出0万元，占0%；城乡社区支出0万元，占0%；农林水支出</w:t>
      </w:r>
      <w:r>
        <w:rPr>
          <w:rFonts w:hint="eastAsia" w:ascii="仿宋_GB2312" w:hAnsi="仿宋_GB2312" w:eastAsia="仿宋_GB2312"/>
          <w:color w:val="auto"/>
          <w:sz w:val="32"/>
          <w:lang w:val="en-US" w:eastAsia="zh-CN"/>
        </w:rPr>
        <w:t>17.19</w:t>
      </w:r>
      <w:r>
        <w:rPr>
          <w:rFonts w:hint="eastAsia" w:ascii="仿宋_GB2312" w:hAnsi="仿宋_GB2312" w:eastAsia="仿宋_GB2312"/>
          <w:color w:val="auto"/>
          <w:sz w:val="32"/>
          <w:lang w:val="zh-CN"/>
        </w:rPr>
        <w:t>万元，占</w:t>
      </w:r>
      <w:r>
        <w:rPr>
          <w:rFonts w:hint="eastAsia" w:ascii="仿宋_GB2312" w:hAnsi="仿宋_GB2312" w:eastAsia="仿宋_GB2312"/>
          <w:color w:val="auto"/>
          <w:sz w:val="32"/>
          <w:lang w:val="en-US" w:eastAsia="zh-CN"/>
        </w:rPr>
        <w:t>0.78</w:t>
      </w:r>
      <w:r>
        <w:rPr>
          <w:rFonts w:hint="eastAsia" w:ascii="仿宋_GB2312" w:hAnsi="仿宋_GB2312" w:eastAsia="仿宋_GB2312"/>
          <w:color w:val="auto"/>
          <w:sz w:val="32"/>
          <w:lang w:val="zh-CN"/>
        </w:rPr>
        <w:t>%；交通运输支出0万元，占0%；资源勘探工业信息等支出0万元，占0%；商业服务业等支出</w:t>
      </w:r>
      <w:r>
        <w:rPr>
          <w:rFonts w:hint="eastAsia" w:ascii="仿宋_GB2312" w:hAnsi="仿宋_GB2312" w:eastAsia="仿宋_GB2312"/>
          <w:color w:val="auto"/>
          <w:sz w:val="32"/>
          <w:lang w:val="en-US" w:eastAsia="zh-CN"/>
        </w:rPr>
        <w:t>29.56</w:t>
      </w:r>
      <w:r>
        <w:rPr>
          <w:rFonts w:hint="eastAsia" w:ascii="仿宋_GB2312" w:hAnsi="仿宋_GB2312" w:eastAsia="仿宋_GB2312"/>
          <w:color w:val="auto"/>
          <w:sz w:val="32"/>
          <w:lang w:val="zh-CN"/>
        </w:rPr>
        <w:t>万元，占</w:t>
      </w:r>
      <w:r>
        <w:rPr>
          <w:rFonts w:hint="eastAsia" w:ascii="仿宋_GB2312" w:hAnsi="仿宋_GB2312" w:eastAsia="仿宋_GB2312"/>
          <w:color w:val="auto"/>
          <w:sz w:val="32"/>
          <w:lang w:val="en-US" w:eastAsia="zh-CN"/>
        </w:rPr>
        <w:t>1.34</w:t>
      </w:r>
      <w:r>
        <w:rPr>
          <w:rFonts w:hint="eastAsia" w:ascii="仿宋_GB2312" w:hAnsi="仿宋_GB2312" w:eastAsia="仿宋_GB2312"/>
          <w:color w:val="auto"/>
          <w:sz w:val="32"/>
          <w:lang w:val="zh-CN"/>
        </w:rPr>
        <w:t>%；金融支出0万元，占0%；援助其他地区支出0万元，占0%；自然资源海洋气象等支出0万元，占0%；住房保障支出</w:t>
      </w:r>
      <w:r>
        <w:rPr>
          <w:rFonts w:hint="eastAsia" w:ascii="仿宋_GB2312" w:hAnsi="仿宋_GB2312" w:eastAsia="仿宋_GB2312"/>
          <w:color w:val="auto"/>
          <w:sz w:val="32"/>
          <w:lang w:val="en-US" w:eastAsia="zh-CN"/>
        </w:rPr>
        <w:t>32.85</w:t>
      </w:r>
      <w:r>
        <w:rPr>
          <w:rFonts w:hint="eastAsia" w:ascii="仿宋_GB2312" w:hAnsi="仿宋_GB2312" w:eastAsia="仿宋_GB2312"/>
          <w:color w:val="auto"/>
          <w:sz w:val="32"/>
          <w:lang w:val="zh-CN"/>
        </w:rPr>
        <w:t>万元，占</w:t>
      </w:r>
      <w:r>
        <w:rPr>
          <w:rFonts w:hint="eastAsia" w:ascii="仿宋_GB2312" w:hAnsi="仿宋_GB2312" w:eastAsia="仿宋_GB2312"/>
          <w:color w:val="auto"/>
          <w:sz w:val="32"/>
          <w:lang w:val="en-US" w:eastAsia="zh-CN"/>
        </w:rPr>
        <w:t>1.5</w:t>
      </w:r>
      <w:r>
        <w:rPr>
          <w:rFonts w:hint="eastAsia" w:ascii="仿宋_GB2312" w:hAnsi="仿宋_GB2312" w:eastAsia="仿宋_GB2312"/>
          <w:color w:val="auto"/>
          <w:sz w:val="32"/>
          <w:lang w:val="zh-CN"/>
        </w:rPr>
        <w:t>%；粮油物资储备支出0万元，占0%；国有资本经营预算支出0万元，占0%；灾害防治及应急</w:t>
      </w:r>
      <w:r>
        <w:rPr>
          <w:rFonts w:hint="eastAsia" w:ascii="仿宋_GB2312" w:hAnsi="仿宋_GB2312" w:eastAsia="仿宋_GB2312"/>
          <w:color w:val="000000"/>
          <w:sz w:val="32"/>
          <w:lang w:val="zh-CN"/>
        </w:rPr>
        <w:t>管理支出0万元，占0%；其他支出0万元，占0%；债务还本支出0万元，占0%；债务付息支出0万元，占0%；抗疫特别国债安排的支出0万元，占0%。</w:t>
      </w:r>
    </w:p>
    <w:p>
      <w:pPr>
        <w:keepNext w:val="0"/>
        <w:keepLines w:val="0"/>
        <w:pageBreakBefore w:val="0"/>
        <w:widowControl w:val="0"/>
        <w:spacing w:line="240" w:lineRule="auto"/>
        <w:rPr>
          <w:rFonts w:ascii="仿宋" w:hAnsi="仿宋" w:eastAsia="仿宋"/>
          <w:sz w:val="32"/>
          <w:szCs w:val="32"/>
        </w:rPr>
      </w:pPr>
      <w:r>
        <w:rPr>
          <w:rFonts w:hint="eastAsia" w:ascii="仿宋" w:hAnsi="仿宋" w:eastAsia="仿宋"/>
          <w:sz w:val="32"/>
          <w:szCs w:val="32"/>
          <w:lang w:val="en-US" w:eastAsia="zh-CN"/>
        </w:rPr>
        <w:t xml:space="preserve">            </w:t>
      </w:r>
    </w:p>
    <w:p>
      <w:pPr>
        <w:pStyle w:val="2"/>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r>
        <w:drawing>
          <wp:inline distT="0" distB="0" distL="0" distR="0">
            <wp:extent cx="3363595" cy="2449195"/>
            <wp:effectExtent l="4445" t="4445" r="22860" b="2286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
      <w:pPr>
        <w:spacing w:line="600" w:lineRule="exact"/>
        <w:ind w:firstLine="64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rPr>
          <w:rFonts w:ascii="仿宋" w:hAnsi="仿宋" w:eastAsia="仿宋"/>
          <w:sz w:val="32"/>
          <w:szCs w:val="32"/>
        </w:rPr>
      </w:pPr>
    </w:p>
    <w:p>
      <w:pPr>
        <w:spacing w:line="600" w:lineRule="exact"/>
        <w:ind w:firstLine="643"/>
        <w:outlineLvl w:val="2"/>
        <w:rPr>
          <w:rFonts w:ascii="仿宋" w:hAnsi="仿宋" w:eastAsia="仿宋"/>
          <w:b/>
          <w:sz w:val="32"/>
          <w:szCs w:val="32"/>
        </w:rPr>
      </w:pPr>
      <w:bookmarkStart w:id="40" w:name="_Toc15377212"/>
      <w:r>
        <w:rPr>
          <w:rFonts w:hint="eastAsia" w:ascii="仿宋" w:hAnsi="仿宋" w:eastAsia="仿宋"/>
          <w:b/>
          <w:sz w:val="32"/>
          <w:szCs w:val="32"/>
        </w:rPr>
        <w:t>（三）一般公共预算财政拨款支出决算具体情况</w:t>
      </w:r>
      <w:bookmarkEnd w:id="40"/>
    </w:p>
    <w:p>
      <w:pPr>
        <w:numPr>
          <w:ilvl w:val="0"/>
          <w:numId w:val="0"/>
        </w:numPr>
        <w:spacing w:line="360" w:lineRule="auto"/>
        <w:ind w:firstLine="640"/>
        <w:jc w:val="both"/>
        <w:rPr>
          <w:rFonts w:hint="eastAsia" w:ascii="仿宋_GB2312" w:hAnsi="仿宋_GB2312" w:eastAsia="仿宋_GB2312" w:cs="Times New Roman"/>
          <w:color w:val="000000"/>
          <w:sz w:val="32"/>
          <w:lang w:val="en-US" w:eastAsia="zh-CN"/>
        </w:rPr>
      </w:pPr>
      <w:bookmarkStart w:id="41" w:name="_Toc15377444"/>
      <w:bookmarkStart w:id="42" w:name="_Toc15377213"/>
      <w:bookmarkStart w:id="43" w:name="_Toc15378460"/>
      <w:r>
        <w:rPr>
          <w:rFonts w:hint="eastAsia" w:ascii="仿宋_GB2312" w:hAnsi="仿宋_GB2312" w:eastAsia="仿宋_GB2312" w:cs="Times New Roman"/>
          <w:color w:val="000000"/>
          <w:sz w:val="32"/>
          <w:lang w:val="en-US" w:eastAsia="zh-CN"/>
        </w:rPr>
        <w:t>2023年度一般公共预算支出决算数为2204.08，完成预算100%。其中：</w:t>
      </w:r>
      <w:bookmarkEnd w:id="41"/>
      <w:bookmarkEnd w:id="42"/>
      <w:bookmarkEnd w:id="43"/>
    </w:p>
    <w:p>
      <w:pPr>
        <w:numPr>
          <w:ilvl w:val="0"/>
          <w:numId w:val="0"/>
        </w:numPr>
        <w:spacing w:line="360" w:lineRule="auto"/>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rPr>
        <w:t>1.</w:t>
      </w:r>
      <w:r>
        <w:rPr>
          <w:rFonts w:hint="eastAsia" w:ascii="仿宋_GB2312" w:hAnsi="仿宋_GB2312" w:eastAsia="仿宋_GB2312"/>
          <w:color w:val="000000"/>
          <w:sz w:val="32"/>
          <w:lang w:val="en-US" w:eastAsia="zh-CN"/>
        </w:rPr>
        <w:t>文化旅游体育与传媒支出（类）</w:t>
      </w:r>
      <w:r>
        <w:rPr>
          <w:rFonts w:hint="eastAsia" w:ascii="仿宋_GB2312" w:hAnsi="仿宋_GB2312" w:eastAsia="仿宋_GB2312"/>
          <w:color w:val="000000"/>
          <w:sz w:val="32"/>
          <w:lang w:val="zh-CN"/>
        </w:rPr>
        <w:t>文化和旅游（款）行政运行（项）：</w:t>
      </w:r>
      <w:bookmarkStart w:id="44" w:name="OLE_LINK5"/>
      <w:r>
        <w:rPr>
          <w:rFonts w:hint="eastAsia" w:ascii="仿宋_GB2312" w:hAnsi="仿宋_GB2312" w:eastAsia="仿宋_GB2312"/>
          <w:color w:val="000000"/>
          <w:sz w:val="32"/>
          <w:lang w:val="zh-CN"/>
        </w:rPr>
        <w:t>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491.32</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2.文化旅游体育与传媒支出（类）</w:t>
      </w:r>
      <w:r>
        <w:rPr>
          <w:rFonts w:hint="eastAsia" w:ascii="仿宋_GB2312" w:hAnsi="仿宋_GB2312" w:eastAsia="仿宋_GB2312"/>
          <w:color w:val="000000"/>
          <w:sz w:val="32"/>
          <w:lang w:val="zh-CN"/>
        </w:rPr>
        <w:t>文化和旅游（款）文化活动（项）:202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年决算数为</w:t>
      </w:r>
      <w:r>
        <w:rPr>
          <w:rFonts w:hint="eastAsia" w:ascii="仿宋_GB2312" w:hAnsi="仿宋_GB2312" w:eastAsia="仿宋_GB2312"/>
          <w:color w:val="000000"/>
          <w:sz w:val="32"/>
          <w:lang w:val="en-US" w:eastAsia="zh-CN"/>
        </w:rPr>
        <w:t>48.94</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3.文化旅游体育与传媒支出（类）</w:t>
      </w:r>
      <w:r>
        <w:rPr>
          <w:rFonts w:hint="eastAsia" w:ascii="仿宋_GB2312" w:hAnsi="仿宋_GB2312" w:eastAsia="仿宋_GB2312"/>
          <w:color w:val="000000"/>
          <w:sz w:val="32"/>
          <w:lang w:val="zh-CN"/>
        </w:rPr>
        <w:t>文化和旅游（款）文化和旅游管理事务（项）:202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年决算数为</w:t>
      </w:r>
      <w:r>
        <w:rPr>
          <w:rFonts w:hint="eastAsia" w:ascii="仿宋_GB2312" w:hAnsi="仿宋_GB2312" w:eastAsia="仿宋_GB2312"/>
          <w:color w:val="000000"/>
          <w:sz w:val="32"/>
          <w:lang w:val="en-US" w:eastAsia="zh-CN"/>
        </w:rPr>
        <w:t>44.17</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4.文化旅游体育与传媒支出（类）</w:t>
      </w:r>
      <w:r>
        <w:rPr>
          <w:rFonts w:hint="eastAsia" w:ascii="仿宋_GB2312" w:hAnsi="仿宋_GB2312" w:eastAsia="仿宋_GB2312"/>
          <w:color w:val="000000"/>
          <w:sz w:val="32"/>
          <w:lang w:val="zh-CN"/>
        </w:rPr>
        <w:t>文化和旅游（款）其他文化和旅游支出（项）:202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1284.99</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5.文化旅游体育与传媒支出（类）</w:t>
      </w:r>
      <w:r>
        <w:rPr>
          <w:rFonts w:hint="eastAsia" w:ascii="仿宋_GB2312" w:hAnsi="仿宋_GB2312" w:eastAsia="仿宋_GB2312"/>
          <w:color w:val="000000"/>
          <w:sz w:val="32"/>
          <w:lang w:val="zh-CN"/>
        </w:rPr>
        <w:t>广播</w:t>
      </w:r>
      <w:bookmarkStart w:id="65" w:name="_GoBack"/>
      <w:bookmarkEnd w:id="65"/>
      <w:r>
        <w:rPr>
          <w:rFonts w:hint="eastAsia" w:ascii="仿宋_GB2312" w:hAnsi="仿宋_GB2312" w:eastAsia="仿宋_GB2312"/>
          <w:color w:val="000000"/>
          <w:sz w:val="32"/>
          <w:lang w:val="zh-CN"/>
        </w:rPr>
        <w:t>电视（款）其他广播电视支出（项）：20</w:t>
      </w:r>
      <w:r>
        <w:rPr>
          <w:rFonts w:hint="eastAsia" w:ascii="仿宋_GB2312" w:hAnsi="仿宋_GB2312" w:eastAsia="仿宋_GB2312"/>
          <w:color w:val="000000"/>
          <w:sz w:val="32"/>
          <w:lang w:val="en-US" w:eastAsia="zh-CN"/>
        </w:rPr>
        <w:t>23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119.96</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6.文化旅游体育与传媒支出（类）</w:t>
      </w:r>
      <w:r>
        <w:rPr>
          <w:rFonts w:hint="eastAsia" w:ascii="仿宋_GB2312" w:hAnsi="仿宋_GB2312" w:eastAsia="仿宋_GB2312"/>
          <w:color w:val="000000"/>
          <w:sz w:val="32"/>
          <w:lang w:val="zh-CN"/>
        </w:rPr>
        <w:t>其他广播旅游体育与传媒支出（款）其他文化旅游体育与传媒支出（项）:202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26.9</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7.社会保障和就业（类）行政事业单位养老支出(款）</w:t>
      </w:r>
      <w:r>
        <w:rPr>
          <w:rFonts w:hint="eastAsia" w:ascii="仿宋_GB2312" w:hAnsi="仿宋_GB2312" w:eastAsia="仿宋_GB2312"/>
          <w:color w:val="000000"/>
          <w:sz w:val="32"/>
          <w:lang w:val="zh-CN"/>
        </w:rPr>
        <w:t>行政单位离退休（项）:202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30.26</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8.社会保障和就业（类）行政事业单位养老支出(款）</w:t>
      </w:r>
      <w:r>
        <w:rPr>
          <w:rFonts w:hint="eastAsia" w:ascii="仿宋_GB2312" w:hAnsi="仿宋_GB2312" w:eastAsia="仿宋_GB2312"/>
          <w:color w:val="000000"/>
          <w:sz w:val="32"/>
          <w:lang w:val="zh-CN"/>
        </w:rPr>
        <w:t>事业单位离退休（项）:202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1.76</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9.社会保障和就业（类）行政事业单位养老支出(款）</w:t>
      </w:r>
      <w:r>
        <w:rPr>
          <w:rFonts w:hint="eastAsia" w:ascii="仿宋_GB2312" w:hAnsi="仿宋_GB2312" w:eastAsia="仿宋_GB2312"/>
          <w:color w:val="000000"/>
          <w:sz w:val="32"/>
          <w:lang w:val="zh-CN"/>
        </w:rPr>
        <w:t>机关事业单位基本养老保险缴费支出（项）:202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44.6</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10.社会保障和就业（类）行政事业单位养老支出(款）</w:t>
      </w:r>
      <w:r>
        <w:rPr>
          <w:rFonts w:hint="eastAsia" w:ascii="仿宋_GB2312" w:hAnsi="仿宋_GB2312" w:eastAsia="仿宋_GB2312"/>
          <w:color w:val="000000"/>
          <w:sz w:val="32"/>
          <w:lang w:val="zh-CN"/>
        </w:rPr>
        <w:t>机关事业单位职业年金缴费支出（项）:202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年支出决算数为1</w:t>
      </w:r>
      <w:r>
        <w:rPr>
          <w:rFonts w:hint="eastAsia" w:ascii="仿宋_GB2312" w:hAnsi="仿宋_GB2312" w:eastAsia="仿宋_GB2312"/>
          <w:color w:val="000000"/>
          <w:sz w:val="32"/>
          <w:lang w:val="en-US" w:eastAsia="zh-CN"/>
        </w:rPr>
        <w:t>7.18</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11.卫生健康支出（类）行政事业单位医疗（款）</w:t>
      </w:r>
      <w:r>
        <w:rPr>
          <w:rFonts w:hint="eastAsia" w:ascii="仿宋_GB2312" w:hAnsi="仿宋_GB2312" w:eastAsia="仿宋_GB2312"/>
          <w:color w:val="000000"/>
          <w:sz w:val="32"/>
          <w:lang w:val="zh-CN"/>
        </w:rPr>
        <w:t>行政单位医疗（项）:202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19.99</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12.卫生健康支出（类）行政事业单位医疗（款）</w:t>
      </w:r>
      <w:r>
        <w:rPr>
          <w:rFonts w:hint="eastAsia" w:ascii="仿宋_GB2312" w:hAnsi="仿宋_GB2312" w:eastAsia="仿宋_GB2312"/>
          <w:color w:val="000000"/>
          <w:sz w:val="32"/>
          <w:lang w:val="zh-CN"/>
        </w:rPr>
        <w:t>事业单位医疗（项）:202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2.62</w:t>
      </w:r>
      <w:r>
        <w:rPr>
          <w:rFonts w:hint="eastAsia" w:ascii="仿宋_GB2312" w:hAnsi="仿宋_GB2312" w:eastAsia="仿宋_GB2312"/>
          <w:color w:val="000000"/>
          <w:sz w:val="32"/>
          <w:lang w:val="zh-CN"/>
        </w:rPr>
        <w:t>万元，完成预算100%。</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13.卫生健康支出（类）行政事业单位医疗（款）</w:t>
      </w:r>
      <w:r>
        <w:rPr>
          <w:rFonts w:hint="eastAsia" w:ascii="仿宋_GB2312" w:hAnsi="仿宋_GB2312" w:eastAsia="仿宋_GB2312"/>
          <w:color w:val="000000"/>
          <w:sz w:val="32"/>
          <w:lang w:val="zh-CN"/>
        </w:rPr>
        <w:t>公务员医疗补助（项）:202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1.54</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14.卫生健康支出（类）行政事业单位医疗（款）</w:t>
      </w:r>
      <w:r>
        <w:rPr>
          <w:rFonts w:hint="eastAsia" w:ascii="仿宋_GB2312" w:hAnsi="仿宋_GB2312" w:eastAsia="仿宋_GB2312"/>
          <w:color w:val="000000"/>
          <w:sz w:val="32"/>
          <w:lang w:val="zh-CN"/>
        </w:rPr>
        <w:t>其他行政事业单位医疗支出（项）：202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12.35</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15.农林水支出（类）</w:t>
      </w:r>
      <w:r>
        <w:rPr>
          <w:rFonts w:hint="eastAsia" w:ascii="仿宋_GB2312" w:hAnsi="仿宋_GB2312" w:eastAsia="仿宋_GB2312"/>
          <w:color w:val="000000"/>
          <w:sz w:val="32"/>
          <w:lang w:val="zh-CN"/>
        </w:rPr>
        <w:t>其他农林水支出（款）其他农林水支出（项）：202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17.19</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420"/>
        <w:jc w:val="both"/>
        <w:rPr>
          <w:rFonts w:hint="eastAsia" w:ascii="仿宋_GB2312" w:hAnsi="仿宋_GB2312" w:eastAsia="仿宋_GB2312"/>
          <w:color w:val="000000"/>
          <w:sz w:val="32"/>
          <w:lang w:val="zh-CN"/>
        </w:rPr>
      </w:pPr>
      <w:r>
        <w:rPr>
          <w:rFonts w:hint="eastAsia"/>
          <w:lang w:val="en-US" w:eastAsia="zh-CN"/>
        </w:rPr>
        <w:t xml:space="preserve">  </w:t>
      </w:r>
      <w:r>
        <w:rPr>
          <w:rFonts w:hint="eastAsia" w:ascii="仿宋_GB2312" w:hAnsi="仿宋_GB2312" w:eastAsia="仿宋_GB2312"/>
          <w:color w:val="000000"/>
          <w:sz w:val="32"/>
          <w:lang w:val="en-US" w:eastAsia="zh-CN"/>
        </w:rPr>
        <w:t>16.商业服务业等支出（类）</w:t>
      </w:r>
      <w:r>
        <w:rPr>
          <w:rFonts w:hint="eastAsia" w:ascii="仿宋_GB2312" w:hAnsi="仿宋_GB2312" w:eastAsia="仿宋_GB2312"/>
          <w:color w:val="000000"/>
          <w:sz w:val="32"/>
          <w:lang w:val="zh-CN"/>
        </w:rPr>
        <w:t>其他</w:t>
      </w:r>
      <w:r>
        <w:rPr>
          <w:rFonts w:hint="eastAsia" w:ascii="仿宋_GB2312" w:hAnsi="仿宋_GB2312" w:eastAsia="仿宋_GB2312"/>
          <w:color w:val="000000"/>
          <w:sz w:val="32"/>
          <w:lang w:val="en-US" w:eastAsia="zh-CN"/>
        </w:rPr>
        <w:t>商业服务业等</w:t>
      </w:r>
      <w:r>
        <w:rPr>
          <w:rFonts w:hint="eastAsia" w:ascii="仿宋_GB2312" w:hAnsi="仿宋_GB2312" w:eastAsia="仿宋_GB2312"/>
          <w:color w:val="000000"/>
          <w:sz w:val="32"/>
          <w:lang w:val="zh-CN"/>
        </w:rPr>
        <w:t>支出（款）其他</w:t>
      </w:r>
      <w:r>
        <w:rPr>
          <w:rFonts w:hint="eastAsia" w:ascii="仿宋_GB2312" w:hAnsi="仿宋_GB2312" w:eastAsia="仿宋_GB2312"/>
          <w:color w:val="000000"/>
          <w:sz w:val="32"/>
          <w:lang w:val="en-US" w:eastAsia="zh-CN"/>
        </w:rPr>
        <w:t>商业服务业等</w:t>
      </w:r>
      <w:r>
        <w:rPr>
          <w:rFonts w:hint="eastAsia" w:ascii="仿宋_GB2312" w:hAnsi="仿宋_GB2312" w:eastAsia="仿宋_GB2312"/>
          <w:color w:val="000000"/>
          <w:sz w:val="32"/>
          <w:lang w:val="zh-CN"/>
        </w:rPr>
        <w:t>支出（项）：202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29.56</w:t>
      </w:r>
      <w:r>
        <w:rPr>
          <w:rFonts w:hint="eastAsia" w:ascii="仿宋_GB2312" w:hAnsi="仿宋_GB2312" w:eastAsia="仿宋_GB2312"/>
          <w:color w:val="000000"/>
          <w:sz w:val="32"/>
          <w:lang w:val="zh-CN"/>
        </w:rPr>
        <w:t>万元，完成预算100%，决算数等于预算数。</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17.住房保障支出（类）住房改革支出（款）</w:t>
      </w:r>
      <w:r>
        <w:rPr>
          <w:rFonts w:hint="eastAsia" w:ascii="仿宋_GB2312" w:hAnsi="仿宋_GB2312" w:eastAsia="仿宋_GB2312"/>
          <w:color w:val="000000"/>
          <w:sz w:val="32"/>
          <w:lang w:val="zh-CN"/>
        </w:rPr>
        <w:t>住房公积金（项）:202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zh-CN"/>
        </w:rPr>
        <w:t>年支出决算数为</w:t>
      </w:r>
      <w:r>
        <w:rPr>
          <w:rFonts w:hint="eastAsia" w:ascii="仿宋_GB2312" w:hAnsi="仿宋_GB2312" w:eastAsia="仿宋_GB2312"/>
          <w:color w:val="000000"/>
          <w:sz w:val="32"/>
          <w:lang w:val="en-US" w:eastAsia="zh-CN"/>
        </w:rPr>
        <w:t>32.85</w:t>
      </w:r>
      <w:r>
        <w:rPr>
          <w:rFonts w:hint="eastAsia" w:ascii="仿宋_GB2312" w:hAnsi="仿宋_GB2312" w:eastAsia="仿宋_GB2312"/>
          <w:color w:val="000000"/>
          <w:sz w:val="32"/>
          <w:lang w:val="zh-CN"/>
        </w:rPr>
        <w:t>万元，完成预算100%，决算数等于预算数。</w:t>
      </w:r>
      <w:bookmarkEnd w:id="44"/>
    </w:p>
    <w:p>
      <w:pPr>
        <w:tabs>
          <w:tab w:val="right" w:pos="8306"/>
        </w:tabs>
        <w:spacing w:line="600" w:lineRule="exact"/>
        <w:ind w:firstLine="640"/>
        <w:outlineLvl w:val="1"/>
        <w:rPr>
          <w:rStyle w:val="197"/>
        </w:rPr>
      </w:pPr>
      <w:bookmarkStart w:id="45" w:name="_Toc15377214"/>
      <w:bookmarkStart w:id="4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97"/>
          <w:rFonts w:hint="eastAsia" w:ascii="黑体" w:hAnsi="黑体" w:eastAsia="黑体"/>
          <w:b w:val="0"/>
        </w:rPr>
        <w:t>般公共预算财政拨款基本支出决算情况说明</w:t>
      </w:r>
      <w:bookmarkEnd w:id="45"/>
      <w:bookmarkEnd w:id="46"/>
      <w:r>
        <w:rPr>
          <w:rStyle w:val="197"/>
          <w:rFonts w:ascii="黑体" w:hAnsi="黑体" w:eastAsia="黑体"/>
          <w:b w:val="0"/>
        </w:rPr>
        <w:tab/>
      </w:r>
    </w:p>
    <w:p>
      <w:pPr>
        <w:spacing w:line="600" w:lineRule="exact"/>
        <w:ind w:firstLine="645"/>
        <w:rPr>
          <w:rFonts w:ascii="仿宋" w:hAnsi="仿宋" w:eastAsia="仿宋"/>
          <w:sz w:val="32"/>
          <w:szCs w:val="32"/>
        </w:rPr>
      </w:pPr>
      <w:bookmarkStart w:id="47" w:name="_Toc15396609"/>
      <w:bookmarkStart w:id="48" w:name="_Toc15377215"/>
      <w:r>
        <w:rPr>
          <w:rFonts w:hint="eastAsia" w:ascii="仿宋" w:hAnsi="仿宋" w:eastAsia="仿宋"/>
          <w:sz w:val="32"/>
          <w:szCs w:val="32"/>
        </w:rPr>
        <w:t>2023年度一般公共预算财政拨款基本支出</w:t>
      </w:r>
      <w:r>
        <w:rPr>
          <w:rFonts w:ascii="仿宋" w:hAnsi="仿宋" w:eastAsia="仿宋"/>
          <w:b/>
          <w:sz w:val="32"/>
          <w:szCs w:val="32"/>
        </w:rPr>
        <w:t>698.6</w:t>
      </w:r>
      <w:r>
        <w:rPr>
          <w:rFonts w:hint="eastAsia" w:ascii="仿宋" w:hAnsi="仿宋" w:eastAsia="仿宋"/>
          <w:b/>
          <w:sz w:val="32"/>
          <w:szCs w:val="32"/>
          <w:lang w:val="en-US" w:eastAsia="zh-CN"/>
        </w:rPr>
        <w:t>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466.9</w:t>
      </w:r>
      <w:r>
        <w:rPr>
          <w:rFonts w:hint="eastAsia" w:ascii="仿宋" w:hAnsi="仿宋" w:eastAsia="仿宋"/>
          <w:b/>
          <w:sz w:val="32"/>
          <w:szCs w:val="32"/>
          <w:lang w:val="en-US" w:eastAsia="zh-CN"/>
        </w:rPr>
        <w:t>2</w:t>
      </w:r>
      <w:r>
        <w:rPr>
          <w:rFonts w:hint="eastAsia" w:ascii="仿宋" w:hAnsi="仿宋" w:eastAsia="仿宋"/>
          <w:sz w:val="32"/>
          <w:szCs w:val="32"/>
        </w:rPr>
        <w:t>万元，主要包括：基本工资、津贴补贴、奖金、绩效工资、机关事业单位基本养老保险缴费、职业年金缴费、</w:t>
      </w:r>
      <w:r>
        <w:rPr>
          <w:rFonts w:hint="eastAsia" w:ascii="仿宋" w:hAnsi="仿宋" w:eastAsia="仿宋"/>
          <w:sz w:val="32"/>
          <w:szCs w:val="32"/>
          <w:lang w:eastAsia="zh-CN"/>
        </w:rPr>
        <w:t>职工基本医疗保险缴费、公务员医疗补助缴费、</w:t>
      </w:r>
      <w:r>
        <w:rPr>
          <w:rFonts w:hint="eastAsia" w:ascii="仿宋" w:hAnsi="仿宋" w:eastAsia="仿宋"/>
          <w:sz w:val="32"/>
          <w:szCs w:val="32"/>
        </w:rPr>
        <w:t>其他社会保障缴费、其他工资福利支出、生活补助、医疗费补助、奖励金、住房公积金、其他对个人和家庭的补助支出等。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231.72</w:t>
      </w:r>
      <w:r>
        <w:rPr>
          <w:rFonts w:hint="eastAsia" w:ascii="仿宋" w:hAnsi="仿宋" w:eastAsia="仿宋"/>
          <w:sz w:val="32"/>
          <w:szCs w:val="32"/>
        </w:rPr>
        <w:t>万元，主要包括：办公费、水费、电费、差旅费、维修（护）费、公务接待费、劳务费、委托业务费、工会经费、福利费、公务用车运行维护费、其他交通费、其他商品和服务支出等。</w:t>
      </w:r>
    </w:p>
    <w:p>
      <w:pPr>
        <w:spacing w:line="600" w:lineRule="exact"/>
        <w:ind w:firstLine="640"/>
        <w:outlineLvl w:val="1"/>
        <w:rPr>
          <w:rStyle w:val="197"/>
          <w:rFonts w:ascii="黑体" w:hAnsi="黑体" w:eastAsia="黑体"/>
          <w:b w:val="0"/>
        </w:rPr>
      </w:pPr>
      <w:r>
        <w:rPr>
          <w:rFonts w:hint="eastAsia" w:ascii="黑体" w:eastAsia="黑体"/>
          <w:sz w:val="32"/>
          <w:szCs w:val="32"/>
        </w:rPr>
        <w:t>七、</w:t>
      </w:r>
      <w:r>
        <w:rPr>
          <w:rStyle w:val="197"/>
          <w:rFonts w:hint="eastAsia" w:ascii="黑体" w:hAnsi="黑体" w:eastAsia="黑体"/>
          <w:b w:val="0"/>
        </w:rPr>
        <w:t>财政拨款</w:t>
      </w:r>
      <w:r>
        <w:rPr>
          <w:rStyle w:val="197"/>
          <w:rFonts w:hint="eastAsia" w:ascii="黑体" w:hAnsi="黑体" w:eastAsia="黑体"/>
        </w:rPr>
        <w:t>“</w:t>
      </w:r>
      <w:r>
        <w:rPr>
          <w:rStyle w:val="197"/>
          <w:rFonts w:hint="eastAsia" w:ascii="黑体" w:hAnsi="黑体" w:eastAsia="黑体"/>
          <w:b w:val="0"/>
        </w:rPr>
        <w:t>三公”经费支出决算情况说明</w:t>
      </w:r>
      <w:bookmarkEnd w:id="47"/>
      <w:bookmarkEnd w:id="48"/>
    </w:p>
    <w:p>
      <w:pPr>
        <w:spacing w:line="600" w:lineRule="exact"/>
        <w:ind w:firstLine="640"/>
        <w:outlineLvl w:val="2"/>
        <w:rPr>
          <w:rFonts w:ascii="仿宋" w:hAnsi="仿宋" w:eastAsia="仿宋"/>
          <w:b/>
          <w:sz w:val="32"/>
          <w:szCs w:val="32"/>
        </w:rPr>
      </w:pPr>
      <w:bookmarkStart w:id="49" w:name="_Toc15377216"/>
      <w:r>
        <w:rPr>
          <w:rFonts w:hint="eastAsia" w:ascii="仿宋" w:hAnsi="仿宋" w:eastAsia="仿宋"/>
          <w:b/>
          <w:sz w:val="32"/>
          <w:szCs w:val="32"/>
        </w:rPr>
        <w:t>（一）“三公”经费财政拨款支出决算总体情况说明</w:t>
      </w:r>
      <w:bookmarkEnd w:id="49"/>
    </w:p>
    <w:p>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27.9</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27.1</w:t>
      </w:r>
      <w:r>
        <w:rPr>
          <w:rFonts w:hint="eastAsia" w:ascii="仿宋" w:hAnsi="仿宋" w:eastAsia="仿宋"/>
          <w:sz w:val="32"/>
          <w:szCs w:val="32"/>
        </w:rPr>
        <w:t>万元，增长</w:t>
      </w:r>
      <w:r>
        <w:rPr>
          <w:rFonts w:hint="eastAsia" w:ascii="仿宋" w:hAnsi="仿宋" w:eastAsia="仿宋"/>
          <w:sz w:val="32"/>
          <w:szCs w:val="32"/>
          <w:lang w:val="en-US" w:eastAsia="zh-CN"/>
        </w:rPr>
        <w:t>3387.5</w:t>
      </w:r>
      <w:r>
        <w:rPr>
          <w:rFonts w:hint="eastAsia" w:ascii="仿宋" w:hAnsi="仿宋" w:eastAsia="仿宋"/>
          <w:sz w:val="32"/>
          <w:szCs w:val="32"/>
        </w:rPr>
        <w:t>%。决算数</w:t>
      </w:r>
      <w:r>
        <w:rPr>
          <w:rFonts w:hint="eastAsia" w:ascii="仿宋" w:hAnsi="仿宋" w:eastAsia="仿宋"/>
          <w:sz w:val="32"/>
          <w:szCs w:val="32"/>
          <w:lang w:eastAsia="zh-CN"/>
        </w:rPr>
        <w:t>等于</w:t>
      </w:r>
      <w:r>
        <w:rPr>
          <w:rFonts w:hint="eastAsia" w:ascii="仿宋" w:hAnsi="仿宋" w:eastAsia="仿宋"/>
          <w:sz w:val="32"/>
          <w:szCs w:val="32"/>
        </w:rPr>
        <w:t>预算数。</w:t>
      </w:r>
    </w:p>
    <w:p>
      <w:pPr>
        <w:spacing w:line="600" w:lineRule="exact"/>
        <w:ind w:firstLine="640"/>
        <w:outlineLvl w:val="2"/>
        <w:rPr>
          <w:rFonts w:ascii="仿宋" w:hAnsi="仿宋" w:eastAsia="仿宋"/>
          <w:b/>
          <w:sz w:val="32"/>
          <w:szCs w:val="32"/>
        </w:rPr>
      </w:pPr>
      <w:bookmarkStart w:id="50" w:name="_Toc15377217"/>
      <w:r>
        <w:rPr>
          <w:rFonts w:hint="eastAsia" w:ascii="仿宋" w:hAnsi="仿宋" w:eastAsia="仿宋"/>
          <w:b/>
          <w:sz w:val="32"/>
          <w:szCs w:val="32"/>
        </w:rPr>
        <w:t>（二）“三公”经费财政拨款支出决算具体情况说明</w:t>
      </w:r>
      <w:bookmarkEnd w:id="50"/>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27.6</w:t>
      </w:r>
      <w:r>
        <w:rPr>
          <w:rFonts w:hint="eastAsia" w:ascii="仿宋" w:hAnsi="仿宋" w:eastAsia="仿宋"/>
          <w:sz w:val="32"/>
          <w:szCs w:val="32"/>
        </w:rPr>
        <w:t>万元，占</w:t>
      </w:r>
      <w:r>
        <w:rPr>
          <w:sz w:val="32"/>
          <w:szCs w:val="32"/>
        </w:rPr>
        <w:t>98.9</w:t>
      </w:r>
      <w:r>
        <w:rPr>
          <w:rFonts w:hint="eastAsia"/>
          <w:sz w:val="32"/>
          <w:szCs w:val="32"/>
          <w:lang w:val="en-US" w:eastAsia="zh-CN"/>
        </w:rPr>
        <w:t>2</w:t>
      </w:r>
      <w:r>
        <w:rPr>
          <w:rFonts w:ascii="仿宋" w:hAnsi="仿宋" w:eastAsia="仿宋"/>
          <w:sz w:val="32"/>
          <w:szCs w:val="32"/>
        </w:rPr>
        <w:t>%</w:t>
      </w:r>
      <w:r>
        <w:rPr>
          <w:rFonts w:hint="eastAsia" w:ascii="仿宋" w:hAnsi="仿宋" w:eastAsia="仿宋"/>
          <w:sz w:val="32"/>
          <w:szCs w:val="32"/>
        </w:rPr>
        <w:t>；公务接待费支出决算</w:t>
      </w:r>
      <w:r>
        <w:rPr>
          <w:sz w:val="32"/>
          <w:szCs w:val="32"/>
        </w:rPr>
        <w:t>0.3</w:t>
      </w:r>
      <w:r>
        <w:rPr>
          <w:rFonts w:hint="eastAsia" w:ascii="仿宋" w:hAnsi="仿宋" w:eastAsia="仿宋"/>
          <w:sz w:val="32"/>
          <w:szCs w:val="32"/>
        </w:rPr>
        <w:t>万元，占</w:t>
      </w:r>
      <w:r>
        <w:rPr>
          <w:sz w:val="32"/>
          <w:szCs w:val="32"/>
        </w:rPr>
        <w:t>1.08</w:t>
      </w:r>
      <w:r>
        <w:rPr>
          <w:rFonts w:ascii="仿宋" w:hAnsi="仿宋" w:eastAsia="仿宋"/>
          <w:sz w:val="32"/>
          <w:szCs w:val="32"/>
        </w:rPr>
        <w:t>%</w:t>
      </w:r>
      <w:r>
        <w:rPr>
          <w:rFonts w:hint="eastAsia" w:ascii="仿宋" w:hAnsi="仿宋" w:eastAsia="仿宋"/>
          <w:sz w:val="32"/>
          <w:szCs w:val="32"/>
        </w:rPr>
        <w:t>。具体情况如下：</w:t>
      </w:r>
    </w:p>
    <w:p>
      <w:pPr>
        <w:pStyle w:val="2"/>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r>
        <w:rPr>
          <w:rFonts w:hint="eastAsia"/>
          <w:lang w:val="en-US" w:eastAsia="zh-CN"/>
        </w:rPr>
        <w:t xml:space="preserve">                 </w:t>
      </w:r>
      <w:r>
        <w:drawing>
          <wp:inline distT="0" distB="0" distL="0" distR="0">
            <wp:extent cx="3082290" cy="2115185"/>
            <wp:effectExtent l="5080" t="4445" r="17780" b="1397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36"/>
          <w:rFonts w:hint="eastAsia" w:ascii="仿宋" w:hAnsi="仿宋" w:eastAsia="仿宋"/>
          <w:b w:val="0"/>
          <w:bCs/>
          <w:sz w:val="32"/>
          <w:szCs w:val="32"/>
        </w:rPr>
        <w:t>完成预算</w:t>
      </w:r>
      <w:r>
        <w:rPr>
          <w:sz w:val="32"/>
          <w:szCs w:val="32"/>
        </w:rPr>
        <w:t>0</w:t>
      </w:r>
      <w:r>
        <w:rPr>
          <w:rStyle w:val="36"/>
          <w:rFonts w:ascii="仿宋" w:hAnsi="仿宋" w:eastAsia="仿宋"/>
          <w:b w:val="0"/>
          <w:bCs/>
          <w:sz w:val="32"/>
          <w:szCs w:val="32"/>
        </w:rPr>
        <w:t>%</w:t>
      </w:r>
      <w:r>
        <w:rPr>
          <w:rStyle w:val="3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lang w:eastAsia="zh-CN"/>
        </w:rPr>
        <w:t>。</w:t>
      </w:r>
    </w:p>
    <w:p>
      <w:pPr>
        <w:spacing w:line="600" w:lineRule="exact"/>
        <w:ind w:firstLine="640"/>
        <w:rPr>
          <w:rFonts w:hint="eastAsia"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27.6</w:t>
      </w:r>
      <w:r>
        <w:rPr>
          <w:rFonts w:hint="eastAsia" w:ascii="仿宋_GB2312" w:eastAsia="仿宋_GB2312"/>
          <w:sz w:val="32"/>
          <w:szCs w:val="32"/>
        </w:rPr>
        <w:t>万元,</w:t>
      </w:r>
      <w:r>
        <w:rPr>
          <w:rStyle w:val="36"/>
          <w:rFonts w:hint="eastAsia" w:ascii="仿宋" w:hAnsi="仿宋" w:eastAsia="仿宋"/>
          <w:b w:val="0"/>
          <w:bCs/>
          <w:sz w:val="32"/>
          <w:szCs w:val="32"/>
        </w:rPr>
        <w:t>完成预算</w:t>
      </w:r>
      <w:r>
        <w:rPr>
          <w:rStyle w:val="36"/>
          <w:rFonts w:ascii="仿宋" w:hAnsi="仿宋" w:eastAsia="仿宋"/>
          <w:bCs/>
          <w:sz w:val="32"/>
          <w:szCs w:val="32"/>
        </w:rPr>
        <w:t>100</w:t>
      </w:r>
      <w:r>
        <w:rPr>
          <w:rStyle w:val="36"/>
          <w:rFonts w:ascii="仿宋" w:hAnsi="仿宋" w:eastAsia="仿宋"/>
          <w:b w:val="0"/>
          <w:bCs/>
          <w:sz w:val="32"/>
          <w:szCs w:val="32"/>
        </w:rPr>
        <w:t>%</w:t>
      </w:r>
      <w:r>
        <w:rPr>
          <w:rStyle w:val="3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27.17</w:t>
      </w:r>
      <w:r>
        <w:rPr>
          <w:rFonts w:hint="eastAsia" w:ascii="仿宋_GB2312" w:eastAsia="仿宋_GB2312"/>
          <w:sz w:val="32"/>
          <w:szCs w:val="32"/>
        </w:rPr>
        <w:t>万元，增长</w:t>
      </w:r>
      <w:r>
        <w:rPr>
          <w:rFonts w:hint="eastAsia" w:ascii="仿宋_GB2312" w:eastAsia="仿宋_GB2312"/>
          <w:sz w:val="32"/>
          <w:szCs w:val="32"/>
          <w:lang w:val="en-US" w:eastAsia="zh-CN"/>
        </w:rPr>
        <w:t>63.18</w:t>
      </w:r>
      <w:r>
        <w:rPr>
          <w:rFonts w:ascii="仿宋_GB2312" w:eastAsia="仿宋_GB2312"/>
          <w:sz w:val="32"/>
          <w:szCs w:val="32"/>
        </w:rPr>
        <w:t>%</w:t>
      </w:r>
      <w:r>
        <w:rPr>
          <w:rFonts w:hint="eastAsia" w:ascii="仿宋_GB2312" w:eastAsia="仿宋_GB2312"/>
          <w:sz w:val="32"/>
          <w:szCs w:val="32"/>
        </w:rPr>
        <w:t>。主要原因是</w:t>
      </w:r>
      <w:r>
        <w:rPr>
          <w:rFonts w:hint="eastAsia" w:ascii="Times New Roman" w:hAnsi="Times New Roman" w:eastAsia="仿宋_GB2312" w:cs="Times New Roman"/>
          <w:sz w:val="32"/>
          <w:szCs w:val="32"/>
          <w:lang w:val="en-US" w:eastAsia="zh-CN" w:bidi="ar-SA"/>
        </w:rPr>
        <w:t>今年增加为文化馆购买公务用车1台，增加公务用车下乡加油费用和汽车维修费</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26.9</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辆、金额</w:t>
      </w:r>
      <w:r>
        <w:rPr>
          <w:rFonts w:hint="eastAsia" w:ascii="仿宋_GB2312" w:eastAsia="仿宋_GB2312"/>
          <w:sz w:val="32"/>
          <w:szCs w:val="32"/>
          <w:lang w:val="en-US" w:eastAsia="zh-CN"/>
        </w:rPr>
        <w:t>26.9</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eastAsia="zh-CN"/>
        </w:rPr>
        <w:t>文化馆文化下乡非遗保护等业务工作</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left="279" w:firstLine="533"/>
        <w:jc w:val="both"/>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0.7</w:t>
      </w:r>
      <w:r>
        <w:rPr>
          <w:rFonts w:hint="eastAsia" w:ascii="仿宋_GB2312" w:eastAsia="仿宋_GB2312"/>
          <w:sz w:val="32"/>
          <w:szCs w:val="32"/>
        </w:rPr>
        <w:t>万元。主要用于</w:t>
      </w:r>
      <w:r>
        <w:rPr>
          <w:rFonts w:hint="eastAsia" w:ascii="仿宋_GB2312" w:hAnsi="仿宋_GB2312" w:eastAsia="仿宋_GB2312"/>
          <w:color w:val="000000"/>
          <w:sz w:val="32"/>
          <w:highlight w:val="white"/>
          <w:lang w:val="zh-CN"/>
        </w:rPr>
        <w:t>天府旅游名县创建、公共文化服务体系建设、文旅执法检查</w:t>
      </w:r>
      <w:r>
        <w:rPr>
          <w:rFonts w:hint="eastAsia" w:ascii="仿宋_GB2312" w:hAnsi="仿宋_GB2312" w:eastAsia="仿宋_GB2312"/>
          <w:color w:val="000000"/>
          <w:sz w:val="32"/>
          <w:lang w:val="zh-CN"/>
        </w:rPr>
        <w:t>等所需的公务用车</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0.3</w:t>
      </w:r>
      <w:r>
        <w:rPr>
          <w:rFonts w:hint="eastAsia" w:ascii="仿宋_GB2312" w:eastAsia="仿宋_GB2312"/>
          <w:sz w:val="32"/>
          <w:szCs w:val="32"/>
        </w:rPr>
        <w:t>万元，</w:t>
      </w:r>
      <w:r>
        <w:rPr>
          <w:rStyle w:val="36"/>
          <w:rFonts w:hint="eastAsia" w:ascii="仿宋" w:hAnsi="仿宋" w:eastAsia="仿宋"/>
          <w:b w:val="0"/>
          <w:bCs/>
          <w:sz w:val="32"/>
          <w:szCs w:val="32"/>
        </w:rPr>
        <w:t>完成预算</w:t>
      </w:r>
      <w:r>
        <w:rPr>
          <w:sz w:val="32"/>
          <w:szCs w:val="32"/>
        </w:rPr>
        <w:t>100%</w:t>
      </w:r>
      <w:r>
        <w:rPr>
          <w:rStyle w:val="3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0.07</w:t>
      </w:r>
      <w:r>
        <w:rPr>
          <w:rFonts w:hint="eastAsia" w:ascii="仿宋_GB2312" w:eastAsia="仿宋_GB2312"/>
          <w:sz w:val="32"/>
          <w:szCs w:val="32"/>
        </w:rPr>
        <w:t>万元，下降</w:t>
      </w:r>
      <w:r>
        <w:rPr>
          <w:rFonts w:hint="eastAsia" w:ascii="仿宋_GB2312" w:eastAsia="仿宋_GB2312"/>
          <w:sz w:val="32"/>
          <w:szCs w:val="32"/>
          <w:lang w:val="en-US" w:eastAsia="zh-CN"/>
        </w:rPr>
        <w:t>18.92</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Times New Roman" w:eastAsia="仿宋_GB2312"/>
          <w:color w:val="333333"/>
          <w:sz w:val="32"/>
          <w:lang w:eastAsia="zh-CN"/>
        </w:rPr>
        <w:t>公务接待次数减少</w:t>
      </w:r>
      <w:r>
        <w:rPr>
          <w:rFonts w:hint="eastAsia" w:ascii="仿宋_GB2312" w:hAnsi="Times New Roman" w:eastAsia="仿宋_GB2312"/>
          <w:color w:val="333333"/>
          <w:sz w:val="32"/>
        </w:rPr>
        <w:t>，</w:t>
      </w:r>
      <w:r>
        <w:rPr>
          <w:rFonts w:hint="eastAsia" w:ascii="仿宋_GB2312" w:hAnsi="Times New Roman" w:eastAsia="仿宋_GB2312"/>
          <w:color w:val="333333"/>
          <w:sz w:val="32"/>
          <w:lang w:eastAsia="zh-CN"/>
        </w:rPr>
        <w:t>故</w:t>
      </w:r>
      <w:r>
        <w:rPr>
          <w:rFonts w:hint="eastAsia" w:ascii="仿宋_GB2312" w:hAnsi="Times New Roman" w:eastAsia="仿宋_GB2312"/>
          <w:color w:val="333333"/>
          <w:sz w:val="32"/>
        </w:rPr>
        <w:t>接待费</w:t>
      </w:r>
      <w:r>
        <w:rPr>
          <w:rFonts w:hint="eastAsia" w:ascii="仿宋_GB2312" w:hAnsi="Times New Roman" w:eastAsia="仿宋_GB2312"/>
          <w:color w:val="333333"/>
          <w:sz w:val="32"/>
          <w:lang w:eastAsia="zh-CN"/>
        </w:rPr>
        <w:t>减少。</w:t>
      </w:r>
    </w:p>
    <w:p>
      <w:pPr>
        <w:spacing w:line="600" w:lineRule="exact"/>
        <w:ind w:firstLine="640"/>
        <w:rPr>
          <w:rFonts w:hint="default" w:ascii="仿宋_GB2312" w:eastAsia="仿宋_GB2312"/>
          <w:color w:val="auto"/>
          <w:sz w:val="32"/>
          <w:szCs w:val="32"/>
          <w:lang w:val="en-US"/>
        </w:rPr>
      </w:pPr>
      <w:r>
        <w:rPr>
          <w:rFonts w:hint="eastAsia" w:ascii="仿宋" w:hAnsi="仿宋" w:eastAsia="仿宋"/>
          <w:b/>
          <w:sz w:val="32"/>
          <w:szCs w:val="32"/>
        </w:rPr>
        <w:t>国内公务接待支出</w:t>
      </w:r>
      <w:r>
        <w:rPr>
          <w:rFonts w:ascii="仿宋" w:hAnsi="仿宋" w:eastAsia="仿宋"/>
          <w:b/>
          <w:sz w:val="32"/>
          <w:szCs w:val="32"/>
        </w:rPr>
        <w:t>0.3</w:t>
      </w:r>
      <w:r>
        <w:rPr>
          <w:rFonts w:hint="eastAsia" w:ascii="仿宋_GB2312" w:eastAsia="仿宋_GB2312"/>
          <w:sz w:val="32"/>
          <w:szCs w:val="32"/>
        </w:rPr>
        <w:t>万元，</w:t>
      </w:r>
      <w:r>
        <w:rPr>
          <w:rFonts w:hint="eastAsia" w:ascii="仿宋_GB2312" w:eastAsia="仿宋_GB2312"/>
          <w:color w:val="auto"/>
          <w:sz w:val="32"/>
          <w:szCs w:val="32"/>
        </w:rPr>
        <w:t>主要用于</w:t>
      </w:r>
      <w:r>
        <w:rPr>
          <w:rFonts w:hint="eastAsia" w:ascii="仿宋_GB2312" w:eastAsia="仿宋_GB2312"/>
          <w:color w:val="auto"/>
          <w:sz w:val="32"/>
          <w:szCs w:val="32"/>
          <w:lang w:eastAsia="zh-CN"/>
        </w:rPr>
        <w:t>全省全域旅游示范区现场指导、天府旅游名县创建、文旅项目调研等</w:t>
      </w:r>
      <w:r>
        <w:rPr>
          <w:rFonts w:hint="eastAsia" w:ascii="仿宋_GB2312" w:eastAsia="仿宋_GB2312"/>
          <w:color w:val="auto"/>
          <w:sz w:val="32"/>
          <w:szCs w:val="32"/>
        </w:rPr>
        <w:t>用餐费。国内公务接待</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48</w:t>
      </w:r>
      <w:r>
        <w:rPr>
          <w:rFonts w:hint="eastAsia" w:ascii="仿宋_GB2312" w:eastAsia="仿宋_GB2312"/>
          <w:color w:val="auto"/>
          <w:sz w:val="32"/>
          <w:szCs w:val="32"/>
        </w:rPr>
        <w:t>人次，共计支出</w:t>
      </w:r>
      <w:r>
        <w:rPr>
          <w:rFonts w:hint="eastAsia" w:ascii="仿宋_GB2312" w:eastAsia="仿宋_GB2312"/>
          <w:color w:val="auto"/>
          <w:sz w:val="32"/>
          <w:szCs w:val="32"/>
          <w:lang w:val="en-US" w:eastAsia="zh-CN"/>
        </w:rPr>
        <w:t>0.3</w:t>
      </w:r>
      <w:r>
        <w:rPr>
          <w:rFonts w:hint="eastAsia" w:ascii="仿宋_GB2312" w:eastAsia="仿宋_GB2312"/>
          <w:color w:val="auto"/>
          <w:sz w:val="32"/>
          <w:szCs w:val="32"/>
        </w:rPr>
        <w:t>万元</w:t>
      </w:r>
      <w:r>
        <w:rPr>
          <w:rFonts w:hint="eastAsia" w:ascii="仿宋_GB2312" w:eastAsia="仿宋_GB2312"/>
          <w:color w:val="auto"/>
          <w:sz w:val="32"/>
          <w:szCs w:val="32"/>
          <w:lang w:eastAsia="zh-CN"/>
        </w:rPr>
        <w:t>：具体内容包括：全省“文旅安全生产月”检查接待费</w:t>
      </w:r>
      <w:r>
        <w:rPr>
          <w:rFonts w:hint="eastAsia" w:ascii="仿宋_GB2312" w:eastAsia="仿宋_GB2312"/>
          <w:color w:val="auto"/>
          <w:sz w:val="32"/>
          <w:szCs w:val="32"/>
          <w:lang w:val="en-US" w:eastAsia="zh-CN"/>
        </w:rPr>
        <w:t>980元</w:t>
      </w:r>
      <w:r>
        <w:rPr>
          <w:rFonts w:hint="eastAsia" w:ascii="仿宋_GB2312" w:eastAsia="仿宋_GB2312"/>
          <w:color w:val="auto"/>
          <w:sz w:val="32"/>
          <w:szCs w:val="32"/>
          <w:lang w:eastAsia="zh-CN"/>
        </w:rPr>
        <w:t>、全省全域旅游示范区现场指导接待费</w:t>
      </w:r>
      <w:r>
        <w:rPr>
          <w:rFonts w:hint="eastAsia" w:ascii="仿宋_GB2312" w:eastAsia="仿宋_GB2312"/>
          <w:color w:val="auto"/>
          <w:sz w:val="32"/>
          <w:szCs w:val="32"/>
          <w:lang w:val="en-US" w:eastAsia="zh-CN"/>
        </w:rPr>
        <w:t>700元</w:t>
      </w:r>
      <w:r>
        <w:rPr>
          <w:rFonts w:hint="eastAsia" w:ascii="仿宋_GB2312" w:eastAsia="仿宋_GB2312"/>
          <w:color w:val="auto"/>
          <w:sz w:val="32"/>
          <w:szCs w:val="32"/>
          <w:lang w:eastAsia="zh-CN"/>
        </w:rPr>
        <w:t>、天府旅游名县创建接待费</w:t>
      </w:r>
      <w:r>
        <w:rPr>
          <w:rFonts w:hint="eastAsia" w:ascii="仿宋_GB2312" w:eastAsia="仿宋_GB2312"/>
          <w:color w:val="auto"/>
          <w:sz w:val="32"/>
          <w:szCs w:val="32"/>
          <w:lang w:val="en-US" w:eastAsia="zh-CN"/>
        </w:rPr>
        <w:t>560元</w:t>
      </w:r>
      <w:r>
        <w:rPr>
          <w:rFonts w:hint="eastAsia" w:ascii="仿宋_GB2312" w:eastAsia="仿宋_GB2312"/>
          <w:color w:val="auto"/>
          <w:sz w:val="32"/>
          <w:szCs w:val="32"/>
          <w:lang w:eastAsia="zh-CN"/>
        </w:rPr>
        <w:t>、全域旅游示范区创建调研接待费</w:t>
      </w:r>
      <w:r>
        <w:rPr>
          <w:rFonts w:hint="eastAsia" w:ascii="仿宋_GB2312" w:eastAsia="仿宋_GB2312"/>
          <w:color w:val="auto"/>
          <w:sz w:val="32"/>
          <w:szCs w:val="32"/>
          <w:lang w:val="en-US" w:eastAsia="zh-CN"/>
        </w:rPr>
        <w:t>560元，</w:t>
      </w:r>
      <w:r>
        <w:rPr>
          <w:rFonts w:hint="eastAsia" w:ascii="仿宋_GB2312" w:eastAsia="仿宋_GB2312"/>
          <w:color w:val="auto"/>
          <w:sz w:val="32"/>
          <w:szCs w:val="32"/>
          <w:lang w:eastAsia="zh-CN"/>
        </w:rPr>
        <w:t>文旅项目调研接待费</w:t>
      </w:r>
      <w:r>
        <w:rPr>
          <w:rFonts w:hint="eastAsia" w:ascii="仿宋_GB2312" w:eastAsia="仿宋_GB2312"/>
          <w:color w:val="auto"/>
          <w:sz w:val="32"/>
          <w:szCs w:val="32"/>
          <w:lang w:val="en-US" w:eastAsia="zh-CN"/>
        </w:rPr>
        <w:t>240元。</w:t>
      </w:r>
    </w:p>
    <w:p>
      <w:pPr>
        <w:spacing w:line="600" w:lineRule="exact"/>
        <w:ind w:firstLine="643"/>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197"/>
          <w:rFonts w:ascii="黑体" w:hAnsi="黑体" w:eastAsia="黑体"/>
        </w:rPr>
      </w:pPr>
      <w:bookmarkStart w:id="51" w:name="_Toc15377218"/>
      <w:bookmarkStart w:id="52" w:name="_Toc15396610"/>
      <w:r>
        <w:rPr>
          <w:rFonts w:hint="eastAsia" w:ascii="黑体" w:eastAsia="黑体"/>
          <w:sz w:val="32"/>
          <w:szCs w:val="32"/>
        </w:rPr>
        <w:t>八、</w:t>
      </w:r>
      <w:r>
        <w:rPr>
          <w:rStyle w:val="197"/>
          <w:rFonts w:hint="eastAsia" w:ascii="黑体" w:hAnsi="黑体" w:eastAsia="黑体"/>
          <w:b w:val="0"/>
        </w:rPr>
        <w:t>政府性基金预算支出决算情况说明</w:t>
      </w:r>
      <w:bookmarkEnd w:id="51"/>
      <w:bookmarkEnd w:id="52"/>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pPr>
        <w:numPr>
          <w:ilvl w:val="0"/>
          <w:numId w:val="0"/>
        </w:numPr>
        <w:spacing w:line="600" w:lineRule="exact"/>
        <w:ind w:firstLine="640"/>
        <w:outlineLvl w:val="1"/>
        <w:rPr>
          <w:rStyle w:val="197"/>
          <w:rFonts w:ascii="黑体" w:hAnsi="黑体" w:eastAsia="黑体"/>
          <w:b w:val="0"/>
        </w:rPr>
      </w:pPr>
      <w:bookmarkStart w:id="53" w:name="_Toc15396611"/>
      <w:bookmarkStart w:id="54" w:name="_Toc15377219"/>
      <w:r>
        <w:rPr>
          <w:rStyle w:val="197"/>
          <w:rFonts w:hint="eastAsia" w:ascii="黑体" w:hAnsi="黑体" w:eastAsia="黑体"/>
          <w:b w:val="0"/>
          <w:lang w:eastAsia="zh-CN"/>
        </w:rPr>
        <w:t>九、</w:t>
      </w:r>
      <w:r>
        <w:rPr>
          <w:rStyle w:val="197"/>
          <w:rFonts w:hint="eastAsia" w:ascii="黑体" w:hAnsi="黑体" w:eastAsia="黑体"/>
          <w:b w:val="0"/>
        </w:rPr>
        <w:t>国有资本经营预算支出决算情况说明</w:t>
      </w:r>
      <w:bookmarkEnd w:id="53"/>
      <w:bookmarkEnd w:id="54"/>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numPr>
          <w:ilvl w:val="0"/>
          <w:numId w:val="0"/>
        </w:numPr>
        <w:spacing w:line="600" w:lineRule="exact"/>
        <w:ind w:firstLine="640"/>
        <w:outlineLvl w:val="1"/>
        <w:rPr>
          <w:rStyle w:val="197"/>
          <w:rFonts w:ascii="黑体" w:hAnsi="黑体" w:eastAsia="黑体"/>
          <w:b w:val="0"/>
        </w:rPr>
      </w:pPr>
      <w:bookmarkStart w:id="55" w:name="_Toc15396612"/>
      <w:bookmarkStart w:id="56" w:name="_Toc15377221"/>
      <w:r>
        <w:rPr>
          <w:rStyle w:val="197"/>
          <w:rFonts w:hint="eastAsia" w:ascii="黑体" w:hAnsi="黑体" w:eastAsia="黑体"/>
          <w:b w:val="0"/>
          <w:lang w:eastAsia="zh-CN"/>
        </w:rPr>
        <w:t>十、</w:t>
      </w:r>
      <w:r>
        <w:rPr>
          <w:rStyle w:val="197"/>
          <w:rFonts w:hint="eastAsia" w:ascii="黑体" w:hAnsi="黑体" w:eastAsia="黑体"/>
          <w:b w:val="0"/>
        </w:rPr>
        <w:t>其他重要事项的情况说明</w:t>
      </w:r>
      <w:bookmarkEnd w:id="55"/>
      <w:bookmarkEnd w:id="56"/>
    </w:p>
    <w:p>
      <w:pPr>
        <w:spacing w:line="600" w:lineRule="exact"/>
        <w:ind w:firstLine="643"/>
        <w:outlineLvl w:val="2"/>
        <w:rPr>
          <w:rFonts w:ascii="仿宋" w:hAnsi="仿宋" w:eastAsia="仿宋"/>
          <w:sz w:val="32"/>
          <w:szCs w:val="32"/>
        </w:rPr>
      </w:pPr>
      <w:bookmarkStart w:id="57" w:name="_Toc15377222"/>
      <w:r>
        <w:rPr>
          <w:rFonts w:hint="eastAsia" w:ascii="仿宋" w:hAnsi="仿宋" w:eastAsia="仿宋"/>
          <w:b/>
          <w:sz w:val="32"/>
          <w:szCs w:val="32"/>
        </w:rPr>
        <w:t>（一）机关运行经费支出情况</w:t>
      </w:r>
      <w:bookmarkEnd w:id="57"/>
    </w:p>
    <w:p>
      <w:pPr>
        <w:spacing w:line="600" w:lineRule="exact"/>
        <w:ind w:firstLine="640"/>
        <w:rPr>
          <w:rFonts w:ascii="仿宋_GB2312" w:eastAsia="仿宋_GB2312"/>
          <w:sz w:val="32"/>
          <w:szCs w:val="32"/>
        </w:rPr>
      </w:pPr>
      <w:r>
        <w:rPr>
          <w:rFonts w:hint="eastAsia" w:ascii="仿宋_GB2312" w:eastAsia="仿宋_GB2312"/>
          <w:sz w:val="32"/>
          <w:szCs w:val="32"/>
        </w:rPr>
        <w:t>2023年度，</w:t>
      </w:r>
      <w:r>
        <w:rPr>
          <w:rFonts w:hint="eastAsia"/>
          <w:sz w:val="32"/>
          <w:szCs w:val="32"/>
        </w:rPr>
        <w:t>盐边县文化广播电视和旅游局</w:t>
      </w:r>
      <w:r>
        <w:rPr>
          <w:rFonts w:hint="eastAsia" w:ascii="仿宋_GB2312" w:eastAsia="仿宋_GB2312"/>
          <w:sz w:val="32"/>
          <w:szCs w:val="32"/>
        </w:rPr>
        <w:t>机关运行经费支出</w:t>
      </w:r>
      <w:r>
        <w:rPr>
          <w:rFonts w:ascii="仿宋" w:hAnsi="仿宋" w:eastAsia="仿宋"/>
          <w:b/>
          <w:sz w:val="32"/>
          <w:szCs w:val="32"/>
        </w:rPr>
        <w:t>231.72</w:t>
      </w:r>
      <w:r>
        <w:rPr>
          <w:rFonts w:hint="eastAsia" w:ascii="仿宋_GB2312" w:eastAsia="仿宋_GB2312"/>
          <w:sz w:val="32"/>
          <w:szCs w:val="32"/>
        </w:rPr>
        <w:t>万元，比2022年度增加</w:t>
      </w:r>
      <w:r>
        <w:rPr>
          <w:rFonts w:hint="eastAsia" w:ascii="仿宋_GB2312" w:eastAsia="仿宋_GB2312"/>
          <w:sz w:val="32"/>
          <w:szCs w:val="32"/>
          <w:lang w:val="en-US" w:eastAsia="zh-CN"/>
        </w:rPr>
        <w:t>192</w:t>
      </w:r>
      <w:r>
        <w:rPr>
          <w:rFonts w:hint="eastAsia" w:ascii="仿宋_GB2312" w:eastAsia="仿宋_GB2312"/>
          <w:sz w:val="32"/>
          <w:szCs w:val="32"/>
        </w:rPr>
        <w:t>万元，增长</w:t>
      </w:r>
      <w:r>
        <w:rPr>
          <w:rFonts w:hint="eastAsia" w:ascii="仿宋_GB2312" w:eastAsia="仿宋_GB2312"/>
          <w:sz w:val="32"/>
          <w:szCs w:val="32"/>
          <w:lang w:val="en-US" w:eastAsia="zh-CN"/>
        </w:rPr>
        <w:t>483.38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增加年初预算民生工程广播电视运行维护费</w:t>
      </w:r>
      <w:r>
        <w:rPr>
          <w:rFonts w:hint="eastAsia" w:ascii="仿宋_GB2312" w:eastAsia="仿宋_GB2312"/>
          <w:sz w:val="32"/>
          <w:szCs w:val="32"/>
          <w:lang w:val="en-US" w:eastAsia="zh-CN"/>
        </w:rPr>
        <w:t>180万元和文化站(点）免费开放9.6万元</w:t>
      </w:r>
      <w:r>
        <w:rPr>
          <w:rFonts w:hint="eastAsia" w:ascii="仿宋_GB2312" w:eastAsia="仿宋_GB2312"/>
          <w:sz w:val="32"/>
          <w:szCs w:val="32"/>
        </w:rPr>
        <w:t>。</w:t>
      </w:r>
    </w:p>
    <w:p>
      <w:pPr>
        <w:spacing w:line="600" w:lineRule="exact"/>
        <w:ind w:firstLine="321"/>
        <w:jc w:val="left"/>
        <w:outlineLvl w:val="2"/>
        <w:rPr>
          <w:rFonts w:ascii="仿宋" w:hAnsi="仿宋" w:eastAsia="仿宋"/>
          <w:b/>
          <w:sz w:val="32"/>
          <w:szCs w:val="32"/>
        </w:rPr>
      </w:pPr>
      <w:bookmarkStart w:id="58" w:name="_Toc15377223"/>
      <w:r>
        <w:rPr>
          <w:rFonts w:hint="eastAsia" w:ascii="仿宋" w:hAnsi="仿宋" w:eastAsia="仿宋"/>
          <w:b/>
          <w:sz w:val="32"/>
          <w:szCs w:val="32"/>
        </w:rPr>
        <w:t>（二）政府采购支出情况</w:t>
      </w:r>
      <w:bookmarkEnd w:id="58"/>
    </w:p>
    <w:p>
      <w:pPr>
        <w:spacing w:line="60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2023年度，盐边县文化广播电视和旅游局政府采购支出总额1603.7万元，其中：政府采购货物支出400万元、政府采购工程支出0万元、政府采购服务支出1203.7万元。主要用于 </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eastAsia="zh-CN"/>
        </w:rPr>
        <w:t>智慧</w:t>
      </w:r>
      <w:r>
        <w:rPr>
          <w:rFonts w:hint="eastAsia" w:ascii="仿宋_GB2312" w:hAnsi="Times New Roman" w:eastAsia="仿宋_GB2312" w:cs="Times New Roman"/>
          <w:sz w:val="32"/>
          <w:szCs w:val="32"/>
        </w:rPr>
        <w:t>广</w:t>
      </w:r>
      <w:r>
        <w:rPr>
          <w:rFonts w:hint="eastAsia" w:ascii="仿宋_GB2312" w:hAnsi="Times New Roman" w:eastAsia="仿宋_GB2312" w:cs="Times New Roman"/>
          <w:sz w:val="32"/>
          <w:szCs w:val="32"/>
          <w:lang w:eastAsia="zh-CN"/>
        </w:rPr>
        <w:t>电</w:t>
      </w:r>
      <w:r>
        <w:rPr>
          <w:rFonts w:hint="eastAsia" w:ascii="仿宋_GB2312" w:hAnsi="Times New Roman" w:eastAsia="仿宋_GB2312" w:cs="Times New Roman"/>
          <w:sz w:val="32"/>
          <w:szCs w:val="32"/>
        </w:rPr>
        <w:t>建设项目</w:t>
      </w:r>
      <w:r>
        <w:rPr>
          <w:rFonts w:hint="eastAsia" w:ascii="仿宋_GB2312" w:hAnsi="Times New Roman" w:eastAsia="仿宋_GB2312" w:cs="Times New Roman"/>
          <w:sz w:val="32"/>
          <w:szCs w:val="32"/>
          <w:lang w:val="en-US" w:eastAsia="zh-CN"/>
        </w:rPr>
        <w:t>299.9</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广播电视运行维护费</w:t>
      </w:r>
      <w:r>
        <w:rPr>
          <w:rFonts w:hint="eastAsia" w:ascii="仿宋_GB2312" w:hAnsi="Times New Roman" w:eastAsia="仿宋_GB2312" w:cs="Times New Roman"/>
          <w:sz w:val="32"/>
          <w:szCs w:val="32"/>
          <w:lang w:val="en-US" w:eastAsia="zh-CN"/>
        </w:rPr>
        <w:t xml:space="preserve"> 179.8万元，</w:t>
      </w:r>
      <w:r>
        <w:rPr>
          <w:rFonts w:hint="eastAsia" w:ascii="仿宋_GB2312" w:hAnsi="Times New Roman" w:eastAsia="仿宋_GB2312" w:cs="Times New Roman"/>
          <w:sz w:val="32"/>
          <w:szCs w:val="32"/>
        </w:rPr>
        <w:t>天府旅游名县</w:t>
      </w:r>
      <w:r>
        <w:rPr>
          <w:rFonts w:hint="eastAsia" w:ascii="仿宋_GB2312" w:hAnsi="Times New Roman" w:eastAsia="仿宋_GB2312" w:cs="Times New Roman"/>
          <w:sz w:val="32"/>
          <w:szCs w:val="32"/>
          <w:lang w:eastAsia="zh-CN"/>
        </w:rPr>
        <w:t>智慧文旅平台软件采购</w:t>
      </w:r>
      <w:r>
        <w:rPr>
          <w:rFonts w:hint="eastAsia" w:ascii="仿宋_GB2312" w:hAnsi="Times New Roman" w:eastAsia="仿宋_GB2312" w:cs="Times New Roman"/>
          <w:sz w:val="32"/>
          <w:szCs w:val="32"/>
          <w:lang w:val="en-US" w:eastAsia="zh-CN"/>
        </w:rPr>
        <w:t xml:space="preserve"> 155</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天府旅游名县</w:t>
      </w:r>
      <w:r>
        <w:rPr>
          <w:rFonts w:hint="eastAsia" w:ascii="仿宋_GB2312" w:hAnsi="Times New Roman" w:eastAsia="仿宋_GB2312" w:cs="Times New Roman"/>
          <w:sz w:val="32"/>
          <w:szCs w:val="32"/>
          <w:lang w:eastAsia="zh-CN"/>
        </w:rPr>
        <w:t>智慧文旅平台硬件采购</w:t>
      </w:r>
      <w:r>
        <w:rPr>
          <w:rFonts w:hint="eastAsia" w:ascii="仿宋_GB2312" w:hAnsi="Times New Roman" w:eastAsia="仿宋_GB2312" w:cs="Times New Roman"/>
          <w:sz w:val="32"/>
          <w:szCs w:val="32"/>
          <w:lang w:val="en-US" w:eastAsia="zh-CN"/>
        </w:rPr>
        <w:t xml:space="preserve"> 141.72</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，全域旅游导视系统</w:t>
      </w:r>
      <w:r>
        <w:rPr>
          <w:rFonts w:hint="eastAsia" w:ascii="仿宋_GB2312" w:hAnsi="Times New Roman" w:eastAsia="仿宋_GB2312" w:cs="Times New Roman"/>
          <w:sz w:val="32"/>
          <w:szCs w:val="32"/>
          <w:lang w:val="en-US" w:eastAsia="zh-CN"/>
        </w:rPr>
        <w:t>177万元，《雅砻江水天上来》话剧政府采购392万元，盐边县大笮文化大剧院提升改造  258.28万元。</w:t>
      </w:r>
      <w:r>
        <w:rPr>
          <w:rFonts w:hint="eastAsia" w:ascii="仿宋_GB2312" w:hAnsi="Times New Roman" w:eastAsia="仿宋_GB2312" w:cs="Times New Roman"/>
          <w:sz w:val="32"/>
          <w:szCs w:val="32"/>
        </w:rPr>
        <w:t>授予中小企业合同金额1282.18万元，占政府采购支出总额的0.79%，其中：授予小微企业合同金额982.28万元，占政府采购支出总额的61.25%。</w:t>
      </w:r>
    </w:p>
    <w:p>
      <w:pPr>
        <w:spacing w:line="600" w:lineRule="exact"/>
        <w:ind w:firstLine="643"/>
        <w:jc w:val="left"/>
        <w:outlineLvl w:val="2"/>
        <w:rPr>
          <w:rFonts w:ascii="仿宋" w:hAnsi="仿宋" w:eastAsia="仿宋"/>
          <w:b/>
          <w:sz w:val="32"/>
          <w:szCs w:val="32"/>
        </w:rPr>
      </w:pPr>
      <w:bookmarkStart w:id="59" w:name="_Toc15377224"/>
      <w:r>
        <w:rPr>
          <w:rFonts w:hint="eastAsia" w:ascii="仿宋" w:hAnsi="仿宋" w:eastAsia="仿宋"/>
          <w:b/>
          <w:sz w:val="32"/>
          <w:szCs w:val="32"/>
        </w:rPr>
        <w:t>（三）国有资产占有使用情况</w:t>
      </w:r>
      <w:bookmarkEnd w:id="59"/>
    </w:p>
    <w:p>
      <w:pPr>
        <w:spacing w:line="600" w:lineRule="exact"/>
        <w:ind w:firstLine="640"/>
        <w:jc w:val="left"/>
        <w:rPr>
          <w:rFonts w:ascii="仿宋" w:hAnsi="仿宋" w:eastAsia="仿宋"/>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盐边县文化广播电视和旅游局</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hAnsi="仿宋_GB2312" w:eastAsia="仿宋_GB2312"/>
          <w:color w:val="000000"/>
          <w:sz w:val="32"/>
          <w:lang w:val="zh-CN"/>
        </w:rPr>
        <w:t>1辆。其他用车主要是用于天府旅游名县创建、全域旅游示范区创建、文旅市场检查、公共文化服务体系建设、旅游拍摄及宣传、乡村酒店打造等工作下乡</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spacing w:line="600" w:lineRule="exact"/>
        <w:ind w:firstLine="643"/>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rPr>
          <w:rFonts w:hint="eastAsia" w:ascii="Times New Roman" w:hAnsi="Times New Roman" w:eastAsia="仿宋_GB2312" w:cs="Times New Roman"/>
          <w:sz w:val="32"/>
          <w:szCs w:val="32"/>
          <w:lang w:val="en-US" w:eastAsia="zh-CN" w:bidi="ar-SA"/>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eastAsia="zh-CN"/>
        </w:rPr>
        <w:t>“</w:t>
      </w:r>
      <w:r>
        <w:rPr>
          <w:rFonts w:hint="default" w:ascii="Times New Roman" w:hAnsi="Times New Roman" w:eastAsia="仿宋_GB2312" w:cs="Times New Roman"/>
          <w:sz w:val="32"/>
          <w:szCs w:val="32"/>
          <w:lang w:val="en-US" w:eastAsia="zh-CN" w:bidi="ar-SA"/>
        </w:rPr>
        <w:t>中央和省公共文化服务体系建设专项资金</w:t>
      </w:r>
      <w:r>
        <w:rPr>
          <w:rFonts w:hint="eastAsia" w:ascii="Times New Roman" w:hAnsi="Times New Roman" w:eastAsia="仿宋_GB2312" w:cs="Times New Roman"/>
          <w:sz w:val="32"/>
          <w:szCs w:val="32"/>
          <w:lang w:val="en-US" w:eastAsia="zh-CN" w:bidi="ar-SA"/>
        </w:rPr>
        <w:t>（大笮文旅融合园区提升项目）</w:t>
      </w:r>
      <w:r>
        <w:rPr>
          <w:rFonts w:hint="eastAsia" w:ascii="仿宋_GB2312" w:eastAsia="仿宋_GB2312"/>
          <w:sz w:val="32"/>
          <w:szCs w:val="32"/>
          <w:lang w:eastAsia="zh-CN"/>
        </w:rPr>
        <w:t>”“</w:t>
      </w:r>
      <w:r>
        <w:rPr>
          <w:rFonts w:hint="default" w:ascii="Times New Roman" w:hAnsi="Times New Roman" w:eastAsia="仿宋_GB2312" w:cs="Times New Roman"/>
          <w:sz w:val="32"/>
          <w:szCs w:val="32"/>
          <w:lang w:val="en-US" w:eastAsia="zh-CN" w:bidi="ar-SA"/>
        </w:rPr>
        <w:t>202</w:t>
      </w:r>
      <w:r>
        <w:rPr>
          <w:rFonts w:hint="eastAsia" w:ascii="Times New Roman" w:hAnsi="Times New Roman" w:eastAsia="仿宋_GB2312" w:cs="Times New Roman"/>
          <w:sz w:val="32"/>
          <w:szCs w:val="32"/>
          <w:lang w:val="en-US" w:eastAsia="zh-CN" w:bidi="ar-SA"/>
        </w:rPr>
        <w:t>2</w:t>
      </w:r>
      <w:r>
        <w:rPr>
          <w:rFonts w:hint="default" w:ascii="Times New Roman" w:hAnsi="Times New Roman" w:eastAsia="仿宋_GB2312" w:cs="Times New Roman"/>
          <w:sz w:val="32"/>
          <w:szCs w:val="32"/>
          <w:lang w:val="en-US" w:eastAsia="zh-CN" w:bidi="ar-SA"/>
        </w:rPr>
        <w:t>年</w:t>
      </w:r>
      <w:r>
        <w:rPr>
          <w:rFonts w:hint="eastAsia" w:ascii="Times New Roman" w:hAnsi="Times New Roman" w:eastAsia="仿宋_GB2312" w:cs="Times New Roman"/>
          <w:sz w:val="32"/>
          <w:szCs w:val="32"/>
          <w:lang w:val="en-US" w:eastAsia="zh-CN" w:bidi="ar-SA"/>
        </w:rPr>
        <w:t>-2023年</w:t>
      </w:r>
      <w:r>
        <w:rPr>
          <w:rFonts w:hint="default" w:ascii="Times New Roman" w:hAnsi="Times New Roman" w:eastAsia="仿宋_GB2312" w:cs="Times New Roman"/>
          <w:sz w:val="32"/>
          <w:szCs w:val="32"/>
          <w:lang w:val="en-US" w:eastAsia="zh-CN" w:bidi="ar-SA"/>
        </w:rPr>
        <w:t>省级公共文化服务体系建设专项资金（</w:t>
      </w:r>
      <w:r>
        <w:rPr>
          <w:rFonts w:hint="eastAsia" w:ascii="Times New Roman" w:hAnsi="Times New Roman" w:eastAsia="仿宋_GB2312" w:cs="Times New Roman"/>
          <w:sz w:val="32"/>
          <w:szCs w:val="32"/>
          <w:lang w:val="en-US" w:eastAsia="zh-CN" w:bidi="ar-SA"/>
        </w:rPr>
        <w:t>智慧广电</w:t>
      </w:r>
      <w:r>
        <w:rPr>
          <w:rFonts w:hint="default" w:ascii="Times New Roman" w:hAnsi="Times New Roman" w:eastAsia="仿宋_GB2312" w:cs="Times New Roman"/>
          <w:sz w:val="32"/>
          <w:szCs w:val="32"/>
          <w:lang w:val="en-US" w:eastAsia="zh-CN" w:bidi="ar-SA"/>
        </w:rPr>
        <w:t>项目）</w:t>
      </w:r>
      <w:r>
        <w:rPr>
          <w:rFonts w:hint="eastAsia" w:ascii="仿宋_GB2312" w:eastAsia="仿宋_GB2312"/>
          <w:sz w:val="32"/>
          <w:szCs w:val="32"/>
          <w:lang w:eastAsia="zh-CN"/>
        </w:rPr>
        <w:t>”“</w:t>
      </w:r>
      <w:r>
        <w:rPr>
          <w:rFonts w:hint="default" w:ascii="Times New Roman" w:hAnsi="Times New Roman" w:eastAsia="仿宋_GB2312" w:cs="Times New Roman"/>
          <w:sz w:val="32"/>
          <w:szCs w:val="32"/>
          <w:lang w:val="en-US" w:eastAsia="zh-CN" w:bidi="ar-SA"/>
        </w:rPr>
        <w:t>盐边县特色餐饮名店打造</w:t>
      </w:r>
      <w:r>
        <w:rPr>
          <w:rFonts w:hint="eastAsia" w:ascii="Times New Roman" w:hAnsi="Times New Roman" w:eastAsia="仿宋_GB2312" w:cs="Times New Roman"/>
          <w:sz w:val="32"/>
          <w:szCs w:val="32"/>
          <w:lang w:val="en-US" w:eastAsia="zh-CN" w:bidi="ar-SA"/>
        </w:rPr>
        <w:t>”等8个项目开展了预算事前绩效评估，对20个项目编制了绩效目标，预算执行过程中，选取20个项目开展绩效监控，组织对20个项目开展绩效自评。绩效自评表详见第四部分附件。</w:t>
      </w:r>
    </w:p>
    <w:p>
      <w:pPr>
        <w:pStyle w:val="2"/>
        <w:rPr>
          <w:rFonts w:hint="default"/>
          <w:lang w:val="en-US" w:eastAsia="zh-CN"/>
        </w:rPr>
      </w:pPr>
      <w:r>
        <w:rPr>
          <w:rFonts w:hint="eastAsia" w:ascii="Times New Roman" w:hAnsi="Times New Roman" w:eastAsia="仿宋_GB2312" w:cs="Times New Roman"/>
          <w:sz w:val="32"/>
          <w:szCs w:val="32"/>
          <w:lang w:val="en-US" w:eastAsia="zh-CN" w:bidi="ar-SA"/>
        </w:rPr>
        <w:t xml:space="preserve">   </w:t>
      </w:r>
      <w:r>
        <w:rPr>
          <w:rFonts w:hint="eastAsia" w:ascii="仿宋_GB2312" w:hAnsi="仿宋_GB2312" w:eastAsia="仿宋_GB2312"/>
          <w:color w:val="auto"/>
          <w:sz w:val="32"/>
          <w:lang w:val="en-US"/>
        </w:rPr>
        <w:t>组织对202</w:t>
      </w: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lang w:val="en-US"/>
        </w:rPr>
        <w:t>年度一般公共预算全面开展绩效自评，形成</w:t>
      </w:r>
      <w:r>
        <w:rPr>
          <w:rFonts w:hint="eastAsia" w:ascii="仿宋_GB2312" w:hAnsi="仿宋_GB2312" w:eastAsia="仿宋_GB2312"/>
          <w:sz w:val="32"/>
        </w:rPr>
        <w:t>《202</w:t>
      </w:r>
      <w:r>
        <w:rPr>
          <w:rFonts w:hint="eastAsia" w:ascii="仿宋_GB2312" w:hAnsi="仿宋_GB2312" w:eastAsia="仿宋_GB2312"/>
          <w:sz w:val="32"/>
          <w:lang w:val="en-US" w:eastAsia="zh-CN"/>
        </w:rPr>
        <w:t>3</w:t>
      </w:r>
      <w:r>
        <w:rPr>
          <w:rFonts w:hint="eastAsia" w:ascii="仿宋_GB2312" w:hAnsi="仿宋_GB2312" w:eastAsia="仿宋_GB2312"/>
          <w:sz w:val="32"/>
        </w:rPr>
        <w:t>年盐边县文化广播电视和旅游局</w:t>
      </w:r>
      <w:r>
        <w:rPr>
          <w:rFonts w:hint="eastAsia" w:ascii="仿宋_GB2312" w:hAnsi="仿宋_GB2312" w:eastAsia="仿宋_GB2312"/>
          <w:sz w:val="32"/>
          <w:lang w:eastAsia="zh-CN"/>
        </w:rPr>
        <w:t>部门预算</w:t>
      </w:r>
      <w:r>
        <w:rPr>
          <w:rFonts w:hint="eastAsia" w:ascii="仿宋_GB2312" w:hAnsi="仿宋_GB2312" w:eastAsia="仿宋_GB2312"/>
          <w:sz w:val="32"/>
        </w:rPr>
        <w:t>绩效评价报告》</w:t>
      </w:r>
      <w:r>
        <w:rPr>
          <w:rFonts w:hint="eastAsia" w:ascii="仿宋_GB2312" w:hAnsi="仿宋_GB2312" w:eastAsia="仿宋_GB2312"/>
          <w:color w:val="auto"/>
          <w:sz w:val="32"/>
          <w:lang w:val="en-US"/>
        </w:rPr>
        <w:t>、</w:t>
      </w:r>
      <w:r>
        <w:rPr>
          <w:rFonts w:hint="eastAsia" w:ascii="仿宋_GB2312" w:hAnsi="仿宋_GB2312" w:eastAsia="仿宋_GB2312"/>
          <w:color w:val="auto"/>
          <w:sz w:val="32"/>
          <w:lang w:val="en-US" w:eastAsia="zh-CN"/>
        </w:rPr>
        <w:t>“2023年中央支持地方公共文化服务体系建设补助资金”“2023年省级财政乡村振兴共同财政事权转移资金”</w:t>
      </w:r>
      <w:r>
        <w:rPr>
          <w:rFonts w:hint="eastAsia" w:ascii="仿宋_GB2312" w:hAnsi="仿宋_GB2312" w:eastAsia="仿宋_GB2312"/>
          <w:color w:val="auto"/>
          <w:sz w:val="32"/>
          <w:lang w:val="en-US"/>
        </w:rPr>
        <w:t>等专项预算项目绩效自评报告，其中，</w:t>
      </w:r>
      <w:r>
        <w:rPr>
          <w:rFonts w:hint="eastAsia" w:ascii="仿宋_GB2312" w:hAnsi="仿宋_GB2312" w:eastAsia="仿宋_GB2312"/>
          <w:color w:val="auto"/>
          <w:sz w:val="32"/>
          <w:lang w:val="en-US" w:eastAsia="zh-CN"/>
        </w:rPr>
        <w:t>文广旅局</w:t>
      </w:r>
      <w:r>
        <w:rPr>
          <w:rFonts w:hint="eastAsia" w:ascii="仿宋_GB2312" w:hAnsi="仿宋_GB2312" w:eastAsia="仿宋_GB2312"/>
          <w:color w:val="auto"/>
          <w:sz w:val="32"/>
          <w:lang w:val="en-US"/>
        </w:rPr>
        <w:t>部门整体（含部门预算项目）绩效自评得分为</w:t>
      </w:r>
      <w:r>
        <w:rPr>
          <w:rFonts w:hint="eastAsia" w:ascii="仿宋_GB2312" w:hAnsi="仿宋_GB2312" w:eastAsia="仿宋_GB2312"/>
          <w:color w:val="auto"/>
          <w:sz w:val="32"/>
          <w:lang w:val="en-US" w:eastAsia="zh-CN"/>
        </w:rPr>
        <w:t>94</w:t>
      </w:r>
      <w:r>
        <w:rPr>
          <w:rFonts w:hint="eastAsia" w:ascii="仿宋_GB2312" w:hAnsi="仿宋_GB2312" w:eastAsia="仿宋_GB2312"/>
          <w:color w:val="auto"/>
          <w:sz w:val="32"/>
          <w:lang w:val="en-US"/>
        </w:rPr>
        <w:t>分</w:t>
      </w:r>
      <w:r>
        <w:rPr>
          <w:rFonts w:hint="eastAsia" w:ascii="仿宋_GB2312" w:hAnsi="仿宋_GB2312" w:eastAsia="仿宋_GB2312"/>
          <w:color w:val="auto"/>
          <w:sz w:val="32"/>
          <w:lang w:val="en-US" w:eastAsia="zh-CN"/>
        </w:rPr>
        <w:t>。</w:t>
      </w:r>
      <w:r>
        <w:rPr>
          <w:rFonts w:ascii="Times New Roman" w:hAnsi="Times New Roman" w:eastAsia="仿宋_GB2312"/>
          <w:sz w:val="32"/>
          <w:szCs w:val="32"/>
        </w:rPr>
        <w:t>绩效自评综述：</w:t>
      </w:r>
      <w:r>
        <w:rPr>
          <w:rStyle w:val="36"/>
          <w:rFonts w:hint="eastAsia" w:eastAsia="仿宋"/>
          <w:b w:val="0"/>
          <w:bCs/>
          <w:color w:val="000000"/>
          <w:sz w:val="32"/>
          <w:szCs w:val="32"/>
          <w:lang w:eastAsia="zh-CN"/>
        </w:rPr>
        <w:t>县</w:t>
      </w:r>
      <w:r>
        <w:rPr>
          <w:rStyle w:val="36"/>
          <w:rFonts w:ascii="Times New Roman" w:hAnsi="Times New Roman" w:eastAsia="仿宋"/>
          <w:b w:val="0"/>
          <w:bCs/>
          <w:color w:val="000000"/>
          <w:sz w:val="32"/>
          <w:szCs w:val="32"/>
        </w:rPr>
        <w:t>文广旅局部门结合部门自身特点、评价重点及管理办法等要求，围绕预算编制、预算执行、支出绩效等方面进行总体评价，整体支出自评准确、及时，部门支出绩效指标达到了预期设定的目标值，总体绩效目标完成较好</w:t>
      </w:r>
      <w:r>
        <w:rPr>
          <w:rFonts w:ascii="Times New Roman" w:hAnsi="Times New Roman" w:eastAsia="仿宋_GB2312"/>
          <w:sz w:val="32"/>
          <w:szCs w:val="32"/>
        </w:rPr>
        <w:t>；</w:t>
      </w:r>
      <w:r>
        <w:rPr>
          <w:rFonts w:hint="eastAsia" w:ascii="仿宋_GB2312" w:hAnsi="仿宋_GB2312" w:eastAsia="仿宋_GB2312"/>
          <w:color w:val="auto"/>
          <w:sz w:val="32"/>
          <w:lang w:val="en-US"/>
        </w:rPr>
        <w:t>绩效自评报告详见附件。</w:t>
      </w:r>
    </w:p>
    <w:p>
      <w:pPr>
        <w:pStyle w:val="3"/>
        <w:jc w:val="center"/>
        <w:rPr>
          <w:rFonts w:hint="eastAsia" w:ascii="仿宋_GB2312" w:eastAsia="仿宋_GB2312"/>
          <w:sz w:val="32"/>
          <w:szCs w:val="32"/>
        </w:rPr>
      </w:pPr>
      <w:r>
        <w:rPr>
          <w:rFonts w:hint="eastAsia"/>
        </w:rPr>
        <w:t>第三部分 名词解释</w:t>
      </w:r>
    </w:p>
    <w:p>
      <w:pPr>
        <w:pStyle w:val="194"/>
        <w:numPr>
          <w:ilvl w:val="0"/>
          <w:numId w:val="0"/>
        </w:numPr>
        <w:spacing w:line="560" w:lineRule="exact"/>
        <w:ind w:firstLine="64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财政拨款收入：指单位从同级财政部门取得的财政预算资金。</w:t>
      </w:r>
    </w:p>
    <w:p>
      <w:pPr>
        <w:pStyle w:val="194"/>
        <w:numPr>
          <w:ilvl w:val="0"/>
          <w:numId w:val="0"/>
        </w:numPr>
        <w:spacing w:line="560" w:lineRule="exact"/>
        <w:ind w:firstLine="640"/>
        <w:rPr>
          <w:rFonts w:hint="eastAsia" w:ascii="仿宋_GB2312" w:eastAsia="仿宋_GB2312"/>
          <w:color w:val="auto"/>
          <w:sz w:val="32"/>
          <w:szCs w:val="32"/>
        </w:rPr>
      </w:pP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lang w:val="en-US"/>
        </w:rPr>
        <w:t>.其他收入：指单位取得的除上述收入以外的各项收入。主要是</w:t>
      </w:r>
      <w:r>
        <w:rPr>
          <w:rFonts w:hint="eastAsia" w:ascii="仿宋_GB2312" w:hAnsi="仿宋_GB2312" w:eastAsia="仿宋_GB2312"/>
          <w:color w:val="auto"/>
          <w:sz w:val="32"/>
          <w:lang w:val="en-US" w:eastAsia="zh-CN"/>
        </w:rPr>
        <w:t>市级资金</w:t>
      </w:r>
      <w:r>
        <w:rPr>
          <w:rFonts w:hint="eastAsia" w:ascii="仿宋_GB2312" w:hAnsi="仿宋_GB2312" w:eastAsia="仿宋_GB2312"/>
          <w:color w:val="000000"/>
          <w:sz w:val="32"/>
          <w:lang w:val="en-US"/>
        </w:rPr>
        <w:t>等。</w:t>
      </w:r>
    </w:p>
    <w:p>
      <w:pPr>
        <w:spacing w:line="576" w:lineRule="exact"/>
        <w:ind w:firstLine="640"/>
        <w:rPr>
          <w:rFonts w:hint="default"/>
          <w:sz w:val="24"/>
          <w:lang w:val="en-US"/>
        </w:rPr>
      </w:pP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val="en-US"/>
        </w:rPr>
        <w:t>.</w:t>
      </w:r>
      <w:r>
        <w:rPr>
          <w:rFonts w:hint="eastAsia" w:ascii="仿宋_GB2312" w:hAnsi="仿宋_GB2312" w:eastAsia="仿宋_GB2312"/>
          <w:color w:val="000000"/>
          <w:sz w:val="32"/>
          <w:lang w:val="en-US" w:eastAsia="zh-CN"/>
        </w:rPr>
        <w:t>文化旅游体育与传媒支出（类）</w:t>
      </w:r>
      <w:r>
        <w:rPr>
          <w:rFonts w:hint="eastAsia" w:ascii="仿宋_GB2312" w:hAnsi="仿宋_GB2312" w:eastAsia="仿宋_GB2312"/>
          <w:color w:val="000000"/>
          <w:sz w:val="32"/>
          <w:lang w:val="zh-CN"/>
        </w:rPr>
        <w:t>文化和旅游（款）行政运行（项）</w:t>
      </w:r>
      <w:r>
        <w:rPr>
          <w:rFonts w:hint="eastAsia" w:ascii="仿宋_GB2312" w:hAnsi="仿宋_GB2312" w:eastAsia="仿宋_GB2312"/>
          <w:color w:val="000000"/>
          <w:sz w:val="32"/>
          <w:lang w:val="en-US"/>
        </w:rPr>
        <w:t>：</w:t>
      </w:r>
      <w:r>
        <w:rPr>
          <w:rFonts w:hint="eastAsia" w:ascii="仿宋_GB2312" w:hAnsi="仿宋_GB2312" w:eastAsia="仿宋_GB2312"/>
          <w:color w:val="000000"/>
          <w:sz w:val="32"/>
          <w:lang w:val="en-US" w:eastAsia="zh-CN"/>
        </w:rPr>
        <w:t>反映行政单位（包括实行公务员管理的事业单位）</w:t>
      </w:r>
      <w:r>
        <w:rPr>
          <w:rFonts w:hint="eastAsia" w:ascii="仿宋_GB2312" w:hAnsi="仿宋_GB2312" w:eastAsia="仿宋_GB2312"/>
          <w:color w:val="000000"/>
          <w:sz w:val="32"/>
          <w:lang w:val="en-US"/>
        </w:rPr>
        <w:t>的基本支出。</w:t>
      </w:r>
    </w:p>
    <w:p>
      <w:pPr>
        <w:spacing w:line="576" w:lineRule="exact"/>
        <w:ind w:firstLine="640"/>
        <w:rPr>
          <w:rFonts w:hint="eastAsia" w:ascii="Times New Roman" w:hAnsi="Times New Roman" w:eastAsia="Times New Roman"/>
          <w:sz w:val="24"/>
          <w:lang w:val="en-US" w:eastAsia="zh-CN"/>
        </w:rPr>
      </w:pPr>
      <w:r>
        <w:rPr>
          <w:rFonts w:hint="eastAsia" w:ascii="仿宋_GB2312" w:hAnsi="仿宋_GB2312" w:eastAsia="仿宋_GB2312"/>
          <w:color w:val="000000"/>
          <w:sz w:val="32"/>
          <w:lang w:val="en-US" w:eastAsia="zh-CN"/>
        </w:rPr>
        <w:t>4.文化旅游体育与传媒支出（类）</w:t>
      </w:r>
      <w:r>
        <w:rPr>
          <w:rFonts w:hint="eastAsia" w:ascii="仿宋_GB2312" w:hAnsi="仿宋_GB2312" w:eastAsia="仿宋_GB2312"/>
          <w:color w:val="000000"/>
          <w:sz w:val="32"/>
          <w:lang w:val="zh-CN"/>
        </w:rPr>
        <w:t>文化和旅游（款）文化活动（项）：反映举办大型文化艺术活动的支出。</w:t>
      </w:r>
    </w:p>
    <w:p>
      <w:pPr>
        <w:pStyle w:val="194"/>
        <w:spacing w:line="560" w:lineRule="exact"/>
        <w:ind w:firstLine="640"/>
        <w:rPr>
          <w:rFonts w:hint="eastAsia" w:ascii="仿宋_GB2312" w:eastAsia="仿宋_GB2312"/>
          <w:sz w:val="32"/>
        </w:rPr>
      </w:pPr>
      <w:r>
        <w:rPr>
          <w:rFonts w:hint="eastAsia" w:ascii="仿宋_GB2312" w:eastAsia="仿宋_GB2312"/>
          <w:sz w:val="32"/>
          <w:lang w:val="en-US" w:eastAsia="zh-CN"/>
        </w:rPr>
        <w:t>5</w:t>
      </w:r>
      <w:r>
        <w:rPr>
          <w:rFonts w:hint="eastAsia" w:ascii="仿宋_GB2312" w:eastAsia="仿宋_GB2312"/>
          <w:sz w:val="32"/>
        </w:rPr>
        <w:t>.</w:t>
      </w:r>
      <w:r>
        <w:rPr>
          <w:rFonts w:hint="eastAsia" w:ascii="仿宋_GB2312" w:hAnsi="仿宋_GB2312" w:eastAsia="仿宋_GB2312"/>
          <w:sz w:val="32"/>
        </w:rPr>
        <w:t>文化旅游体育与传媒支出（类）</w:t>
      </w:r>
      <w:r>
        <w:rPr>
          <w:rFonts w:hint="eastAsia" w:ascii="仿宋_GB2312" w:hAnsi="仿宋_GB2312" w:eastAsia="仿宋_GB2312"/>
          <w:sz w:val="32"/>
          <w:lang w:val="zh-CN"/>
        </w:rPr>
        <w:t>文化和旅游（款）文化和旅游管理事务（项）</w:t>
      </w:r>
      <w:r>
        <w:rPr>
          <w:rFonts w:hint="eastAsia" w:ascii="仿宋_GB2312" w:eastAsia="仿宋_GB2312"/>
          <w:sz w:val="32"/>
        </w:rPr>
        <w:t>：反映于文化和旅游管理事务的支出。</w:t>
      </w:r>
    </w:p>
    <w:p>
      <w:pPr>
        <w:pStyle w:val="194"/>
        <w:spacing w:line="560" w:lineRule="exact"/>
        <w:ind w:firstLine="640"/>
        <w:rPr>
          <w:rStyle w:val="36"/>
          <w:rFonts w:hint="eastAsia" w:ascii="仿宋_GB2312" w:hAnsi="Times New Roman" w:eastAsia="仿宋_GB2312"/>
          <w:b w:val="0"/>
          <w:sz w:val="32"/>
        </w:rPr>
      </w:pPr>
      <w:r>
        <w:rPr>
          <w:rFonts w:hint="eastAsia" w:ascii="仿宋_GB2312" w:eastAsia="仿宋_GB2312"/>
          <w:sz w:val="32"/>
          <w:lang w:val="en-US" w:eastAsia="zh-CN"/>
        </w:rPr>
        <w:t>6</w:t>
      </w:r>
      <w:r>
        <w:rPr>
          <w:rFonts w:hint="eastAsia" w:ascii="仿宋_GB2312" w:eastAsia="仿宋_GB2312"/>
          <w:sz w:val="32"/>
        </w:rPr>
        <w:t>.</w:t>
      </w:r>
      <w:r>
        <w:rPr>
          <w:rFonts w:hint="eastAsia" w:ascii="仿宋_GB2312" w:hAnsi="仿宋_GB2312" w:eastAsia="仿宋_GB2312"/>
          <w:sz w:val="32"/>
        </w:rPr>
        <w:t>文化旅游体育与传媒支出（类）</w:t>
      </w:r>
      <w:r>
        <w:rPr>
          <w:rFonts w:hint="eastAsia" w:ascii="仿宋_GB2312" w:hAnsi="仿宋_GB2312" w:eastAsia="仿宋_GB2312"/>
          <w:sz w:val="32"/>
          <w:lang w:val="zh-CN"/>
        </w:rPr>
        <w:t>文化和旅游（款）其他文化和旅游支出（项）</w:t>
      </w:r>
      <w:r>
        <w:rPr>
          <w:rStyle w:val="36"/>
          <w:rFonts w:hint="eastAsia" w:ascii="仿宋_GB2312" w:hAnsi="Times New Roman" w:eastAsia="仿宋_GB2312"/>
          <w:b w:val="0"/>
          <w:sz w:val="32"/>
        </w:rPr>
        <w:t>：反映除上述项目以外其他用于文化和旅游方面的支出。</w:t>
      </w:r>
    </w:p>
    <w:p>
      <w:pPr>
        <w:pStyle w:val="194"/>
        <w:spacing w:line="560" w:lineRule="exact"/>
        <w:ind w:firstLine="640"/>
        <w:rPr>
          <w:rFonts w:hint="eastAsia" w:ascii="仿宋_GB2312" w:hAnsi="仿宋_GB2312" w:eastAsia="仿宋_GB2312"/>
          <w:sz w:val="32"/>
        </w:rPr>
      </w:pPr>
      <w:r>
        <w:rPr>
          <w:rFonts w:hint="eastAsia" w:ascii="仿宋_GB2312" w:eastAsia="仿宋_GB2312"/>
          <w:sz w:val="32"/>
        </w:rPr>
        <w:t>7.</w:t>
      </w:r>
      <w:r>
        <w:rPr>
          <w:rFonts w:hint="eastAsia" w:ascii="仿宋_GB2312" w:hAnsi="仿宋_GB2312" w:eastAsia="仿宋_GB2312"/>
          <w:sz w:val="32"/>
        </w:rPr>
        <w:t>文化旅游体育与传媒支出（类）</w:t>
      </w:r>
      <w:r>
        <w:rPr>
          <w:rFonts w:hint="eastAsia" w:ascii="仿宋_GB2312" w:hAnsi="仿宋_GB2312" w:eastAsia="仿宋_GB2312"/>
          <w:sz w:val="32"/>
          <w:lang w:val="zh-CN"/>
        </w:rPr>
        <w:t>广播电视（款）其他广播电视支出（项）</w:t>
      </w:r>
      <w:r>
        <w:rPr>
          <w:rFonts w:hint="eastAsia" w:ascii="仿宋_GB2312" w:hAnsi="仿宋_GB2312" w:eastAsia="仿宋_GB2312"/>
          <w:sz w:val="32"/>
        </w:rPr>
        <w:t>：</w:t>
      </w:r>
      <w:r>
        <w:rPr>
          <w:rStyle w:val="36"/>
          <w:rFonts w:hint="eastAsia" w:ascii="仿宋_GB2312" w:hAnsi="Times New Roman" w:eastAsia="仿宋_GB2312"/>
          <w:b w:val="0"/>
          <w:sz w:val="32"/>
        </w:rPr>
        <w:t>反映除上述项目以外</w:t>
      </w:r>
      <w:r>
        <w:rPr>
          <w:rFonts w:hint="eastAsia" w:ascii="仿宋_GB2312" w:hAnsi="仿宋_GB2312" w:eastAsia="仿宋_GB2312"/>
          <w:sz w:val="32"/>
        </w:rPr>
        <w:t>其他用于广播电视方面的支出。</w:t>
      </w:r>
    </w:p>
    <w:p>
      <w:pPr>
        <w:pStyle w:val="194"/>
        <w:spacing w:line="560" w:lineRule="exact"/>
        <w:ind w:firstLine="640"/>
        <w:rPr>
          <w:rFonts w:hint="eastAsia" w:ascii="仿宋_GB2312" w:hAnsi="仿宋_GB2312" w:eastAsia="仿宋_GB2312"/>
          <w:sz w:val="32"/>
        </w:rPr>
      </w:pPr>
      <w:r>
        <w:rPr>
          <w:rFonts w:hint="eastAsia" w:ascii="仿宋_GB2312" w:hAnsi="仿宋_GB2312" w:eastAsia="仿宋_GB2312"/>
          <w:sz w:val="32"/>
        </w:rPr>
        <w:t>8.文化旅游体育与传媒支出（类）</w:t>
      </w:r>
      <w:r>
        <w:rPr>
          <w:rFonts w:hint="eastAsia" w:ascii="仿宋_GB2312" w:hAnsi="仿宋_GB2312" w:eastAsia="仿宋_GB2312"/>
          <w:sz w:val="32"/>
          <w:lang w:val="zh-CN"/>
        </w:rPr>
        <w:t>其他广播旅游体育与传媒支出（款）其他文化旅游体育与传媒支出（项）</w:t>
      </w:r>
      <w:r>
        <w:rPr>
          <w:rFonts w:hint="eastAsia" w:ascii="仿宋_GB2312" w:hAnsi="仿宋_GB2312" w:eastAsia="仿宋_GB2312"/>
          <w:sz w:val="32"/>
        </w:rPr>
        <w:t>：</w:t>
      </w:r>
      <w:r>
        <w:rPr>
          <w:rStyle w:val="36"/>
          <w:rFonts w:hint="eastAsia" w:ascii="仿宋_GB2312" w:hAnsi="Times New Roman" w:eastAsia="仿宋_GB2312"/>
          <w:b w:val="0"/>
          <w:sz w:val="32"/>
        </w:rPr>
        <w:t>反映除上述项目以外</w:t>
      </w:r>
      <w:r>
        <w:rPr>
          <w:rFonts w:hint="eastAsia" w:ascii="仿宋_GB2312" w:hAnsi="仿宋_GB2312" w:eastAsia="仿宋_GB2312"/>
          <w:sz w:val="32"/>
        </w:rPr>
        <w:t>其他用于文化旅游体育与传媒方面的支出。</w:t>
      </w:r>
    </w:p>
    <w:p>
      <w:pPr>
        <w:pStyle w:val="194"/>
        <w:spacing w:line="560" w:lineRule="exact"/>
        <w:ind w:firstLine="640"/>
        <w:rPr>
          <w:rFonts w:hint="eastAsia" w:ascii="仿宋_GB2312" w:hAnsi="仿宋_GB2312" w:eastAsia="仿宋_GB2312"/>
          <w:sz w:val="32"/>
          <w:lang w:val="zh-CN"/>
        </w:rPr>
      </w:pPr>
      <w:r>
        <w:rPr>
          <w:rFonts w:hint="eastAsia" w:ascii="仿宋_GB2312" w:hAnsi="仿宋_GB2312" w:eastAsia="仿宋_GB2312"/>
          <w:sz w:val="32"/>
        </w:rPr>
        <w:t>9.社会保障和就业（类）行政事业单位养老支出(款）</w:t>
      </w:r>
      <w:r>
        <w:rPr>
          <w:rFonts w:hint="eastAsia" w:ascii="仿宋_GB2312" w:hAnsi="仿宋_GB2312" w:eastAsia="仿宋_GB2312"/>
          <w:sz w:val="32"/>
          <w:lang w:val="zh-CN"/>
        </w:rPr>
        <w:t>行政单位离退休（项）:反映行政单位（包括实行公务员管理的事业单位）开支的离退休经费。</w:t>
      </w:r>
    </w:p>
    <w:p>
      <w:pPr>
        <w:numPr>
          <w:ilvl w:val="0"/>
          <w:numId w:val="0"/>
        </w:numPr>
        <w:spacing w:line="600" w:lineRule="exact"/>
        <w:ind w:firstLine="640"/>
        <w:jc w:val="both"/>
        <w:rPr>
          <w:rFonts w:hint="eastAsia" w:ascii="仿宋_GB2312" w:hAnsi="仿宋_GB2312" w:eastAsia="仿宋_GB2312"/>
          <w:color w:val="000000"/>
          <w:sz w:val="32"/>
          <w:lang w:val="zh-CN"/>
        </w:rPr>
      </w:pPr>
      <w:r>
        <w:rPr>
          <w:rFonts w:hint="eastAsia" w:ascii="仿宋_GB2312" w:hAnsi="仿宋_GB2312" w:eastAsia="仿宋_GB2312"/>
          <w:color w:val="000000"/>
          <w:sz w:val="32"/>
          <w:lang w:val="en-US" w:eastAsia="zh-CN"/>
        </w:rPr>
        <w:t>10.社会保障和就业（类）行政事业单位养老支出(款）</w:t>
      </w:r>
      <w:r>
        <w:rPr>
          <w:rFonts w:hint="eastAsia" w:ascii="仿宋_GB2312" w:hAnsi="仿宋_GB2312" w:eastAsia="仿宋_GB2312"/>
          <w:color w:val="000000"/>
          <w:sz w:val="32"/>
          <w:lang w:val="zh-CN"/>
        </w:rPr>
        <w:t>事业单位离退休（项）:反映事业单位开支的离退休经费。</w:t>
      </w:r>
    </w:p>
    <w:p>
      <w:pPr>
        <w:pStyle w:val="194"/>
        <w:spacing w:line="560" w:lineRule="exact"/>
        <w:ind w:firstLine="640"/>
        <w:rPr>
          <w:rFonts w:hint="eastAsia" w:ascii="仿宋_GB2312" w:hAnsi="仿宋_GB2312" w:eastAsia="仿宋_GB2312"/>
          <w:sz w:val="32"/>
        </w:rPr>
      </w:pPr>
      <w:r>
        <w:rPr>
          <w:rFonts w:hint="eastAsia" w:ascii="仿宋_GB2312" w:hAnsi="仿宋_GB2312" w:eastAsia="仿宋_GB2312"/>
          <w:sz w:val="32"/>
        </w:rPr>
        <w:t>11.社会保障和就业（类）行政事业单位养老支出(款）</w:t>
      </w:r>
      <w:r>
        <w:rPr>
          <w:rFonts w:hint="eastAsia" w:ascii="仿宋_GB2312" w:hAnsi="仿宋_GB2312" w:eastAsia="仿宋_GB2312"/>
          <w:sz w:val="32"/>
          <w:lang w:val="zh-CN"/>
        </w:rPr>
        <w:t>机关事业单位基本养老保险缴费支出（项）</w:t>
      </w:r>
      <w:r>
        <w:rPr>
          <w:rFonts w:hint="eastAsia" w:ascii="仿宋_GB2312" w:hAnsi="仿宋_GB2312" w:eastAsia="仿宋_GB2312"/>
          <w:sz w:val="32"/>
        </w:rPr>
        <w:t>：反映机关事业单位实施养老保险制度由单位缴纳的基本养老保险费支出。</w:t>
      </w:r>
    </w:p>
    <w:p>
      <w:pPr>
        <w:pStyle w:val="194"/>
        <w:spacing w:line="560" w:lineRule="exact"/>
        <w:ind w:firstLine="640"/>
        <w:rPr>
          <w:rFonts w:hint="eastAsia" w:ascii="仿宋_GB2312" w:hAnsi="仿宋_GB2312" w:eastAsia="仿宋_GB2312"/>
          <w:sz w:val="32"/>
        </w:rPr>
      </w:pPr>
      <w:r>
        <w:rPr>
          <w:rFonts w:hint="eastAsia" w:ascii="仿宋_GB2312" w:hAnsi="仿宋_GB2312" w:eastAsia="仿宋_GB2312"/>
          <w:sz w:val="32"/>
        </w:rPr>
        <w:t>12.社会保障和就业（类）行政事业单位养老支出(款）</w:t>
      </w:r>
      <w:r>
        <w:rPr>
          <w:rFonts w:hint="eastAsia" w:ascii="仿宋_GB2312" w:hAnsi="仿宋_GB2312" w:eastAsia="仿宋_GB2312"/>
          <w:sz w:val="32"/>
          <w:lang w:val="zh-CN"/>
        </w:rPr>
        <w:t>机关事业单位职业年金缴费支出（项）：</w:t>
      </w:r>
      <w:r>
        <w:rPr>
          <w:rFonts w:hint="eastAsia" w:ascii="仿宋_GB2312" w:hAnsi="仿宋_GB2312" w:eastAsia="仿宋_GB2312"/>
          <w:sz w:val="32"/>
        </w:rPr>
        <w:t>反映机关事业单位实施养老保险制度由单位</w:t>
      </w:r>
      <w:r>
        <w:rPr>
          <w:rFonts w:hint="eastAsia" w:ascii="仿宋_GB2312" w:hAnsi="仿宋_GB2312" w:eastAsia="仿宋_GB2312"/>
          <w:sz w:val="32"/>
          <w:lang w:eastAsia="zh-CN"/>
        </w:rPr>
        <w:t>实际</w:t>
      </w:r>
      <w:r>
        <w:rPr>
          <w:rFonts w:hint="eastAsia" w:ascii="仿宋_GB2312" w:hAnsi="仿宋_GB2312" w:eastAsia="仿宋_GB2312"/>
          <w:sz w:val="32"/>
        </w:rPr>
        <w:t>缴纳的</w:t>
      </w:r>
      <w:r>
        <w:rPr>
          <w:rFonts w:hint="eastAsia" w:ascii="仿宋_GB2312" w:hAnsi="仿宋_GB2312" w:eastAsia="仿宋_GB2312"/>
          <w:sz w:val="32"/>
          <w:lang w:val="zh-CN"/>
        </w:rPr>
        <w:t>职业年金支出。</w:t>
      </w:r>
    </w:p>
    <w:p>
      <w:pPr>
        <w:tabs>
          <w:tab w:val="left" w:pos="2184"/>
        </w:tabs>
        <w:spacing w:line="590" w:lineRule="exact"/>
        <w:ind w:firstLine="640"/>
        <w:rPr>
          <w:rFonts w:hint="eastAsia" w:ascii="仿宋_GB2312" w:hAnsi="Times New Roman" w:eastAsia="仿宋_GB2312"/>
          <w:sz w:val="32"/>
          <w:lang w:eastAsia="zh-CN"/>
        </w:rPr>
      </w:pPr>
      <w:r>
        <w:rPr>
          <w:rStyle w:val="36"/>
          <w:rFonts w:hint="eastAsia" w:ascii="仿宋_GB2312" w:hAnsi="Times New Roman" w:eastAsia="仿宋_GB2312"/>
          <w:b w:val="0"/>
          <w:sz w:val="32"/>
          <w:lang w:val="en-US" w:eastAsia="zh-CN"/>
        </w:rPr>
        <w:t>13</w:t>
      </w:r>
      <w:r>
        <w:rPr>
          <w:rStyle w:val="36"/>
          <w:rFonts w:hint="eastAsia" w:ascii="仿宋_GB2312" w:hAnsi="Times New Roman" w:eastAsia="仿宋_GB2312"/>
          <w:b w:val="0"/>
          <w:sz w:val="32"/>
        </w:rPr>
        <w:t>.</w:t>
      </w:r>
      <w:r>
        <w:rPr>
          <w:rFonts w:hint="eastAsia" w:ascii="仿宋_GB2312" w:hAnsi="仿宋_GB2312" w:eastAsia="仿宋_GB2312"/>
          <w:color w:val="000000"/>
          <w:sz w:val="32"/>
          <w:lang w:val="en-US" w:eastAsia="zh-CN"/>
        </w:rPr>
        <w:t>卫生健康支出（类）行政事业单位医疗（款）</w:t>
      </w:r>
      <w:r>
        <w:rPr>
          <w:rFonts w:hint="eastAsia" w:ascii="仿宋_GB2312" w:hAnsi="仿宋_GB2312" w:eastAsia="仿宋_GB2312"/>
          <w:color w:val="000000"/>
          <w:sz w:val="32"/>
          <w:lang w:val="zh-CN"/>
        </w:rPr>
        <w:t>行政单位医疗（项）</w:t>
      </w:r>
      <w:r>
        <w:rPr>
          <w:rStyle w:val="36"/>
          <w:rFonts w:hint="eastAsia" w:ascii="仿宋_GB2312" w:hAnsi="Times New Roman" w:eastAsia="仿宋_GB2312"/>
          <w:b w:val="0"/>
          <w:sz w:val="32"/>
        </w:rPr>
        <w:t>：</w:t>
      </w:r>
      <w:r>
        <w:rPr>
          <w:rFonts w:hint="eastAsia" w:ascii="仿宋_GB2312" w:hAnsi="Times New Roman" w:eastAsia="仿宋_GB2312"/>
          <w:sz w:val="32"/>
        </w:rPr>
        <w:t>反映财政部门安排的行政单位</w:t>
      </w:r>
      <w:r>
        <w:rPr>
          <w:rFonts w:hint="eastAsia" w:ascii="仿宋_GB2312" w:hAnsi="仿宋_GB2312" w:eastAsia="仿宋_GB2312"/>
          <w:sz w:val="32"/>
          <w:lang w:val="zh-CN"/>
        </w:rPr>
        <w:t>（包括实行公务员管理的事业单位）</w:t>
      </w:r>
      <w:r>
        <w:rPr>
          <w:rFonts w:hint="eastAsia" w:ascii="仿宋_GB2312" w:hAnsi="Times New Roman" w:eastAsia="仿宋_GB2312"/>
          <w:sz w:val="32"/>
        </w:rPr>
        <w:t>基本医疗保险缴费经费</w:t>
      </w:r>
      <w:r>
        <w:rPr>
          <w:rFonts w:hint="eastAsia" w:ascii="仿宋_GB2312" w:hAnsi="Times New Roman" w:eastAsia="仿宋_GB2312"/>
          <w:sz w:val="32"/>
          <w:lang w:eastAsia="zh-CN"/>
        </w:rPr>
        <w:t>，未参加医疗保险的行政单位的公费医疗经费，按国家规定享受离休人员、红军老战士待遇人员的医疗经费。</w:t>
      </w:r>
    </w:p>
    <w:p>
      <w:pPr>
        <w:tabs>
          <w:tab w:val="left" w:pos="2184"/>
        </w:tabs>
        <w:spacing w:line="590" w:lineRule="exact"/>
        <w:ind w:firstLine="640"/>
        <w:rPr>
          <w:rFonts w:hint="eastAsia" w:ascii="仿宋_GB2312" w:hAnsi="Times New Roman" w:eastAsia="仿宋_GB2312"/>
          <w:sz w:val="32"/>
          <w:lang w:eastAsia="zh-CN"/>
        </w:rPr>
      </w:pPr>
      <w:r>
        <w:rPr>
          <w:rStyle w:val="36"/>
          <w:rFonts w:hint="eastAsia" w:ascii="仿宋_GB2312" w:hAnsi="Times New Roman" w:eastAsia="仿宋_GB2312"/>
          <w:b w:val="0"/>
          <w:sz w:val="32"/>
        </w:rPr>
        <w:t>1</w:t>
      </w:r>
      <w:r>
        <w:rPr>
          <w:rStyle w:val="36"/>
          <w:rFonts w:hint="eastAsia" w:ascii="仿宋_GB2312" w:hAnsi="Times New Roman" w:eastAsia="仿宋_GB2312"/>
          <w:b w:val="0"/>
          <w:sz w:val="32"/>
          <w:lang w:val="en-US" w:eastAsia="zh-CN"/>
        </w:rPr>
        <w:t>4</w:t>
      </w:r>
      <w:r>
        <w:rPr>
          <w:rStyle w:val="36"/>
          <w:rFonts w:hint="eastAsia" w:ascii="仿宋_GB2312" w:hAnsi="Times New Roman" w:eastAsia="仿宋_GB2312"/>
          <w:b w:val="0"/>
          <w:sz w:val="32"/>
        </w:rPr>
        <w:t>.</w:t>
      </w:r>
      <w:r>
        <w:rPr>
          <w:rFonts w:hint="eastAsia" w:ascii="仿宋_GB2312" w:hAnsi="仿宋_GB2312" w:eastAsia="仿宋_GB2312"/>
          <w:color w:val="000000"/>
          <w:sz w:val="32"/>
          <w:lang w:val="en-US" w:eastAsia="zh-CN"/>
        </w:rPr>
        <w:t>卫生健康支出（类）行政事业单位医疗（款）</w:t>
      </w:r>
      <w:r>
        <w:rPr>
          <w:rFonts w:hint="eastAsia" w:ascii="仿宋_GB2312" w:hAnsi="仿宋_GB2312" w:eastAsia="仿宋_GB2312"/>
          <w:color w:val="000000"/>
          <w:sz w:val="32"/>
          <w:lang w:val="zh-CN"/>
        </w:rPr>
        <w:t>事业单位医疗（项）</w:t>
      </w:r>
      <w:r>
        <w:rPr>
          <w:rStyle w:val="36"/>
          <w:rFonts w:hint="eastAsia" w:ascii="仿宋_GB2312" w:hAnsi="Times New Roman" w:eastAsia="仿宋_GB2312"/>
          <w:b w:val="0"/>
          <w:sz w:val="32"/>
        </w:rPr>
        <w:t>：</w:t>
      </w:r>
      <w:r>
        <w:rPr>
          <w:rFonts w:hint="eastAsia" w:ascii="仿宋_GB2312" w:hAnsi="Times New Roman" w:eastAsia="仿宋_GB2312"/>
          <w:sz w:val="32"/>
        </w:rPr>
        <w:t>反映财政部门安排的事业单位基本医疗保险缴费经费</w:t>
      </w:r>
      <w:r>
        <w:rPr>
          <w:rFonts w:hint="eastAsia" w:ascii="仿宋_GB2312" w:hAnsi="Times New Roman" w:eastAsia="仿宋_GB2312"/>
          <w:sz w:val="32"/>
          <w:lang w:eastAsia="zh-CN"/>
        </w:rPr>
        <w:t>，未参加医疗保险的事业单位的公费医疗经费，按国家规定享受离休人员待遇的医疗经费。</w:t>
      </w:r>
    </w:p>
    <w:p>
      <w:pPr>
        <w:tabs>
          <w:tab w:val="left" w:pos="2184"/>
        </w:tabs>
        <w:spacing w:line="590" w:lineRule="exact"/>
        <w:ind w:firstLine="640"/>
        <w:rPr>
          <w:rFonts w:hint="eastAsia" w:ascii="仿宋_GB2312" w:hAnsi="仿宋_GB2312" w:eastAsia="仿宋_GB2312"/>
          <w:color w:val="000000"/>
          <w:sz w:val="32"/>
          <w:lang w:val="en-US" w:eastAsia="zh-CN"/>
        </w:rPr>
      </w:pPr>
      <w:r>
        <w:rPr>
          <w:rStyle w:val="36"/>
          <w:rFonts w:hint="eastAsia" w:ascii="仿宋_GB2312" w:hAnsi="Times New Roman" w:eastAsia="仿宋_GB2312"/>
          <w:b w:val="0"/>
          <w:sz w:val="32"/>
          <w:lang w:val="en-US" w:eastAsia="zh-CN"/>
        </w:rPr>
        <w:t>15</w:t>
      </w:r>
      <w:r>
        <w:rPr>
          <w:rStyle w:val="36"/>
          <w:rFonts w:hint="eastAsia" w:ascii="仿宋_GB2312" w:hAnsi="Times New Roman" w:eastAsia="仿宋_GB2312"/>
          <w:b w:val="0"/>
          <w:sz w:val="32"/>
        </w:rPr>
        <w:t>.</w:t>
      </w:r>
      <w:r>
        <w:rPr>
          <w:rFonts w:hint="eastAsia" w:ascii="仿宋_GB2312" w:hAnsi="仿宋_GB2312" w:eastAsia="仿宋_GB2312"/>
          <w:color w:val="000000"/>
          <w:sz w:val="32"/>
          <w:lang w:val="en-US" w:eastAsia="zh-CN"/>
        </w:rPr>
        <w:t>卫生健康支出（类）行政事业单位医疗（款）</w:t>
      </w:r>
      <w:r>
        <w:rPr>
          <w:rFonts w:hint="eastAsia" w:ascii="仿宋_GB2312" w:hAnsi="仿宋_GB2312" w:eastAsia="仿宋_GB2312"/>
          <w:color w:val="000000"/>
          <w:sz w:val="32"/>
          <w:lang w:val="zh-CN" w:eastAsia="zh-CN"/>
        </w:rPr>
        <w:t>公务员医疗补助（项）</w:t>
      </w:r>
      <w:r>
        <w:rPr>
          <w:rFonts w:hint="eastAsia" w:ascii="仿宋_GB2312" w:hAnsi="仿宋_GB2312" w:eastAsia="仿宋_GB2312"/>
          <w:color w:val="000000"/>
          <w:sz w:val="32"/>
          <w:lang w:val="en-US" w:eastAsia="zh-CN"/>
        </w:rPr>
        <w:t>：反映财政部门安排的公务员医疗补助经费。</w:t>
      </w:r>
    </w:p>
    <w:p>
      <w:pPr>
        <w:tabs>
          <w:tab w:val="left" w:pos="2184"/>
        </w:tabs>
        <w:spacing w:line="590" w:lineRule="exact"/>
        <w:ind w:firstLine="640"/>
        <w:rPr>
          <w:rFonts w:hint="eastAsia" w:ascii="仿宋_GB2312" w:hAnsi="仿宋_GB2312" w:eastAsia="仿宋_GB2312"/>
          <w:color w:val="000000"/>
          <w:sz w:val="32"/>
          <w:lang w:val="zh-CN" w:eastAsia="zh-CN"/>
        </w:rPr>
      </w:pPr>
      <w:r>
        <w:rPr>
          <w:rFonts w:hint="eastAsia" w:ascii="仿宋_GB2312" w:hAnsi="仿宋_GB2312" w:eastAsia="仿宋_GB2312"/>
          <w:color w:val="000000"/>
          <w:sz w:val="32"/>
          <w:lang w:val="en-US" w:eastAsia="zh-CN"/>
        </w:rPr>
        <w:t>16.卫生健康支出（类）行政事业单位医疗（款）</w:t>
      </w:r>
      <w:r>
        <w:rPr>
          <w:rFonts w:hint="eastAsia" w:ascii="仿宋_GB2312" w:hAnsi="仿宋_GB2312" w:eastAsia="仿宋_GB2312"/>
          <w:color w:val="000000"/>
          <w:sz w:val="32"/>
          <w:lang w:val="zh-CN" w:eastAsia="zh-CN"/>
        </w:rPr>
        <w:t>其他行政事业单位医疗支出（项）：反映除上述项目以外的其他用于行政事业单位医疗方面的支出。</w:t>
      </w:r>
    </w:p>
    <w:p>
      <w:pPr>
        <w:pStyle w:val="2"/>
        <w:ind w:firstLine="640"/>
        <w:rPr>
          <w:rStyle w:val="36"/>
          <w:rFonts w:hint="eastAsia" w:ascii="仿宋_GB2312" w:hAnsi="Times New Roman" w:eastAsia="仿宋_GB2312"/>
          <w:b w:val="0"/>
          <w:sz w:val="32"/>
        </w:rPr>
      </w:pPr>
      <w:r>
        <w:rPr>
          <w:rFonts w:hint="eastAsia" w:ascii="仿宋_GB2312" w:hAnsi="Times New Roman" w:eastAsia="仿宋_GB2312"/>
          <w:sz w:val="32"/>
          <w:lang w:val="en-US" w:eastAsia="zh-CN"/>
        </w:rPr>
        <w:t>17.</w:t>
      </w:r>
      <w:r>
        <w:rPr>
          <w:rFonts w:hint="eastAsia" w:ascii="仿宋_GB2312" w:hAnsi="仿宋_GB2312" w:eastAsia="仿宋_GB2312"/>
          <w:color w:val="000000"/>
          <w:sz w:val="32"/>
          <w:lang w:val="en-US" w:eastAsia="zh-CN"/>
        </w:rPr>
        <w:t>农林水支出（类）</w:t>
      </w:r>
      <w:r>
        <w:rPr>
          <w:rFonts w:hint="eastAsia" w:ascii="仿宋_GB2312" w:hAnsi="仿宋_GB2312" w:eastAsia="仿宋_GB2312"/>
          <w:color w:val="000000"/>
          <w:sz w:val="32"/>
          <w:lang w:val="zh-CN"/>
        </w:rPr>
        <w:t>其他农林水支出（款）其他农林水支出（项）</w:t>
      </w:r>
      <w:r>
        <w:rPr>
          <w:rStyle w:val="36"/>
          <w:rFonts w:hint="eastAsia" w:ascii="仿宋_GB2312" w:hAnsi="Times New Roman" w:eastAsia="仿宋_GB2312"/>
          <w:b w:val="0"/>
          <w:sz w:val="32"/>
        </w:rPr>
        <w:t>：反映</w:t>
      </w:r>
      <w:r>
        <w:rPr>
          <w:rStyle w:val="36"/>
          <w:rFonts w:hint="eastAsia" w:ascii="仿宋_GB2312" w:hAnsi="Times New Roman" w:eastAsia="仿宋_GB2312"/>
          <w:b w:val="0"/>
          <w:sz w:val="32"/>
          <w:lang w:eastAsia="zh-CN"/>
        </w:rPr>
        <w:t>除上述项目以外</w:t>
      </w:r>
      <w:r>
        <w:rPr>
          <w:rStyle w:val="36"/>
          <w:rFonts w:hint="eastAsia" w:ascii="仿宋_GB2312" w:hAnsi="Times New Roman" w:eastAsia="仿宋_GB2312"/>
          <w:b w:val="0"/>
          <w:sz w:val="32"/>
        </w:rPr>
        <w:t>其他用于农林水方面的支出。</w:t>
      </w:r>
    </w:p>
    <w:p>
      <w:pPr>
        <w:pStyle w:val="2"/>
        <w:ind w:firstLine="640"/>
        <w:rPr>
          <w:rStyle w:val="36"/>
          <w:rFonts w:hint="eastAsia" w:ascii="仿宋_GB2312" w:hAnsi="Times New Roman" w:eastAsia="仿宋_GB2312"/>
          <w:b w:val="0"/>
          <w:sz w:val="32"/>
        </w:rPr>
      </w:pPr>
      <w:r>
        <w:rPr>
          <w:rStyle w:val="36"/>
          <w:rFonts w:hint="eastAsia" w:ascii="仿宋_GB2312" w:eastAsia="仿宋_GB2312"/>
          <w:b w:val="0"/>
          <w:sz w:val="32"/>
          <w:lang w:val="en-US" w:eastAsia="zh-CN"/>
        </w:rPr>
        <w:t>18</w:t>
      </w:r>
      <w:r>
        <w:rPr>
          <w:rFonts w:hint="eastAsia" w:ascii="仿宋_GB2312" w:hAnsi="Times New Roman" w:eastAsia="仿宋_GB2312"/>
          <w:sz w:val="32"/>
          <w:lang w:val="en-US" w:eastAsia="zh-CN"/>
        </w:rPr>
        <w:t>.</w:t>
      </w:r>
      <w:r>
        <w:rPr>
          <w:rFonts w:hint="eastAsia" w:ascii="仿宋_GB2312" w:hAnsi="仿宋_GB2312" w:eastAsia="仿宋_GB2312"/>
          <w:color w:val="000000"/>
          <w:sz w:val="32"/>
          <w:lang w:val="en-US" w:eastAsia="zh-CN"/>
        </w:rPr>
        <w:t>商业服务业等支出（类）</w:t>
      </w:r>
      <w:r>
        <w:rPr>
          <w:rFonts w:hint="eastAsia" w:ascii="仿宋_GB2312" w:hAnsi="仿宋_GB2312" w:eastAsia="仿宋_GB2312"/>
          <w:color w:val="000000"/>
          <w:sz w:val="32"/>
          <w:lang w:val="zh-CN"/>
        </w:rPr>
        <w:t>其他</w:t>
      </w:r>
      <w:r>
        <w:rPr>
          <w:rFonts w:hint="eastAsia" w:ascii="仿宋_GB2312" w:hAnsi="仿宋_GB2312" w:eastAsia="仿宋_GB2312"/>
          <w:color w:val="000000"/>
          <w:sz w:val="32"/>
          <w:lang w:val="en-US" w:eastAsia="zh-CN"/>
        </w:rPr>
        <w:t>商业服务业等</w:t>
      </w:r>
      <w:r>
        <w:rPr>
          <w:rFonts w:hint="eastAsia" w:ascii="仿宋_GB2312" w:hAnsi="仿宋_GB2312" w:eastAsia="仿宋_GB2312"/>
          <w:color w:val="000000"/>
          <w:sz w:val="32"/>
          <w:lang w:val="zh-CN"/>
        </w:rPr>
        <w:t>支出（款）其他</w:t>
      </w:r>
      <w:r>
        <w:rPr>
          <w:rFonts w:hint="eastAsia" w:ascii="仿宋_GB2312" w:hAnsi="仿宋_GB2312" w:eastAsia="仿宋_GB2312"/>
          <w:color w:val="000000"/>
          <w:sz w:val="32"/>
          <w:lang w:val="en-US" w:eastAsia="zh-CN"/>
        </w:rPr>
        <w:t>商业服务业等</w:t>
      </w:r>
      <w:r>
        <w:rPr>
          <w:rFonts w:hint="eastAsia" w:ascii="仿宋_GB2312" w:hAnsi="仿宋_GB2312" w:eastAsia="仿宋_GB2312"/>
          <w:color w:val="000000"/>
          <w:sz w:val="32"/>
          <w:lang w:val="zh-CN"/>
        </w:rPr>
        <w:t>支出（项）</w:t>
      </w:r>
      <w:r>
        <w:rPr>
          <w:rStyle w:val="36"/>
          <w:rFonts w:hint="eastAsia" w:ascii="仿宋_GB2312" w:hAnsi="Times New Roman" w:eastAsia="仿宋_GB2312"/>
          <w:b w:val="0"/>
          <w:sz w:val="32"/>
        </w:rPr>
        <w:t>：反映</w:t>
      </w:r>
      <w:r>
        <w:rPr>
          <w:rFonts w:hint="eastAsia" w:ascii="仿宋_GB2312" w:hAnsi="仿宋_GB2312" w:eastAsia="仿宋_GB2312"/>
          <w:color w:val="000000"/>
          <w:sz w:val="32"/>
          <w:lang w:val="zh-CN"/>
        </w:rPr>
        <w:t>其他</w:t>
      </w:r>
      <w:r>
        <w:rPr>
          <w:rFonts w:hint="eastAsia" w:ascii="仿宋_GB2312" w:hAnsi="仿宋_GB2312" w:eastAsia="仿宋_GB2312"/>
          <w:color w:val="000000"/>
          <w:sz w:val="32"/>
          <w:lang w:val="en-US" w:eastAsia="zh-CN"/>
        </w:rPr>
        <w:t>商业服务业等</w:t>
      </w:r>
      <w:r>
        <w:rPr>
          <w:rFonts w:hint="eastAsia" w:ascii="仿宋_GB2312" w:hAnsi="仿宋_GB2312" w:eastAsia="仿宋_GB2312"/>
          <w:color w:val="000000"/>
          <w:sz w:val="32"/>
          <w:lang w:val="zh-CN"/>
        </w:rPr>
        <w:t>支出中除上述项目以外的其他</w:t>
      </w:r>
      <w:r>
        <w:rPr>
          <w:rStyle w:val="36"/>
          <w:rFonts w:hint="eastAsia" w:ascii="仿宋_GB2312" w:hAnsi="Times New Roman" w:eastAsia="仿宋_GB2312"/>
          <w:b w:val="0"/>
          <w:sz w:val="32"/>
        </w:rPr>
        <w:t>支出。</w:t>
      </w:r>
    </w:p>
    <w:p>
      <w:pPr>
        <w:tabs>
          <w:tab w:val="left" w:pos="2184"/>
        </w:tabs>
        <w:spacing w:line="590" w:lineRule="exact"/>
        <w:ind w:firstLine="640"/>
        <w:rPr>
          <w:rFonts w:hint="eastAsia" w:ascii="仿宋_GB2312" w:hAnsi="Times New Roman" w:eastAsia="仿宋_GB2312"/>
          <w:sz w:val="32"/>
        </w:rPr>
      </w:pPr>
      <w:r>
        <w:rPr>
          <w:rFonts w:hint="eastAsia" w:ascii="仿宋_GB2312" w:hAnsi="Times New Roman" w:eastAsia="仿宋_GB2312"/>
          <w:sz w:val="32"/>
          <w:lang w:val="en-US" w:eastAsia="zh-CN"/>
        </w:rPr>
        <w:t>1</w:t>
      </w:r>
      <w:r>
        <w:rPr>
          <w:rFonts w:hint="eastAsia" w:ascii="仿宋_GB2312" w:eastAsia="仿宋_GB2312"/>
          <w:sz w:val="32"/>
          <w:lang w:val="en-US" w:eastAsia="zh-CN"/>
        </w:rPr>
        <w:t>9</w:t>
      </w:r>
      <w:r>
        <w:rPr>
          <w:rFonts w:hint="eastAsia" w:ascii="仿宋_GB2312" w:hAnsi="Times New Roman" w:eastAsia="仿宋_GB2312"/>
          <w:sz w:val="32"/>
        </w:rPr>
        <w:t>.</w:t>
      </w:r>
      <w:r>
        <w:rPr>
          <w:rFonts w:hint="eastAsia" w:ascii="仿宋_GB2312" w:hAnsi="仿宋_GB2312" w:eastAsia="仿宋_GB2312"/>
          <w:color w:val="000000"/>
          <w:sz w:val="32"/>
          <w:lang w:val="en-US" w:eastAsia="zh-CN"/>
        </w:rPr>
        <w:t>住房保障支出（类）住房改革支出（款）</w:t>
      </w:r>
      <w:r>
        <w:rPr>
          <w:rFonts w:hint="eastAsia" w:ascii="仿宋_GB2312" w:hAnsi="仿宋_GB2312" w:eastAsia="仿宋_GB2312"/>
          <w:color w:val="000000"/>
          <w:sz w:val="32"/>
          <w:lang w:val="zh-CN"/>
        </w:rPr>
        <w:t>住房公积金（项）</w:t>
      </w:r>
      <w:r>
        <w:rPr>
          <w:rFonts w:hint="eastAsia" w:ascii="仿宋_GB2312" w:hAnsi="Times New Roman" w:eastAsia="仿宋_GB2312"/>
          <w:sz w:val="32"/>
        </w:rPr>
        <w:t>:反映行政事业单位按人力资源和社会保障部、财政部规定的基本工资和津贴补贴以及规定比例为职工缴纳的住房公积金。</w:t>
      </w:r>
    </w:p>
    <w:p>
      <w:pPr>
        <w:spacing w:line="579" w:lineRule="exact"/>
        <w:ind w:firstLine="640"/>
        <w:rPr>
          <w:rFonts w:hint="eastAsia" w:ascii="仿宋_GB2312" w:hAnsi="Times New Roman" w:eastAsia="仿宋_GB2312"/>
          <w:sz w:val="32"/>
        </w:rPr>
      </w:pPr>
      <w:r>
        <w:rPr>
          <w:rFonts w:hint="eastAsia" w:ascii="仿宋_GB2312" w:eastAsia="仿宋_GB2312"/>
          <w:sz w:val="32"/>
          <w:lang w:val="en-US" w:eastAsia="zh-CN"/>
        </w:rPr>
        <w:t>20</w:t>
      </w:r>
      <w:r>
        <w:rPr>
          <w:rFonts w:hint="eastAsia" w:ascii="仿宋_GB2312" w:hAnsi="Times New Roman" w:eastAsia="仿宋_GB2312"/>
          <w:sz w:val="32"/>
        </w:rPr>
        <w:t>.</w:t>
      </w:r>
      <w:r>
        <w:rPr>
          <w:rFonts w:hint="eastAsia" w:ascii="仿宋_GB2312" w:hAnsi="宋体" w:eastAsia="仿宋_GB2312"/>
          <w:sz w:val="32"/>
        </w:rPr>
        <w:t>基本支出：指为保证机构正常运转，完成日常工作任务而发生的人员支出和公用支出。</w:t>
      </w:r>
    </w:p>
    <w:p>
      <w:pPr>
        <w:spacing w:line="579" w:lineRule="exact"/>
        <w:ind w:firstLine="640"/>
        <w:rPr>
          <w:rFonts w:hint="eastAsia" w:ascii="仿宋_GB2312" w:hAnsi="Times New Roman" w:eastAsia="仿宋_GB2312"/>
          <w:sz w:val="32"/>
        </w:rPr>
      </w:pPr>
      <w:r>
        <w:rPr>
          <w:rFonts w:hint="eastAsia" w:ascii="仿宋_GB2312" w:hAnsi="Times New Roman" w:eastAsia="仿宋_GB2312"/>
          <w:sz w:val="32"/>
          <w:lang w:val="en-US" w:eastAsia="zh-CN"/>
        </w:rPr>
        <w:t>2</w:t>
      </w:r>
      <w:r>
        <w:rPr>
          <w:rFonts w:hint="eastAsia" w:ascii="仿宋_GB2312" w:eastAsia="仿宋_GB2312"/>
          <w:sz w:val="32"/>
          <w:lang w:val="en-US" w:eastAsia="zh-CN"/>
        </w:rPr>
        <w:t>1</w:t>
      </w:r>
      <w:r>
        <w:rPr>
          <w:rFonts w:hint="eastAsia" w:ascii="仿宋_GB2312" w:hAnsi="Times New Roman" w:eastAsia="仿宋_GB2312"/>
          <w:sz w:val="32"/>
        </w:rPr>
        <w:t>.</w:t>
      </w:r>
      <w:r>
        <w:rPr>
          <w:rFonts w:hint="eastAsia" w:ascii="仿宋_GB2312" w:hAnsi="宋体" w:eastAsia="仿宋_GB2312"/>
          <w:sz w:val="32"/>
        </w:rPr>
        <w:t>项目支出：指在基本支出之外为完成特定行政任务和事业发展目标所发生的支出。</w:t>
      </w:r>
    </w:p>
    <w:p>
      <w:pPr>
        <w:spacing w:line="579" w:lineRule="exact"/>
        <w:ind w:firstLine="640"/>
        <w:rPr>
          <w:rFonts w:hint="eastAsia" w:ascii="仿宋_GB2312" w:hAnsi="Times New Roman" w:eastAsia="仿宋_GB2312"/>
          <w:sz w:val="32"/>
        </w:rPr>
      </w:pPr>
      <w:r>
        <w:rPr>
          <w:rFonts w:hint="eastAsia" w:ascii="仿宋_GB2312" w:hAnsi="Times New Roman" w:eastAsia="仿宋_GB2312"/>
          <w:sz w:val="32"/>
          <w:lang w:val="en-US" w:eastAsia="zh-CN"/>
        </w:rPr>
        <w:t>2</w:t>
      </w:r>
      <w:r>
        <w:rPr>
          <w:rFonts w:hint="eastAsia" w:ascii="仿宋_GB2312" w:eastAsia="仿宋_GB2312"/>
          <w:sz w:val="32"/>
          <w:lang w:val="en-US" w:eastAsia="zh-CN"/>
        </w:rPr>
        <w:t>2</w:t>
      </w:r>
      <w:r>
        <w:rPr>
          <w:rFonts w:hint="eastAsia" w:ascii="仿宋_GB2312" w:hAnsi="Times New Roman" w:eastAsia="仿宋_GB2312"/>
          <w:sz w:val="32"/>
        </w:rPr>
        <w:t>.“</w:t>
      </w:r>
      <w:r>
        <w:rPr>
          <w:rFonts w:hint="eastAsia" w:ascii="仿宋_GB2312" w:hAnsi="宋体" w:eastAsia="仿宋_GB2312"/>
          <w:sz w:val="32"/>
        </w:rPr>
        <w:t>三公</w:t>
      </w:r>
      <w:r>
        <w:rPr>
          <w:rFonts w:hint="eastAsia" w:ascii="仿宋_GB2312" w:hAnsi="Times New Roman" w:eastAsia="仿宋_GB2312"/>
          <w:sz w:val="32"/>
        </w:rPr>
        <w:t>”</w:t>
      </w:r>
      <w:r>
        <w:rPr>
          <w:rFonts w:hint="eastAsia" w:ascii="仿宋_GB2312" w:hAnsi="宋体" w:eastAsia="仿宋_GB2312"/>
          <w:sz w:val="32"/>
        </w:rPr>
        <w:t>经费：纳入预决算管理的</w:t>
      </w:r>
      <w:r>
        <w:rPr>
          <w:rFonts w:hint="eastAsia" w:ascii="仿宋_GB2312" w:hAnsi="Times New Roman" w:eastAsia="仿宋_GB2312"/>
          <w:sz w:val="32"/>
        </w:rPr>
        <w:t>“</w:t>
      </w:r>
      <w:r>
        <w:rPr>
          <w:rFonts w:hint="eastAsia" w:ascii="仿宋_GB2312" w:hAnsi="宋体" w:eastAsia="仿宋_GB2312"/>
          <w:sz w:val="32"/>
        </w:rPr>
        <w:t>三公</w:t>
      </w:r>
      <w:r>
        <w:rPr>
          <w:rFonts w:hint="eastAsia" w:ascii="仿宋_GB2312" w:hAnsi="Times New Roman" w:eastAsia="仿宋_GB2312"/>
          <w:sz w:val="32"/>
        </w:rPr>
        <w:t>”</w:t>
      </w:r>
      <w:r>
        <w:rPr>
          <w:rFonts w:hint="eastAsia" w:ascii="仿宋_GB2312" w:hAnsi="宋体" w:eastAsia="仿宋_GB2312"/>
          <w:sz w:val="32"/>
        </w:rPr>
        <w:t>经费，是指部门用财政拨款安排的因公出国（境）费、公务用车购置及运行费和公务接待费。其中，因公出国（境）费反映单位公务出国（境）的国际旅费、国外城市间交通费、住宿费、伙食费、培训费、公杂费等支出；</w:t>
      </w:r>
      <w:r>
        <w:rPr>
          <w:rFonts w:hint="eastAsia" w:ascii="仿宋_GB2312" w:hAnsi="宋体" w:eastAsia="仿宋_GB2312"/>
          <w:sz w:val="32"/>
          <w:lang w:eastAsia="zh-CN"/>
        </w:rPr>
        <w:t>公务用车购置指反映公务用车购置支出（含车辆购置税、牌照费）；</w:t>
      </w:r>
      <w:r>
        <w:rPr>
          <w:rFonts w:hint="eastAsia" w:ascii="仿宋_GB2312" w:hAnsi="宋体" w:eastAsia="仿宋_GB2312"/>
          <w:sz w:val="32"/>
        </w:rPr>
        <w:t>公务用车运行</w:t>
      </w:r>
      <w:r>
        <w:rPr>
          <w:rFonts w:hint="eastAsia" w:ascii="仿宋_GB2312" w:hAnsi="宋体" w:eastAsia="仿宋_GB2312"/>
          <w:sz w:val="32"/>
          <w:lang w:eastAsia="zh-CN"/>
        </w:rPr>
        <w:t>维护</w:t>
      </w:r>
      <w:r>
        <w:rPr>
          <w:rFonts w:hint="eastAsia" w:ascii="仿宋_GB2312" w:hAnsi="宋体" w:eastAsia="仿宋_GB2312"/>
          <w:sz w:val="32"/>
        </w:rPr>
        <w:t>费反映单位</w:t>
      </w:r>
      <w:r>
        <w:rPr>
          <w:rFonts w:hint="eastAsia" w:ascii="仿宋_GB2312" w:hAnsi="宋体" w:eastAsia="仿宋_GB2312"/>
          <w:sz w:val="32"/>
          <w:lang w:eastAsia="zh-CN"/>
        </w:rPr>
        <w:t>按规定保留的公务用车</w:t>
      </w:r>
      <w:r>
        <w:rPr>
          <w:rFonts w:hint="eastAsia" w:ascii="仿宋_GB2312" w:hAnsi="宋体" w:eastAsia="仿宋_GB2312"/>
          <w:sz w:val="32"/>
        </w:rPr>
        <w:t>燃料费、维修费、过路过桥费、保险费等；公务接待费反映单位按规定开支的各类公务接待（含外宾接待）支出。</w:t>
      </w:r>
    </w:p>
    <w:p>
      <w:pPr>
        <w:spacing w:line="579" w:lineRule="exact"/>
        <w:ind w:firstLine="640"/>
        <w:rPr>
          <w:rFonts w:hint="eastAsia" w:ascii="仿宋_GB2312" w:hAnsi="Times New Roman" w:eastAsia="仿宋_GB2312"/>
          <w:sz w:val="32"/>
        </w:rPr>
      </w:pPr>
      <w:r>
        <w:rPr>
          <w:rFonts w:hint="eastAsia" w:ascii="仿宋_GB2312" w:hAnsi="宋体" w:eastAsia="仿宋_GB2312"/>
          <w:sz w:val="32"/>
        </w:rPr>
        <w:t>公务接待费反映单位按规定开支的各类公务接待（含外宾接待）支出。</w:t>
      </w:r>
    </w:p>
    <w:p>
      <w:pPr>
        <w:spacing w:line="579" w:lineRule="exact"/>
        <w:ind w:firstLine="640"/>
        <w:rPr>
          <w:rFonts w:hint="eastAsia" w:ascii="仿宋_GB2312" w:hAnsi="Times New Roman" w:eastAsia="仿宋_GB2312"/>
          <w:sz w:val="32"/>
        </w:rPr>
      </w:pPr>
      <w:r>
        <w:rPr>
          <w:rFonts w:hint="eastAsia" w:ascii="仿宋_GB2312" w:hAnsi="Times New Roman" w:eastAsia="仿宋_GB2312"/>
          <w:sz w:val="32"/>
          <w:lang w:val="en-US" w:eastAsia="zh-CN"/>
        </w:rPr>
        <w:t>2</w:t>
      </w:r>
      <w:r>
        <w:rPr>
          <w:rFonts w:hint="eastAsia" w:ascii="仿宋_GB2312" w:eastAsia="仿宋_GB2312"/>
          <w:sz w:val="32"/>
          <w:lang w:val="en-US" w:eastAsia="zh-CN"/>
        </w:rPr>
        <w:t>3</w:t>
      </w:r>
      <w:r>
        <w:rPr>
          <w:rFonts w:hint="eastAsia" w:ascii="仿宋_GB2312" w:hAnsi="Times New Roman" w:eastAsia="仿宋_GB2312"/>
          <w:sz w:val="32"/>
        </w:rPr>
        <w:t>.</w:t>
      </w:r>
      <w:r>
        <w:rPr>
          <w:rFonts w:hint="eastAsia" w:ascii="仿宋_GB2312" w:eastAsia="仿宋_GB2312"/>
          <w:sz w:val="32"/>
          <w:szCs w:val="32"/>
        </w:rPr>
        <w:t>机关运行经费</w:t>
      </w:r>
      <w:r>
        <w:rPr>
          <w:rFonts w:hint="eastAsia" w:ascii="仿宋_GB2312" w:hAnsi="宋体" w:eastAsia="仿宋_GB2312"/>
          <w:sz w:val="32"/>
        </w:rPr>
        <w:t>：为保障行政单位（包含参照公务员法管理的事业单位）运行用于购买货物和服务的各项资金。包括办公及办公费、水费、电费、印刷费、邮电费、差旅费、会议费等费用开支。</w:t>
      </w:r>
    </w:p>
    <w:p>
      <w:pPr>
        <w:spacing w:line="600" w:lineRule="exact"/>
        <w:jc w:val="center"/>
        <w:outlineLvl w:val="0"/>
        <w:rPr>
          <w:rFonts w:hint="eastAsia" w:ascii="黑体" w:hAnsi="黑体" w:eastAsia="黑体"/>
          <w:sz w:val="44"/>
          <w:szCs w:val="44"/>
        </w:rPr>
      </w:pPr>
    </w:p>
    <w:p>
      <w:pPr>
        <w:ind w:firstLine="643"/>
        <w:rPr>
          <w:rFonts w:ascii="Times New Roman" w:hAnsi="Times New Roman" w:eastAsia="仿宋_GB2312"/>
          <w:sz w:val="32"/>
          <w:szCs w:val="32"/>
          <w:shd w:val="clear" w:color="auto" w:fill="FFFFFF"/>
        </w:rPr>
      </w:pPr>
      <w:r>
        <w:rPr>
          <w:rFonts w:ascii="仿宋" w:hAnsi="仿宋" w:eastAsia="仿宋"/>
          <w:b/>
          <w:sz w:val="32"/>
          <w:szCs w:val="32"/>
        </w:rPr>
        <w:br w:type="page" w:clear="all"/>
      </w:r>
    </w:p>
    <w:p>
      <w:pPr>
        <w:spacing w:line="600" w:lineRule="exact"/>
        <w:jc w:val="center"/>
        <w:outlineLvl w:val="0"/>
        <w:rPr>
          <w:rStyle w:val="196"/>
          <w:rFonts w:ascii="Times New Roman" w:hAnsi="Times New Roman" w:eastAsia="黑体"/>
          <w:b w:val="0"/>
        </w:rPr>
      </w:pPr>
      <w:bookmarkStart w:id="60" w:name="_Toc15396614"/>
      <w:bookmarkStart w:id="61" w:name="_Toc13443"/>
      <w:bookmarkStart w:id="62" w:name="_Toc15377226"/>
      <w:r>
        <w:rPr>
          <w:rFonts w:ascii="Times New Roman" w:hAnsi="Times New Roman" w:eastAsia="黑体"/>
          <w:sz w:val="44"/>
          <w:szCs w:val="44"/>
        </w:rPr>
        <w:t>第</w:t>
      </w:r>
      <w:r>
        <w:rPr>
          <w:rStyle w:val="196"/>
          <w:rFonts w:ascii="Times New Roman" w:hAnsi="Times New Roman" w:eastAsia="黑体"/>
          <w:b w:val="0"/>
        </w:rPr>
        <w:t>四部分 附件</w:t>
      </w:r>
      <w:bookmarkEnd w:id="60"/>
      <w:bookmarkEnd w:id="61"/>
    </w:p>
    <w:p>
      <w:pPr>
        <w:spacing w:line="572" w:lineRule="exact"/>
        <w:jc w:val="left"/>
        <w:rPr>
          <w:rFonts w:ascii="Times New Roman" w:hAnsi="Times New Roman" w:eastAsia="黑体"/>
          <w:color w:val="FF0000"/>
          <w:sz w:val="32"/>
          <w:szCs w:val="32"/>
        </w:rPr>
      </w:pPr>
    </w:p>
    <w:p>
      <w:pPr>
        <w:spacing w:line="572" w:lineRule="exact"/>
        <w:jc w:val="left"/>
        <w:rPr>
          <w:rFonts w:ascii="Times New Roman" w:hAnsi="Times New Roman" w:eastAsia="黑体"/>
          <w:sz w:val="44"/>
          <w:szCs w:val="44"/>
        </w:rPr>
      </w:pPr>
      <w:r>
        <w:rPr>
          <w:rFonts w:ascii="Times New Roman" w:hAnsi="Times New Roman" w:eastAsia="黑体"/>
          <w:sz w:val="32"/>
          <w:szCs w:val="32"/>
        </w:rPr>
        <w:t>附件1</w:t>
      </w:r>
    </w:p>
    <w:p>
      <w:pPr>
        <w:widowControl/>
        <w:spacing w:line="578" w:lineRule="exact"/>
        <w:contextualSpacing/>
        <w:jc w:val="center"/>
        <w:rPr>
          <w:rFonts w:ascii="Times New Roman" w:hAnsi="Times New Roman" w:eastAsia="方正小标宋简体"/>
          <w:bCs/>
          <w:sz w:val="44"/>
          <w:szCs w:val="44"/>
          <w:shd w:val="clear" w:color="auto" w:fill="FFFFFF"/>
        </w:rPr>
      </w:pPr>
      <w:r>
        <w:rPr>
          <w:rFonts w:hint="eastAsia" w:ascii="Times New Roman" w:hAnsi="Times New Roman" w:eastAsia="方正小标宋简体"/>
          <w:bCs/>
          <w:sz w:val="44"/>
          <w:szCs w:val="44"/>
          <w:shd w:val="clear" w:color="auto" w:fill="FFFFFF"/>
          <w:lang w:eastAsia="zh-CN"/>
        </w:rPr>
        <w:t>盐边县</w:t>
      </w:r>
      <w:r>
        <w:rPr>
          <w:rFonts w:ascii="Times New Roman" w:hAnsi="Times New Roman" w:eastAsia="方正小标宋简体"/>
          <w:bCs/>
          <w:sz w:val="44"/>
          <w:szCs w:val="44"/>
          <w:shd w:val="clear" w:color="auto" w:fill="FFFFFF"/>
        </w:rPr>
        <w:t>文化广播电视和旅游局</w:t>
      </w:r>
    </w:p>
    <w:p>
      <w:pPr>
        <w:widowControl/>
        <w:spacing w:line="578" w:lineRule="exact"/>
        <w:contextualSpacing/>
        <w:jc w:val="center"/>
        <w:rPr>
          <w:rFonts w:ascii="Times New Roman" w:hAnsi="Times New Roman" w:eastAsia="方正小标宋简体"/>
          <w:bCs/>
          <w:sz w:val="44"/>
          <w:szCs w:val="44"/>
          <w:shd w:val="clear" w:color="auto" w:fill="FFFFFF"/>
        </w:rPr>
      </w:pPr>
      <w:r>
        <w:rPr>
          <w:rFonts w:hint="eastAsia" w:ascii="Times New Roman" w:hAnsi="Times New Roman" w:eastAsia="方正小标宋简体"/>
          <w:bCs/>
          <w:sz w:val="44"/>
          <w:szCs w:val="44"/>
          <w:shd w:val="clear" w:color="auto" w:fill="FFFFFF"/>
          <w:lang w:val="en-US" w:eastAsia="zh-CN"/>
        </w:rPr>
        <w:t>2023年度</w:t>
      </w:r>
      <w:r>
        <w:rPr>
          <w:rFonts w:ascii="Times New Roman" w:hAnsi="Times New Roman" w:eastAsia="方正小标宋简体"/>
          <w:bCs/>
          <w:sz w:val="44"/>
          <w:szCs w:val="44"/>
          <w:shd w:val="clear" w:color="auto" w:fill="FFFFFF"/>
        </w:rPr>
        <w:t>部门预算绩效评价报告</w:t>
      </w:r>
    </w:p>
    <w:p>
      <w:pPr>
        <w:widowControl/>
        <w:spacing w:line="578" w:lineRule="exact"/>
        <w:contextualSpacing/>
        <w:jc w:val="center"/>
        <w:rPr>
          <w:rFonts w:ascii="Times New Roman" w:hAnsi="Times New Roman" w:eastAsia="仿宋_GB2312"/>
          <w:sz w:val="32"/>
          <w:szCs w:val="32"/>
          <w:shd w:val="clear" w:color="auto" w:fill="FFFFFF"/>
        </w:rPr>
      </w:pPr>
    </w:p>
    <w:p>
      <w:pPr>
        <w:widowControl/>
        <w:spacing w:line="578" w:lineRule="exact"/>
        <w:ind w:firstLine="640"/>
        <w:contextualSpacing/>
        <w:jc w:val="left"/>
        <w:rPr>
          <w:rFonts w:ascii="Times New Roman" w:hAnsi="Times New Roman" w:eastAsia="黑体"/>
          <w:color w:val="000000"/>
          <w:sz w:val="32"/>
          <w:szCs w:val="32"/>
          <w:shd w:val="clear" w:color="auto" w:fill="FFFFFF"/>
          <w:lang w:val="zh-CN"/>
        </w:rPr>
      </w:pPr>
      <w:r>
        <w:rPr>
          <w:rFonts w:ascii="Times New Roman" w:hAnsi="Times New Roman" w:eastAsia="黑体"/>
          <w:color w:val="000000"/>
          <w:sz w:val="32"/>
          <w:szCs w:val="32"/>
          <w:shd w:val="clear" w:color="auto" w:fill="FFFFFF"/>
          <w:lang w:val="zh-CN"/>
        </w:rPr>
        <w:t>一、部门（单位）基本情况</w:t>
      </w:r>
    </w:p>
    <w:p>
      <w:pPr>
        <w:ind w:firstLine="643"/>
        <w:rPr>
          <w:rFonts w:ascii="Times New Roman" w:hAnsi="Times New Roman" w:eastAsia="楷体_GB2312"/>
          <w:b/>
          <w:bCs/>
          <w:color w:val="000000"/>
          <w:sz w:val="32"/>
          <w:szCs w:val="32"/>
          <w:shd w:val="clear" w:color="auto" w:fill="FFFFFF"/>
          <w:lang w:val="zh-CN"/>
        </w:rPr>
      </w:pPr>
      <w:r>
        <w:rPr>
          <w:rFonts w:ascii="Times New Roman" w:hAnsi="Times New Roman" w:eastAsia="楷体_GB2312"/>
          <w:b/>
          <w:bCs/>
          <w:color w:val="000000"/>
          <w:sz w:val="32"/>
          <w:szCs w:val="32"/>
          <w:shd w:val="clear" w:color="auto" w:fill="FFFFFF"/>
          <w:lang w:val="zh-CN"/>
        </w:rPr>
        <w:t>（一）机构组成。</w:t>
      </w:r>
    </w:p>
    <w:p>
      <w:pPr>
        <w:widowControl/>
        <w:spacing w:line="590" w:lineRule="exact"/>
        <w:ind w:firstLine="640"/>
        <w:rPr>
          <w:rFonts w:ascii="Times New Roman" w:hAnsi="Times New Roman"/>
          <w:szCs w:val="32"/>
        </w:rPr>
      </w:pPr>
      <w:r>
        <w:rPr>
          <w:rFonts w:hint="eastAsia" w:ascii="仿宋_GB2312" w:eastAsia="仿宋_GB2312"/>
          <w:color w:val="000000"/>
          <w:sz w:val="32"/>
          <w:szCs w:val="32"/>
        </w:rPr>
        <w:t>盐边县文化广播电视和旅游局属于县政府工作部门，为正科级。下设县文化馆1个事业单位，文化馆为财政独立核算。与盐边县北部工作委员会(格萨拉温泉   柏林山生态经济区管理委员会)和盐边县文化和旅游公共服务中心合署办公。</w:t>
      </w:r>
    </w:p>
    <w:p>
      <w:pPr>
        <w:widowControl/>
        <w:spacing w:line="578" w:lineRule="exact"/>
        <w:ind w:firstLine="643"/>
        <w:contextualSpacing/>
        <w:jc w:val="left"/>
        <w:rPr>
          <w:rFonts w:ascii="Times New Roman" w:hAnsi="Times New Roman" w:eastAsia="楷体_GB2312"/>
          <w:b/>
          <w:bCs/>
          <w:color w:val="000000"/>
          <w:sz w:val="32"/>
          <w:szCs w:val="32"/>
          <w:shd w:val="clear" w:color="auto" w:fill="FFFFFF"/>
          <w:lang w:val="zh-CN"/>
        </w:rPr>
      </w:pPr>
      <w:r>
        <w:rPr>
          <w:rFonts w:ascii="Times New Roman" w:hAnsi="Times New Roman" w:eastAsia="楷体_GB2312"/>
          <w:b/>
          <w:bCs/>
          <w:color w:val="000000"/>
          <w:sz w:val="32"/>
          <w:szCs w:val="32"/>
          <w:shd w:val="clear" w:color="auto" w:fill="FFFFFF"/>
          <w:lang w:val="zh-CN"/>
        </w:rPr>
        <w:t>（二）机构职能。</w:t>
      </w:r>
    </w:p>
    <w:p>
      <w:pPr>
        <w:widowControl/>
        <w:spacing w:line="590" w:lineRule="exact"/>
        <w:ind w:firstLine="640"/>
        <w:rPr>
          <w:rFonts w:ascii="仿宋_GB2312" w:hAnsi="宋体" w:eastAsia="仿宋_GB2312"/>
          <w:color w:val="000000"/>
          <w:sz w:val="32"/>
          <w:szCs w:val="32"/>
        </w:rPr>
      </w:pPr>
      <w:r>
        <w:rPr>
          <w:rFonts w:hint="eastAsia" w:ascii="仿宋_GB2312" w:eastAsia="仿宋_GB2312"/>
          <w:color w:val="000000"/>
          <w:sz w:val="32"/>
          <w:szCs w:val="32"/>
        </w:rPr>
        <w:t>组织推动全县文化、广播电视和旅游业发展，拟定发展规划并组织实施，推进文化广播电视和旅游体制机制改革，推进文化广播电视和旅游融合发展；指导、管理全县文化、广播电视和旅游发展领域的公共服务体系建设；组织、指导、管理全县文化、广播电视和旅游基础设施重大工程设施建设，组织全县文化广播电视和旅游宣传推广，促进文化广播电视和旅游产业对外合作与市场推广，制定旅游市场开发战略并组织实施，推进全域旅游；</w:t>
      </w:r>
      <w:r>
        <w:rPr>
          <w:rFonts w:hint="eastAsia" w:ascii="仿宋_GB2312" w:hAnsi="宋体" w:eastAsia="仿宋_GB2312"/>
          <w:color w:val="000000"/>
          <w:sz w:val="32"/>
          <w:szCs w:val="32"/>
        </w:rPr>
        <w:t>指导、管理县级公共文化设施；</w:t>
      </w:r>
      <w:r>
        <w:rPr>
          <w:rFonts w:hint="eastAsia" w:ascii="仿宋_GB2312" w:eastAsia="仿宋_GB2312"/>
          <w:color w:val="000000"/>
          <w:sz w:val="32"/>
          <w:szCs w:val="32"/>
        </w:rPr>
        <w:t>组织、指导开展社会群众文化活动。依法管理社会文化和旅游市场。负责文化旅游市场领域综合行政执法工作，组织查处全县性、跨区域文化、文物、广播电视、旅游等市场的违法行为，开展扫黄打非集中行动，维护市场秩序。</w:t>
      </w:r>
      <w:r>
        <w:rPr>
          <w:rFonts w:hint="eastAsia" w:ascii="仿宋_GB2312" w:hAnsi="宋体" w:eastAsia="仿宋_GB2312"/>
          <w:color w:val="000000"/>
          <w:sz w:val="32"/>
          <w:szCs w:val="32"/>
        </w:rPr>
        <w:t>负责全县广播电视与新媒体新技术新业态融合发展，推进“三网融合”。负责广播电视节目传输覆盖、监测和安全播出的监督管理，指导、推进应急广播电视体系。</w:t>
      </w:r>
    </w:p>
    <w:p>
      <w:pPr>
        <w:widowControl/>
        <w:spacing w:line="580" w:lineRule="exact"/>
        <w:ind w:firstLine="643"/>
        <w:jc w:val="left"/>
        <w:rPr>
          <w:rFonts w:ascii="仿宋_GB2312" w:hAnsi="宋体" w:eastAsia="仿宋_GB2312" w:cs="??_GB2312"/>
          <w:b/>
          <w:color w:val="000000"/>
          <w:sz w:val="32"/>
          <w:szCs w:val="32"/>
          <w:shd w:val="clear" w:color="auto" w:fill="FFFFFF"/>
          <w:lang w:val="zh-CN"/>
        </w:rPr>
      </w:pPr>
      <w:r>
        <w:rPr>
          <w:rFonts w:hint="eastAsia" w:ascii="仿宋_GB2312" w:hAnsi="宋体" w:eastAsia="仿宋_GB2312" w:cs="??_GB2312"/>
          <w:b/>
          <w:color w:val="000000"/>
          <w:sz w:val="32"/>
          <w:szCs w:val="32"/>
          <w:shd w:val="clear" w:color="auto" w:fill="FFFFFF"/>
          <w:lang w:val="zh-CN"/>
        </w:rPr>
        <w:t>（三）人员概况。</w:t>
      </w:r>
      <w:r>
        <w:rPr>
          <w:rFonts w:ascii="仿宋_GB2312" w:hAnsi="宋体" w:eastAsia="仿宋_GB2312" w:cs="??_GB2312"/>
          <w:b/>
          <w:color w:val="000000"/>
          <w:sz w:val="32"/>
          <w:szCs w:val="32"/>
          <w:shd w:val="clear" w:color="auto" w:fill="FFFFFF"/>
          <w:lang w:val="zh-CN"/>
        </w:rPr>
        <w:t xml:space="preserve"> </w:t>
      </w:r>
    </w:p>
    <w:p>
      <w:pPr>
        <w:spacing w:line="590" w:lineRule="exact"/>
        <w:ind w:firstLine="720"/>
        <w:rPr>
          <w:rFonts w:ascii="宋体"/>
          <w:sz w:val="32"/>
          <w:szCs w:val="32"/>
        </w:rPr>
      </w:pPr>
      <w:r>
        <w:rPr>
          <w:rFonts w:hint="eastAsia" w:ascii="仿宋_GB2312" w:hAnsi="宋体" w:eastAsia="仿宋_GB2312"/>
          <w:color w:val="000000"/>
          <w:sz w:val="32"/>
          <w:szCs w:val="32"/>
        </w:rPr>
        <w:t>我局目前在岗2</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人，退休1</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人。202</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年年末我局有在职职工</w:t>
      </w:r>
      <w:r>
        <w:rPr>
          <w:rFonts w:hint="eastAsia" w:ascii="仿宋_GB2312" w:hAnsi="宋体" w:eastAsia="仿宋_GB2312"/>
          <w:color w:val="000000"/>
          <w:sz w:val="32"/>
          <w:szCs w:val="32"/>
          <w:lang w:val="en-US" w:eastAsia="zh-CN"/>
        </w:rPr>
        <w:t>22</w:t>
      </w:r>
      <w:r>
        <w:rPr>
          <w:rFonts w:hint="eastAsia" w:ascii="仿宋_GB2312" w:hAnsi="宋体" w:eastAsia="仿宋_GB2312"/>
          <w:color w:val="000000"/>
          <w:sz w:val="32"/>
          <w:szCs w:val="32"/>
        </w:rPr>
        <w:t>人，202</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年因退休1人，在职人员减少</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人。</w:t>
      </w:r>
    </w:p>
    <w:p>
      <w:pPr>
        <w:widowControl/>
        <w:spacing w:line="578" w:lineRule="exact"/>
        <w:ind w:firstLine="640"/>
        <w:contextualSpacing/>
        <w:jc w:val="left"/>
        <w:rPr>
          <w:rFonts w:ascii="Times New Roman" w:hAnsi="Times New Roman" w:eastAsia="黑体"/>
          <w:color w:val="000000"/>
          <w:sz w:val="32"/>
          <w:szCs w:val="32"/>
          <w:shd w:val="clear" w:color="auto" w:fill="FFFFFF"/>
          <w:lang w:val="zh-CN"/>
        </w:rPr>
      </w:pPr>
      <w:r>
        <w:rPr>
          <w:rFonts w:ascii="Times New Roman" w:hAnsi="Times New Roman" w:eastAsia="黑体"/>
          <w:color w:val="000000"/>
          <w:sz w:val="32"/>
          <w:szCs w:val="32"/>
          <w:shd w:val="clear" w:color="auto" w:fill="FFFFFF"/>
          <w:lang w:val="zh-CN"/>
        </w:rPr>
        <w:t>二、部门资金收支情况</w:t>
      </w:r>
    </w:p>
    <w:p>
      <w:pPr>
        <w:widowControl/>
        <w:spacing w:line="578" w:lineRule="exact"/>
        <w:ind w:firstLine="643"/>
        <w:contextualSpacing/>
        <w:jc w:val="left"/>
        <w:rPr>
          <w:rFonts w:ascii="Times New Roman" w:hAnsi="Times New Roman" w:eastAsia="楷体_GB2312"/>
          <w:b/>
          <w:bCs/>
          <w:color w:val="000000"/>
          <w:sz w:val="32"/>
          <w:szCs w:val="32"/>
          <w:shd w:val="clear" w:color="auto" w:fill="FFFFFF"/>
          <w:lang w:val="zh-CN"/>
        </w:rPr>
      </w:pPr>
      <w:r>
        <w:rPr>
          <w:rFonts w:ascii="Times New Roman" w:hAnsi="Times New Roman" w:eastAsia="楷体_GB2312"/>
          <w:b/>
          <w:bCs/>
          <w:color w:val="000000"/>
          <w:sz w:val="32"/>
          <w:szCs w:val="32"/>
          <w:shd w:val="clear" w:color="auto" w:fill="FFFFFF"/>
          <w:lang w:val="zh-CN"/>
        </w:rPr>
        <w:t>（一）收入情况。</w:t>
      </w:r>
    </w:p>
    <w:p>
      <w:pPr>
        <w:spacing w:line="360" w:lineRule="auto"/>
        <w:ind w:firstLine="640"/>
        <w:rPr>
          <w:rFonts w:hint="eastAsia"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我局</w:t>
      </w:r>
      <w:r>
        <w:rPr>
          <w:rFonts w:hint="eastAsia" w:ascii="仿宋_GB2312" w:eastAsia="仿宋_GB2312"/>
          <w:sz w:val="32"/>
          <w:szCs w:val="32"/>
        </w:rPr>
        <w:t>财政预算拨款收入总决算为</w:t>
      </w:r>
      <w:r>
        <w:rPr>
          <w:rFonts w:hint="eastAsia" w:ascii="仿宋_GB2312" w:eastAsia="仿宋_GB2312"/>
          <w:sz w:val="32"/>
          <w:szCs w:val="32"/>
          <w:lang w:val="en-US" w:eastAsia="zh-CN"/>
        </w:rPr>
        <w:t>2226.18万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其中本年收入</w:t>
      </w:r>
      <w:r>
        <w:rPr>
          <w:rFonts w:hint="eastAsia" w:ascii="仿宋_GB2312" w:eastAsia="仿宋_GB2312"/>
          <w:sz w:val="32"/>
          <w:szCs w:val="32"/>
          <w:lang w:val="en-US" w:eastAsia="zh-CN"/>
        </w:rPr>
        <w:t>2226.18万</w:t>
      </w:r>
      <w:r>
        <w:rPr>
          <w:rFonts w:hint="eastAsia" w:ascii="仿宋_GB2312" w:eastAsia="仿宋_GB2312"/>
          <w:sz w:val="32"/>
          <w:szCs w:val="32"/>
        </w:rPr>
        <w:t>元。</w:t>
      </w:r>
    </w:p>
    <w:p>
      <w:pPr>
        <w:pStyle w:val="19"/>
        <w:spacing w:line="600" w:lineRule="exact"/>
        <w:ind w:firstLine="640"/>
        <w:jc w:val="left"/>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宋体" w:eastAsia="仿宋_GB2312" w:cs="宋体"/>
          <w:sz w:val="32"/>
          <w:szCs w:val="32"/>
        </w:rPr>
        <w:t>基本支出收入情况</w:t>
      </w:r>
    </w:p>
    <w:p>
      <w:pPr>
        <w:spacing w:line="360" w:lineRule="auto"/>
        <w:ind w:firstLine="640"/>
        <w:rPr>
          <w:rFonts w:hint="eastAsia"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年我单位年初基本预算资金安排</w:t>
      </w:r>
      <w:r>
        <w:rPr>
          <w:rFonts w:hint="eastAsia" w:ascii="仿宋_GB2312" w:eastAsia="仿宋_GB2312"/>
          <w:sz w:val="32"/>
          <w:szCs w:val="32"/>
          <w:lang w:val="en-US" w:eastAsia="zh-CN"/>
        </w:rPr>
        <w:t>423.78万</w:t>
      </w:r>
      <w:r>
        <w:rPr>
          <w:rFonts w:hint="eastAsia" w:ascii="仿宋_GB2312" w:eastAsia="仿宋_GB2312"/>
          <w:sz w:val="32"/>
          <w:szCs w:val="32"/>
        </w:rPr>
        <w:t>元，中途增加预算</w:t>
      </w:r>
      <w:r>
        <w:rPr>
          <w:rFonts w:hint="eastAsia" w:ascii="仿宋_GB2312" w:eastAsia="仿宋_GB2312"/>
          <w:sz w:val="32"/>
          <w:szCs w:val="32"/>
          <w:lang w:val="en-US" w:eastAsia="zh-CN"/>
        </w:rPr>
        <w:t>274.85万</w:t>
      </w:r>
      <w:r>
        <w:rPr>
          <w:rFonts w:hint="eastAsia" w:ascii="仿宋_GB2312" w:eastAsia="仿宋_GB2312"/>
          <w:sz w:val="32"/>
          <w:szCs w:val="32"/>
        </w:rPr>
        <w:t>元，决算收</w:t>
      </w:r>
      <w:r>
        <w:rPr>
          <w:rFonts w:hint="eastAsia" w:ascii="仿宋_GB2312" w:eastAsia="仿宋_GB2312"/>
          <w:sz w:val="32"/>
          <w:szCs w:val="32"/>
          <w:lang w:val="en-US" w:eastAsia="zh-CN"/>
        </w:rPr>
        <w:t>698.64万</w:t>
      </w:r>
      <w:r>
        <w:rPr>
          <w:rFonts w:hint="eastAsia" w:ascii="仿宋_GB2312" w:eastAsia="仿宋_GB2312"/>
          <w:sz w:val="32"/>
          <w:szCs w:val="32"/>
        </w:rPr>
        <w:t>元</w:t>
      </w:r>
      <w:r>
        <w:rPr>
          <w:rFonts w:hint="eastAsia" w:ascii="仿宋_GB2312" w:eastAsia="仿宋_GB2312"/>
          <w:sz w:val="32"/>
          <w:szCs w:val="32"/>
          <w:lang w:val="en-US" w:eastAsia="zh-CN"/>
        </w:rPr>
        <w:t>,</w:t>
      </w:r>
      <w:r>
        <w:rPr>
          <w:rFonts w:hint="eastAsia" w:ascii="仿宋_GB2312" w:eastAsia="仿宋_GB2312"/>
          <w:sz w:val="32"/>
          <w:szCs w:val="32"/>
        </w:rPr>
        <w:t>其中人员经费</w:t>
      </w:r>
      <w:r>
        <w:rPr>
          <w:rFonts w:hint="eastAsia" w:ascii="仿宋_GB2312" w:eastAsia="仿宋_GB2312"/>
          <w:sz w:val="32"/>
          <w:szCs w:val="32"/>
          <w:lang w:val="en-US" w:eastAsia="zh-CN"/>
        </w:rPr>
        <w:t>466.92万</w:t>
      </w:r>
      <w:r>
        <w:rPr>
          <w:rFonts w:hint="eastAsia" w:ascii="仿宋_GB2312" w:eastAsia="仿宋_GB2312"/>
          <w:sz w:val="32"/>
          <w:szCs w:val="32"/>
        </w:rPr>
        <w:t>元，日常公用经费</w:t>
      </w:r>
      <w:r>
        <w:rPr>
          <w:rFonts w:hint="eastAsia" w:ascii="仿宋_GB2312" w:eastAsia="仿宋_GB2312"/>
          <w:sz w:val="32"/>
          <w:szCs w:val="32"/>
          <w:lang w:val="en-US" w:eastAsia="zh-CN"/>
        </w:rPr>
        <w:t>231.72万</w:t>
      </w:r>
      <w:r>
        <w:rPr>
          <w:rFonts w:hint="eastAsia" w:ascii="仿宋_GB2312" w:eastAsia="仿宋_GB2312"/>
          <w:sz w:val="32"/>
          <w:szCs w:val="32"/>
        </w:rPr>
        <w:t>元。增加原因为</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eastAsia="zh-CN"/>
        </w:rPr>
        <w:t>民生工程项目费用增加在行政运行科目中</w:t>
      </w:r>
      <w:r>
        <w:rPr>
          <w:rFonts w:hint="eastAsia" w:ascii="仿宋_GB2312" w:eastAsia="仿宋_GB2312"/>
          <w:sz w:val="32"/>
          <w:szCs w:val="32"/>
        </w:rPr>
        <w:t>。</w:t>
      </w:r>
    </w:p>
    <w:p>
      <w:pPr>
        <w:pStyle w:val="2"/>
        <w:rPr>
          <w:rFonts w:ascii="仿宋_GB2312" w:hAnsi="Times New Roman" w:eastAsia="仿宋_GB2312"/>
          <w:sz w:val="32"/>
          <w:szCs w:val="32"/>
        </w:rPr>
      </w:pPr>
      <w:r>
        <w:rPr>
          <w:rFonts w:hint="eastAsia" w:ascii="仿宋_GB2312" w:eastAsia="仿宋_GB2312"/>
          <w:sz w:val="32"/>
          <w:szCs w:val="32"/>
          <w:lang w:val="en-US" w:eastAsia="zh-CN"/>
        </w:rPr>
        <w:t xml:space="preserve">    </w:t>
      </w:r>
      <w:r>
        <w:rPr>
          <w:rFonts w:ascii="仿宋_GB2312" w:hAnsi="Times New Roman" w:eastAsia="仿宋_GB2312"/>
          <w:sz w:val="32"/>
          <w:szCs w:val="32"/>
        </w:rPr>
        <w:t>2.</w:t>
      </w:r>
      <w:r>
        <w:rPr>
          <w:rFonts w:hint="eastAsia" w:ascii="仿宋_GB2312" w:hAnsi="宋体" w:eastAsia="仿宋_GB2312" w:cs="宋体"/>
          <w:sz w:val="32"/>
          <w:szCs w:val="32"/>
        </w:rPr>
        <w:t>部门预算项目安排情况</w:t>
      </w:r>
    </w:p>
    <w:p>
      <w:pPr>
        <w:spacing w:line="360" w:lineRule="auto"/>
        <w:ind w:firstLine="640"/>
        <w:rPr>
          <w:rFonts w:hint="eastAsia" w:ascii="仿宋_GB2312" w:eastAsia="仿宋_GB2312"/>
          <w:sz w:val="32"/>
          <w:szCs w:val="32"/>
          <w:lang w:eastAsia="zh-CN"/>
        </w:rPr>
      </w:pPr>
      <w:r>
        <w:rPr>
          <w:rFonts w:hint="eastAsia" w:ascii="仿宋_GB2312" w:eastAsia="仿宋_GB2312"/>
          <w:sz w:val="32"/>
          <w:szCs w:val="32"/>
          <w:lang w:val="en-US" w:eastAsia="zh-CN"/>
        </w:rPr>
        <w:t>2023年</w:t>
      </w:r>
      <w:r>
        <w:rPr>
          <w:rFonts w:hint="eastAsia" w:ascii="仿宋_GB2312" w:eastAsia="仿宋_GB2312"/>
          <w:sz w:val="32"/>
          <w:szCs w:val="32"/>
        </w:rPr>
        <w:t>项目预算资金安排</w:t>
      </w:r>
      <w:r>
        <w:rPr>
          <w:rFonts w:hint="eastAsia" w:ascii="仿宋_GB2312" w:eastAsia="仿宋_GB2312"/>
          <w:sz w:val="32"/>
          <w:szCs w:val="32"/>
          <w:lang w:val="en-US" w:eastAsia="zh-CN"/>
        </w:rPr>
        <w:t>1712.01万</w:t>
      </w:r>
      <w:r>
        <w:rPr>
          <w:rFonts w:hint="eastAsia" w:ascii="仿宋_GB2312" w:eastAsia="仿宋_GB2312"/>
          <w:sz w:val="32"/>
          <w:szCs w:val="32"/>
        </w:rPr>
        <w:t>元，年中</w:t>
      </w:r>
      <w:r>
        <w:rPr>
          <w:rFonts w:hint="eastAsia" w:ascii="仿宋_GB2312" w:eastAsia="仿宋_GB2312"/>
          <w:sz w:val="32"/>
          <w:szCs w:val="32"/>
          <w:lang w:eastAsia="zh-CN"/>
        </w:rPr>
        <w:t>减少</w:t>
      </w:r>
      <w:r>
        <w:rPr>
          <w:rFonts w:hint="eastAsia" w:ascii="仿宋_GB2312" w:eastAsia="仿宋_GB2312"/>
          <w:sz w:val="32"/>
          <w:szCs w:val="32"/>
        </w:rPr>
        <w:t>项目经费</w:t>
      </w:r>
      <w:r>
        <w:rPr>
          <w:rFonts w:hint="eastAsia" w:ascii="仿宋_GB2312" w:eastAsia="仿宋_GB2312"/>
          <w:sz w:val="32"/>
          <w:szCs w:val="32"/>
          <w:lang w:val="en-US" w:eastAsia="zh-CN"/>
        </w:rPr>
        <w:t>184.4万</w:t>
      </w:r>
      <w:r>
        <w:rPr>
          <w:rFonts w:hint="eastAsia" w:ascii="仿宋_GB2312" w:eastAsia="仿宋_GB2312"/>
          <w:sz w:val="32"/>
          <w:szCs w:val="32"/>
        </w:rPr>
        <w:t>元，项目收入</w:t>
      </w:r>
      <w:r>
        <w:rPr>
          <w:rFonts w:hint="eastAsia" w:ascii="仿宋_GB2312" w:eastAsia="仿宋_GB2312"/>
          <w:sz w:val="32"/>
          <w:szCs w:val="32"/>
          <w:lang w:val="en-US" w:eastAsia="zh-CN"/>
        </w:rPr>
        <w:t>1527.54万元</w:t>
      </w:r>
      <w:r>
        <w:rPr>
          <w:rFonts w:hint="eastAsia" w:ascii="仿宋_GB2312" w:eastAsia="仿宋_GB2312"/>
          <w:sz w:val="32"/>
          <w:szCs w:val="32"/>
        </w:rPr>
        <w:t>。</w:t>
      </w:r>
      <w:r>
        <w:rPr>
          <w:rFonts w:hint="eastAsia" w:ascii="仿宋_GB2312" w:eastAsia="仿宋_GB2312"/>
          <w:sz w:val="32"/>
          <w:szCs w:val="32"/>
          <w:lang w:eastAsia="zh-CN"/>
        </w:rPr>
        <w:t>减少原因是</w:t>
      </w:r>
      <w:r>
        <w:rPr>
          <w:rFonts w:hint="default" w:ascii="仿宋_GB2312" w:eastAsia="仿宋_GB2312"/>
          <w:sz w:val="32"/>
          <w:szCs w:val="32"/>
          <w:lang w:val="en-US" w:eastAsia="zh-CN"/>
        </w:rPr>
        <w:t>202</w:t>
      </w:r>
      <w:r>
        <w:rPr>
          <w:rFonts w:hint="eastAsia" w:ascii="仿宋_GB2312" w:eastAsia="仿宋_GB2312"/>
          <w:sz w:val="32"/>
          <w:szCs w:val="32"/>
          <w:lang w:val="en-US" w:eastAsia="zh-CN"/>
        </w:rPr>
        <w:t>2</w:t>
      </w:r>
      <w:r>
        <w:rPr>
          <w:rFonts w:hint="default" w:ascii="仿宋_GB2312" w:eastAsia="仿宋_GB2312"/>
          <w:sz w:val="32"/>
          <w:szCs w:val="32"/>
          <w:lang w:val="en-US" w:eastAsia="zh-CN"/>
        </w:rPr>
        <w:t>年中央和省公共文化服务体系建设专项资金</w:t>
      </w:r>
      <w:r>
        <w:rPr>
          <w:rFonts w:hint="eastAsia" w:ascii="仿宋_GB2312" w:eastAsia="仿宋_GB2312"/>
          <w:sz w:val="32"/>
          <w:szCs w:val="32"/>
          <w:lang w:val="en-US" w:eastAsia="zh-CN"/>
        </w:rPr>
        <w:t>（大笮文旅融合园区提升项目）部分项目由红格镇政府实施，故年中将部分项目经费追减给红格。</w:t>
      </w:r>
    </w:p>
    <w:p>
      <w:pPr>
        <w:widowControl/>
        <w:spacing w:line="578" w:lineRule="exact"/>
        <w:ind w:firstLine="643"/>
        <w:contextualSpacing/>
        <w:jc w:val="left"/>
        <w:rPr>
          <w:rFonts w:ascii="Times New Roman" w:hAnsi="Times New Roman" w:eastAsia="楷体_GB2312"/>
          <w:b/>
          <w:bCs/>
          <w:color w:val="000000"/>
          <w:sz w:val="32"/>
          <w:szCs w:val="32"/>
          <w:shd w:val="clear" w:color="auto" w:fill="FFFFFF"/>
          <w:lang w:val="zh-CN"/>
        </w:rPr>
      </w:pPr>
      <w:r>
        <w:rPr>
          <w:rFonts w:ascii="Times New Roman" w:hAnsi="Times New Roman" w:eastAsia="楷体_GB2312"/>
          <w:b/>
          <w:bCs/>
          <w:color w:val="000000"/>
          <w:sz w:val="32"/>
          <w:szCs w:val="32"/>
          <w:shd w:val="clear" w:color="auto" w:fill="FFFFFF"/>
          <w:lang w:val="zh-CN"/>
        </w:rPr>
        <w:t>（二）支出情况。</w:t>
      </w:r>
    </w:p>
    <w:p>
      <w:pPr>
        <w:widowControl/>
        <w:spacing w:line="578" w:lineRule="exact"/>
        <w:ind w:firstLine="640"/>
        <w:contextualSpacing/>
        <w:jc w:val="left"/>
        <w:rPr>
          <w:rFonts w:ascii="Times New Roman" w:hAnsi="Times New Roman" w:eastAsia="仿宋_GB2312"/>
          <w:sz w:val="32"/>
          <w:szCs w:val="32"/>
        </w:rPr>
      </w:pPr>
      <w:r>
        <w:rPr>
          <w:rFonts w:ascii="Times New Roman" w:hAnsi="Times New Roman" w:eastAsia="仿宋_GB2312"/>
          <w:sz w:val="32"/>
          <w:szCs w:val="32"/>
        </w:rPr>
        <w:t>2023年，</w:t>
      </w:r>
      <w:r>
        <w:rPr>
          <w:rFonts w:hint="eastAsia" w:ascii="Times New Roman" w:hAnsi="Times New Roman" w:eastAsia="仿宋_GB2312"/>
          <w:sz w:val="32"/>
          <w:szCs w:val="32"/>
          <w:lang w:eastAsia="zh-CN"/>
        </w:rPr>
        <w:t>县</w:t>
      </w:r>
      <w:r>
        <w:rPr>
          <w:rFonts w:ascii="Times New Roman" w:hAnsi="Times New Roman" w:eastAsia="仿宋_GB2312"/>
          <w:sz w:val="32"/>
          <w:szCs w:val="32"/>
        </w:rPr>
        <w:t>文广旅局部门年初预算支出</w:t>
      </w:r>
      <w:r>
        <w:rPr>
          <w:rFonts w:hint="eastAsia" w:ascii="Times New Roman" w:hAnsi="Times New Roman" w:eastAsia="仿宋_GB2312"/>
          <w:sz w:val="32"/>
          <w:szCs w:val="32"/>
          <w:lang w:val="en-US" w:eastAsia="zh-CN"/>
        </w:rPr>
        <w:t>2135.79</w:t>
      </w:r>
      <w:r>
        <w:rPr>
          <w:rFonts w:ascii="Times New Roman" w:hAnsi="Times New Roman" w:eastAsia="仿宋_GB2312"/>
          <w:sz w:val="32"/>
          <w:szCs w:val="32"/>
        </w:rPr>
        <w:t>万元，其中：一般公共预算拨款收入</w:t>
      </w:r>
      <w:r>
        <w:rPr>
          <w:rFonts w:hint="eastAsia" w:ascii="Times New Roman" w:hAnsi="Times New Roman" w:eastAsia="仿宋_GB2312"/>
          <w:sz w:val="32"/>
          <w:szCs w:val="32"/>
          <w:lang w:val="en-US" w:eastAsia="zh-CN"/>
        </w:rPr>
        <w:t>2135.79</w:t>
      </w:r>
      <w:r>
        <w:rPr>
          <w:rFonts w:ascii="Times New Roman" w:hAnsi="Times New Roman" w:eastAsia="仿宋_GB2312"/>
          <w:sz w:val="32"/>
          <w:szCs w:val="32"/>
        </w:rPr>
        <w:t>万元，占100%。</w:t>
      </w:r>
    </w:p>
    <w:p>
      <w:pPr>
        <w:widowControl/>
        <w:spacing w:line="578" w:lineRule="exact"/>
        <w:ind w:firstLine="640"/>
        <w:contextualSpacing/>
        <w:jc w:val="left"/>
        <w:rPr>
          <w:rFonts w:ascii="Times New Roman" w:hAnsi="Times New Roman" w:eastAsia="仿宋"/>
          <w:sz w:val="32"/>
          <w:szCs w:val="32"/>
        </w:rPr>
      </w:pPr>
      <w:r>
        <w:rPr>
          <w:rFonts w:ascii="Times New Roman" w:hAnsi="Times New Roman" w:eastAsia="仿宋"/>
          <w:sz w:val="32"/>
          <w:szCs w:val="32"/>
        </w:rPr>
        <w:t>2023年度决算报表支出合计</w:t>
      </w:r>
      <w:r>
        <w:rPr>
          <w:rFonts w:hint="eastAsia" w:ascii="Times New Roman" w:hAnsi="Times New Roman" w:eastAsia="仿宋"/>
          <w:sz w:val="32"/>
          <w:szCs w:val="32"/>
          <w:lang w:val="en-US" w:eastAsia="zh-CN"/>
        </w:rPr>
        <w:t>2226.18</w:t>
      </w:r>
      <w:r>
        <w:rPr>
          <w:rFonts w:ascii="Times New Roman" w:hAnsi="Times New Roman" w:eastAsia="仿宋"/>
          <w:sz w:val="32"/>
          <w:szCs w:val="32"/>
        </w:rPr>
        <w:t>万元，其中：基本支出</w:t>
      </w:r>
      <w:r>
        <w:rPr>
          <w:rFonts w:hint="eastAsia" w:ascii="Times New Roman" w:hAnsi="Times New Roman" w:eastAsia="仿宋"/>
          <w:sz w:val="32"/>
          <w:szCs w:val="32"/>
          <w:lang w:val="en-US" w:eastAsia="zh-CN"/>
        </w:rPr>
        <w:t>698.64</w:t>
      </w:r>
      <w:r>
        <w:rPr>
          <w:rFonts w:ascii="Times New Roman" w:hAnsi="Times New Roman" w:eastAsia="仿宋"/>
          <w:sz w:val="32"/>
          <w:szCs w:val="32"/>
        </w:rPr>
        <w:t>万元，占</w:t>
      </w:r>
      <w:r>
        <w:rPr>
          <w:rFonts w:hint="eastAsia" w:ascii="Times New Roman" w:hAnsi="Times New Roman" w:eastAsia="仿宋"/>
          <w:sz w:val="32"/>
          <w:szCs w:val="32"/>
          <w:lang w:val="en-US" w:eastAsia="zh-CN"/>
        </w:rPr>
        <w:t>31.38</w:t>
      </w:r>
      <w:r>
        <w:rPr>
          <w:rFonts w:ascii="Times New Roman" w:hAnsi="Times New Roman" w:eastAsia="仿宋"/>
          <w:sz w:val="32"/>
          <w:szCs w:val="32"/>
        </w:rPr>
        <w:t>%；项目支出</w:t>
      </w:r>
      <w:r>
        <w:rPr>
          <w:rFonts w:hint="eastAsia" w:ascii="Times New Roman" w:hAnsi="Times New Roman" w:eastAsia="仿宋"/>
          <w:sz w:val="32"/>
          <w:szCs w:val="32"/>
          <w:lang w:val="en-US" w:eastAsia="zh-CN"/>
        </w:rPr>
        <w:t>1527.54</w:t>
      </w:r>
      <w:r>
        <w:rPr>
          <w:rFonts w:ascii="Times New Roman" w:hAnsi="Times New Roman" w:eastAsia="仿宋"/>
          <w:sz w:val="32"/>
          <w:szCs w:val="32"/>
        </w:rPr>
        <w:t>万元，占</w:t>
      </w:r>
      <w:r>
        <w:rPr>
          <w:rFonts w:hint="eastAsia" w:ascii="Times New Roman" w:hAnsi="Times New Roman" w:eastAsia="仿宋"/>
          <w:sz w:val="32"/>
          <w:szCs w:val="32"/>
          <w:lang w:val="en-US" w:eastAsia="zh-CN"/>
        </w:rPr>
        <w:t>68.62</w:t>
      </w:r>
      <w:r>
        <w:rPr>
          <w:rFonts w:ascii="Times New Roman" w:hAnsi="Times New Roman" w:eastAsia="仿宋"/>
          <w:sz w:val="32"/>
          <w:szCs w:val="32"/>
        </w:rPr>
        <w:t>%。</w:t>
      </w:r>
    </w:p>
    <w:p>
      <w:pPr>
        <w:widowControl/>
        <w:spacing w:line="578" w:lineRule="exact"/>
        <w:ind w:firstLine="643"/>
        <w:contextualSpacing/>
        <w:jc w:val="left"/>
        <w:rPr>
          <w:rFonts w:ascii="Times New Roman" w:hAnsi="Times New Roman" w:eastAsia="楷体_GB2312"/>
          <w:b/>
          <w:bCs/>
          <w:color w:val="000000"/>
          <w:sz w:val="32"/>
          <w:szCs w:val="32"/>
          <w:shd w:val="clear" w:color="auto" w:fill="FFFFFF"/>
          <w:lang w:val="zh-CN"/>
        </w:rPr>
      </w:pPr>
      <w:r>
        <w:rPr>
          <w:rFonts w:ascii="Times New Roman" w:hAnsi="Times New Roman" w:eastAsia="楷体_GB2312"/>
          <w:b/>
          <w:bCs/>
          <w:color w:val="000000"/>
          <w:sz w:val="32"/>
          <w:szCs w:val="32"/>
          <w:shd w:val="clear" w:color="auto" w:fill="FFFFFF"/>
          <w:lang w:val="zh-CN"/>
        </w:rPr>
        <w:t>（三）结余分配和结转结余情况。</w:t>
      </w:r>
    </w:p>
    <w:p>
      <w:pPr>
        <w:pStyle w:val="2"/>
        <w:ind w:firstLine="641"/>
        <w:rPr>
          <w:rFonts w:hint="eastAsia" w:ascii="仿宋_GB2312" w:hAnsi="Calibri" w:eastAsia="仿宋_GB2312" w:cs="Times New Roman"/>
          <w:sz w:val="32"/>
          <w:szCs w:val="32"/>
          <w:lang w:val="en-US" w:eastAsia="zh-CN" w:bidi="ar-SA"/>
        </w:rPr>
      </w:pPr>
      <w:r>
        <w:rPr>
          <w:rFonts w:hint="eastAsia" w:ascii="仿宋_GB2312" w:hAnsi="Calibri" w:eastAsia="仿宋_GB2312" w:cs="Times New Roman"/>
          <w:sz w:val="32"/>
          <w:szCs w:val="32"/>
          <w:lang w:val="en-US" w:eastAsia="zh-CN" w:bidi="ar-SA"/>
        </w:rPr>
        <w:t>2022年省级公共文化服务体系建设（广电项目.智慧广电）180.04万元，大笮文旅产业融合项目45.92万元，为跨年项目，2024年实施。</w:t>
      </w:r>
    </w:p>
    <w:p>
      <w:pPr>
        <w:widowControl/>
        <w:spacing w:line="578" w:lineRule="exact"/>
        <w:ind w:firstLine="640"/>
        <w:contextualSpacing/>
        <w:jc w:val="left"/>
        <w:rPr>
          <w:rFonts w:ascii="Times New Roman" w:hAnsi="Times New Roman" w:eastAsia="黑体"/>
          <w:color w:val="000000"/>
          <w:sz w:val="32"/>
          <w:szCs w:val="32"/>
          <w:shd w:val="clear" w:color="auto" w:fill="FFFFFF"/>
          <w:lang w:val="zh-CN"/>
        </w:rPr>
      </w:pPr>
      <w:r>
        <w:rPr>
          <w:rFonts w:ascii="Times New Roman" w:hAnsi="Times New Roman" w:eastAsia="黑体"/>
          <w:color w:val="000000"/>
          <w:sz w:val="32"/>
          <w:szCs w:val="32"/>
          <w:shd w:val="clear" w:color="auto" w:fill="FFFFFF"/>
          <w:lang w:val="zh-CN"/>
        </w:rPr>
        <w:t>三、部门预算绩效分析</w:t>
      </w:r>
    </w:p>
    <w:p>
      <w:pPr>
        <w:spacing w:line="578" w:lineRule="exact"/>
        <w:ind w:firstLine="643"/>
        <w:contextualSpacing/>
        <w:jc w:val="left"/>
        <w:rPr>
          <w:rFonts w:ascii="Times New Roman" w:hAnsi="Times New Roman"/>
          <w:color w:val="000000"/>
          <w:szCs w:val="32"/>
          <w:shd w:val="clear" w:color="auto" w:fill="FFFFFF"/>
          <w:lang w:val="zh-CN"/>
        </w:rPr>
      </w:pPr>
      <w:r>
        <w:rPr>
          <w:rFonts w:ascii="Times New Roman" w:hAnsi="Times New Roman" w:eastAsia="楷体_GB2312"/>
          <w:b/>
          <w:bCs/>
          <w:color w:val="000000"/>
          <w:sz w:val="32"/>
          <w:szCs w:val="32"/>
          <w:shd w:val="clear" w:color="auto" w:fill="FFFFFF"/>
          <w:lang w:val="zh-CN"/>
        </w:rPr>
        <w:t>（一）部门预算总体绩效分析。</w:t>
      </w:r>
    </w:p>
    <w:p>
      <w:pPr>
        <w:spacing w:line="520" w:lineRule="exact"/>
        <w:ind w:firstLine="640"/>
        <w:rPr>
          <w:rFonts w:ascii="Times New Roman" w:hAnsi="Times New Roman" w:eastAsia="楷体_GB2312"/>
          <w:color w:val="000000"/>
          <w:sz w:val="32"/>
          <w:szCs w:val="32"/>
          <w:shd w:val="clear" w:color="auto" w:fill="FFFFFF"/>
          <w:lang w:val="zh-CN"/>
        </w:rPr>
      </w:pPr>
      <w:r>
        <w:rPr>
          <w:rFonts w:ascii="Times New Roman" w:hAnsi="Times New Roman" w:eastAsia="楷体_GB2312"/>
          <w:color w:val="000000"/>
          <w:sz w:val="32"/>
          <w:szCs w:val="32"/>
          <w:shd w:val="clear" w:color="auto" w:fill="FFFFFF"/>
        </w:rPr>
        <w:t>1</w:t>
      </w:r>
      <w:r>
        <w:rPr>
          <w:rFonts w:ascii="Times New Roman" w:hAnsi="Times New Roman" w:eastAsia="仿宋_GB2312"/>
          <w:sz w:val="32"/>
          <w:szCs w:val="32"/>
        </w:rPr>
        <w:t>．</w:t>
      </w:r>
      <w:r>
        <w:rPr>
          <w:rFonts w:ascii="Times New Roman" w:hAnsi="Times New Roman" w:eastAsia="楷体_GB2312"/>
          <w:color w:val="000000"/>
          <w:sz w:val="32"/>
          <w:szCs w:val="32"/>
          <w:shd w:val="clear" w:color="auto" w:fill="FFFFFF"/>
          <w:lang w:val="zh-CN"/>
        </w:rPr>
        <w:t>履职效能。</w:t>
      </w:r>
    </w:p>
    <w:p>
      <w:pPr>
        <w:numPr>
          <w:ilvl w:val="0"/>
          <w:numId w:val="0"/>
        </w:numPr>
        <w:ind w:firstLine="640"/>
        <w:rPr>
          <w:rFonts w:ascii="Times New Roman" w:hAnsi="Times New Roman" w:eastAsia="仿宋"/>
          <w:sz w:val="32"/>
          <w:szCs w:val="32"/>
        </w:rPr>
      </w:pPr>
      <w:r>
        <w:rPr>
          <w:rFonts w:ascii="Times New Roman" w:hAnsi="Times New Roman" w:eastAsia="仿宋"/>
          <w:sz w:val="32"/>
          <w:szCs w:val="32"/>
        </w:rPr>
        <w:t>2023年，</w:t>
      </w:r>
      <w:r>
        <w:rPr>
          <w:rFonts w:hint="eastAsia" w:ascii="Times New Roman" w:hAnsi="Times New Roman" w:eastAsia="仿宋"/>
          <w:sz w:val="32"/>
          <w:szCs w:val="32"/>
          <w:lang w:eastAsia="zh-CN"/>
        </w:rPr>
        <w:t>县</w:t>
      </w:r>
      <w:r>
        <w:rPr>
          <w:rFonts w:ascii="Times New Roman" w:hAnsi="Times New Roman" w:eastAsia="仿宋"/>
          <w:sz w:val="32"/>
          <w:szCs w:val="32"/>
        </w:rPr>
        <w:t>市文化广播电视和旅游局突出党建引领，全面推动</w:t>
      </w:r>
      <w:r>
        <w:rPr>
          <w:rFonts w:hint="eastAsia" w:ascii="Times New Roman" w:hAnsi="Times New Roman" w:eastAsia="仿宋"/>
          <w:sz w:val="32"/>
          <w:szCs w:val="32"/>
          <w:lang w:eastAsia="zh-CN"/>
        </w:rPr>
        <w:t>县</w:t>
      </w:r>
      <w:r>
        <w:rPr>
          <w:rFonts w:ascii="Times New Roman" w:hAnsi="Times New Roman" w:eastAsia="仿宋"/>
          <w:sz w:val="32"/>
          <w:szCs w:val="32"/>
        </w:rPr>
        <w:t>委</w:t>
      </w:r>
      <w:r>
        <w:rPr>
          <w:rFonts w:hint="eastAsia" w:ascii="Times New Roman" w:hAnsi="Times New Roman" w:eastAsia="仿宋"/>
          <w:sz w:val="32"/>
          <w:szCs w:val="32"/>
          <w:lang w:eastAsia="zh-CN"/>
        </w:rPr>
        <w:t>县</w:t>
      </w:r>
      <w:r>
        <w:rPr>
          <w:rFonts w:ascii="Times New Roman" w:hAnsi="Times New Roman" w:eastAsia="仿宋"/>
          <w:sz w:val="32"/>
          <w:szCs w:val="32"/>
        </w:rPr>
        <w:t>政府重大决策部署落地落实，以文旅融合为宗旨，围绕文化广播旅游产业发展、文旅宣传推广、市场服务体系建设等方面，抢抓机遇、主动作为，高质量推进精神文化生活共同富裕，全面落实“服务业发展年 文旅打头阵”各项目标任务，促进文化和旅游产业融合，加快建设国际阳光康养旅游目的地和区域文化高地，推动文旅高质量建设。</w:t>
      </w:r>
    </w:p>
    <w:p>
      <w:pPr>
        <w:numPr>
          <w:ilvl w:val="0"/>
          <w:numId w:val="0"/>
        </w:numPr>
        <w:ind w:firstLine="640"/>
        <w:rPr>
          <w:rFonts w:hint="default" w:ascii="仿宋_GB2312" w:eastAsia="仿宋_GB2312"/>
          <w:sz w:val="32"/>
          <w:szCs w:val="32"/>
          <w:lang w:val="en-US" w:eastAsia="zh-CN"/>
        </w:rPr>
      </w:pP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1</w:t>
      </w:r>
      <w:r>
        <w:rPr>
          <w:rFonts w:hint="eastAsia" w:ascii="Times New Roman" w:hAnsi="Times New Roman" w:eastAsia="仿宋"/>
          <w:sz w:val="32"/>
          <w:szCs w:val="32"/>
          <w:lang w:eastAsia="zh-CN"/>
        </w:rPr>
        <w:t>）</w:t>
      </w:r>
      <w:r>
        <w:rPr>
          <w:rFonts w:ascii="Times New Roman" w:hAnsi="Times New Roman" w:eastAsia="仿宋"/>
          <w:sz w:val="32"/>
          <w:szCs w:val="32"/>
        </w:rPr>
        <w:t>2023年完成民生实事项目免费开放资金</w:t>
      </w:r>
      <w:r>
        <w:rPr>
          <w:rFonts w:hint="eastAsia" w:ascii="Times New Roman" w:hAnsi="Times New Roman" w:eastAsia="仿宋"/>
          <w:sz w:val="32"/>
          <w:szCs w:val="32"/>
          <w:lang w:val="en-US" w:eastAsia="zh-CN"/>
        </w:rPr>
        <w:t>9.6</w:t>
      </w:r>
      <w:r>
        <w:rPr>
          <w:rFonts w:ascii="Times New Roman" w:hAnsi="Times New Roman" w:eastAsia="仿宋"/>
          <w:sz w:val="32"/>
          <w:szCs w:val="32"/>
        </w:rPr>
        <w:t>万元，资金下达比例10</w:t>
      </w:r>
      <w:r>
        <w:rPr>
          <w:rFonts w:hint="eastAsia" w:ascii="Times New Roman" w:hAnsi="Times New Roman" w:eastAsia="仿宋"/>
          <w:sz w:val="32"/>
          <w:szCs w:val="32"/>
          <w:lang w:val="en-US" w:eastAsia="zh-CN"/>
        </w:rPr>
        <w:t>0</w:t>
      </w:r>
      <w:r>
        <w:rPr>
          <w:rFonts w:ascii="Times New Roman" w:hAnsi="Times New Roman" w:eastAsia="仿宋"/>
          <w:sz w:val="32"/>
          <w:szCs w:val="32"/>
        </w:rPr>
        <w:t>%，圆满完成省级民生实事任务。</w:t>
      </w:r>
      <w:r>
        <w:rPr>
          <w:rFonts w:hint="default" w:ascii="仿宋_GB2312" w:eastAsia="仿宋_GB2312"/>
          <w:sz w:val="32"/>
          <w:szCs w:val="32"/>
          <w:lang w:val="en-US" w:eastAsia="zh-CN"/>
        </w:rPr>
        <w:t>全县12个乡镇（加4个保留点）文化馆总分馆、图书馆总分馆全覆盖建设</w:t>
      </w:r>
      <w:r>
        <w:rPr>
          <w:rFonts w:hint="eastAsia" w:ascii="仿宋_GB2312" w:eastAsia="仿宋_GB2312"/>
          <w:sz w:val="32"/>
          <w:szCs w:val="32"/>
          <w:lang w:val="en-US" w:eastAsia="zh-CN"/>
        </w:rPr>
        <w:t>，</w:t>
      </w:r>
      <w:r>
        <w:rPr>
          <w:rFonts w:hint="default" w:ascii="仿宋_GB2312" w:eastAsia="仿宋_GB2312"/>
          <w:sz w:val="32"/>
          <w:szCs w:val="32"/>
          <w:lang w:val="en-US" w:eastAsia="zh-CN"/>
        </w:rPr>
        <w:t>健全基层公共文化设施网络，形成县、乡（镇）、村三级服务网点。推进1个县级图书馆、1个县级文化馆，12个乡镇（街道）（加4个保留点）文化站全面建立开放服务机制并免费向群众开放</w:t>
      </w:r>
      <w:r>
        <w:rPr>
          <w:rFonts w:hint="eastAsia" w:ascii="仿宋_GB2312" w:eastAsia="仿宋_GB2312"/>
          <w:sz w:val="32"/>
          <w:szCs w:val="32"/>
          <w:lang w:val="en-US" w:eastAsia="zh-CN"/>
        </w:rPr>
        <w:t>。</w:t>
      </w:r>
    </w:p>
    <w:p>
      <w:pPr>
        <w:numPr>
          <w:ilvl w:val="0"/>
          <w:numId w:val="0"/>
        </w:numPr>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default" w:ascii="仿宋_GB2312" w:eastAsia="仿宋_GB2312"/>
          <w:sz w:val="32"/>
          <w:szCs w:val="32"/>
          <w:lang w:val="en-US" w:eastAsia="zh-CN"/>
        </w:rPr>
        <w:t>推进天府旅游名县暨全域旅游示范区创建</w:t>
      </w:r>
      <w:r>
        <w:rPr>
          <w:rFonts w:hint="eastAsia" w:ascii="仿宋_GB2312" w:eastAsia="仿宋_GB2312"/>
          <w:sz w:val="32"/>
          <w:szCs w:val="32"/>
          <w:lang w:val="en-US" w:eastAsia="zh-CN"/>
        </w:rPr>
        <w:t>项目资金525.21万元</w:t>
      </w:r>
      <w:r>
        <w:rPr>
          <w:rFonts w:hint="default" w:ascii="仿宋_GB2312" w:eastAsia="仿宋_GB2312"/>
          <w:sz w:val="32"/>
          <w:szCs w:val="32"/>
          <w:lang w:val="en-US" w:eastAsia="zh-CN"/>
        </w:rPr>
        <w:t>。2022年10月，盐边县成功入围第四批天府旅游名县候选县，经过一年的提升建设，2023年未成功入围第五批天府旅游名县命名县，将持续推进第六批天府旅游名县创建工作。</w:t>
      </w:r>
    </w:p>
    <w:p>
      <w:pPr>
        <w:numPr>
          <w:ilvl w:val="0"/>
          <w:numId w:val="0"/>
        </w:numPr>
        <w:ind w:firstLine="640"/>
        <w:rPr>
          <w:rFonts w:hint="default" w:ascii="仿宋_GB2312" w:eastAsia="仿宋_GB2312"/>
          <w:sz w:val="32"/>
          <w:szCs w:val="32"/>
          <w:lang w:val="en-US" w:eastAsia="zh-CN"/>
        </w:rPr>
      </w:pPr>
      <w:r>
        <w:rPr>
          <w:rFonts w:hint="eastAsia" w:ascii="Times New Roman" w:hAnsi="Times New Roman" w:eastAsia="仿宋"/>
          <w:sz w:val="32"/>
          <w:szCs w:val="32"/>
          <w:lang w:val="en-US" w:eastAsia="zh-CN"/>
        </w:rPr>
        <w:t>（3）</w:t>
      </w:r>
      <w:r>
        <w:rPr>
          <w:rFonts w:ascii="Times New Roman" w:hAnsi="Times New Roman" w:eastAsia="仿宋"/>
          <w:sz w:val="32"/>
          <w:szCs w:val="32"/>
        </w:rPr>
        <w:t>在建省级重点文旅项目</w:t>
      </w:r>
      <w:r>
        <w:rPr>
          <w:rFonts w:hint="eastAsia" w:ascii="Times New Roman" w:hAnsi="Times New Roman" w:eastAsia="仿宋"/>
          <w:sz w:val="32"/>
          <w:szCs w:val="32"/>
          <w:lang w:eastAsia="zh-CN"/>
        </w:rPr>
        <w:t>，</w:t>
      </w:r>
      <w:r>
        <w:rPr>
          <w:rFonts w:hint="default" w:ascii="仿宋_GB2312" w:eastAsia="仿宋_GB2312"/>
          <w:sz w:val="32"/>
          <w:szCs w:val="32"/>
          <w:lang w:val="en-US" w:eastAsia="zh-CN"/>
        </w:rPr>
        <w:t>全力推进大笮文旅产业融合园区提升项目</w:t>
      </w:r>
      <w:r>
        <w:rPr>
          <w:rFonts w:hint="eastAsia" w:ascii="仿宋_GB2312" w:eastAsia="仿宋_GB2312"/>
          <w:sz w:val="32"/>
          <w:szCs w:val="32"/>
          <w:lang w:val="en-US" w:eastAsia="zh-CN"/>
        </w:rPr>
        <w:t>项目资金614.08万元</w:t>
      </w:r>
      <w:r>
        <w:rPr>
          <w:rFonts w:hint="default" w:ascii="仿宋_GB2312" w:eastAsia="仿宋_GB2312"/>
          <w:sz w:val="32"/>
          <w:szCs w:val="32"/>
          <w:lang w:val="en-US" w:eastAsia="zh-CN"/>
        </w:rPr>
        <w:t>。开展《雅砻江水天上来》话剧的创、编、排、演工作，2023年7月1日至2日试演2场获得广泛好评。该剧成功入选了第三届四川艺术节精品剧目展演，于2023年9月11日至12日在成都城市音乐厅展演2场。</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（4）公共文化服务体系建设，支付项目资金32.68万元。</w:t>
      </w:r>
      <w:r>
        <w:rPr>
          <w:rFonts w:hint="default" w:ascii="仿宋_GB2312" w:eastAsia="仿宋_GB2312"/>
          <w:sz w:val="32"/>
          <w:szCs w:val="32"/>
          <w:lang w:val="en-US" w:eastAsia="zh-CN"/>
        </w:rPr>
        <w:t>推出一批讲述盐边故事、体现地方特色的精品文艺力作，创作了本土歌曲创作本土文艺作品《笮山清 若水长》，根据省级非遗“仡佬族送年节”编创舞蹈《仡佬族送年》，结合傈僳族文化编创傈僳族舞蹈《傈僳山寨丰收乐》，</w:t>
      </w:r>
      <w:r>
        <w:rPr>
          <w:rFonts w:hint="eastAsia" w:ascii="仿宋_GB2312" w:eastAsia="仿宋_GB2312"/>
          <w:sz w:val="32"/>
          <w:szCs w:val="32"/>
          <w:lang w:val="en-US" w:eastAsia="zh-CN"/>
        </w:rPr>
        <w:t>本土原创歌曲《滋味盐边》《金芒果》代表攀枝花参加第八届成都国际非遗节说唱大会展演。</w:t>
      </w:r>
    </w:p>
    <w:p>
      <w:pPr>
        <w:numPr>
          <w:ilvl w:val="0"/>
          <w:numId w:val="0"/>
        </w:numPr>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default" w:ascii="仿宋_GB2312" w:eastAsia="仿宋_GB2312"/>
          <w:sz w:val="32"/>
          <w:szCs w:val="32"/>
          <w:lang w:val="en-US" w:eastAsia="zh-CN"/>
        </w:rPr>
        <w:t>有序推进四川省智慧广电示范区项目</w:t>
      </w:r>
      <w:r>
        <w:rPr>
          <w:rFonts w:hint="eastAsia" w:ascii="仿宋_GB2312" w:eastAsia="仿宋_GB2312"/>
          <w:sz w:val="32"/>
          <w:szCs w:val="32"/>
          <w:lang w:val="en-US" w:eastAsia="zh-CN"/>
        </w:rPr>
        <w:t>及2023年广播电视运行维护299.76万元。智慧广电</w:t>
      </w:r>
      <w:r>
        <w:rPr>
          <w:rFonts w:hint="default" w:ascii="仿宋_GB2312" w:eastAsia="仿宋_GB2312"/>
          <w:sz w:val="32"/>
          <w:szCs w:val="32"/>
          <w:lang w:val="en-US" w:eastAsia="zh-CN"/>
        </w:rPr>
        <w:t>基本框架搭建完成，Ui界面已经完成，6台交互式终端已向厂家订货</w:t>
      </w:r>
      <w:r>
        <w:rPr>
          <w:rFonts w:hint="eastAsia" w:ascii="仿宋_GB2312" w:eastAsia="仿宋_GB2312"/>
          <w:sz w:val="32"/>
          <w:szCs w:val="32"/>
          <w:lang w:val="en-US" w:eastAsia="zh-CN"/>
        </w:rPr>
        <w:t>；</w:t>
      </w:r>
      <w:r>
        <w:rPr>
          <w:rFonts w:hint="default" w:ascii="仿宋_GB2312" w:eastAsia="仿宋_GB2312"/>
          <w:sz w:val="32"/>
          <w:szCs w:val="32"/>
          <w:lang w:val="en-US" w:eastAsia="zh-CN"/>
        </w:rPr>
        <w:t>全力做好</w:t>
      </w:r>
      <w:r>
        <w:rPr>
          <w:rFonts w:hint="eastAsia" w:ascii="仿宋_GB2312" w:eastAsia="仿宋_GB2312"/>
          <w:sz w:val="32"/>
          <w:szCs w:val="32"/>
          <w:lang w:val="en-US" w:eastAsia="zh-CN"/>
        </w:rPr>
        <w:t>广播电视</w:t>
      </w:r>
      <w:r>
        <w:rPr>
          <w:rFonts w:hint="default" w:ascii="仿宋_GB2312" w:eastAsia="仿宋_GB2312"/>
          <w:sz w:val="32"/>
          <w:szCs w:val="32"/>
          <w:lang w:val="en-US" w:eastAsia="zh-CN"/>
        </w:rPr>
        <w:t>安全播出工作，确保重要播出保障期“零停播”“零插播”。</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default" w:ascii="仿宋_GB2312" w:eastAsia="仿宋_GB2312"/>
          <w:sz w:val="32"/>
          <w:szCs w:val="32"/>
          <w:lang w:val="en-US" w:eastAsia="zh-CN"/>
        </w:rPr>
        <w:t>推进盐边县</w:t>
      </w:r>
      <w:r>
        <w:rPr>
          <w:rFonts w:hint="eastAsia" w:ascii="仿宋_GB2312" w:eastAsia="仿宋_GB2312"/>
          <w:sz w:val="32"/>
          <w:szCs w:val="32"/>
          <w:lang w:val="en-US" w:eastAsia="zh-CN"/>
        </w:rPr>
        <w:t>餐饮名店等旅游基础设施改造</w:t>
      </w:r>
      <w:r>
        <w:rPr>
          <w:rFonts w:hint="default" w:ascii="仿宋_GB2312" w:eastAsia="仿宋_GB2312"/>
          <w:sz w:val="32"/>
          <w:szCs w:val="32"/>
          <w:lang w:val="en-US" w:eastAsia="zh-CN"/>
        </w:rPr>
        <w:t>行动</w:t>
      </w:r>
      <w:r>
        <w:rPr>
          <w:rFonts w:hint="eastAsia" w:ascii="仿宋_GB2312" w:eastAsia="仿宋_GB2312"/>
          <w:sz w:val="32"/>
          <w:szCs w:val="32"/>
          <w:lang w:val="en-US" w:eastAsia="zh-CN"/>
        </w:rPr>
        <w:t>，支付餐饮名店等改造费用138.18万元。</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default" w:ascii="仿宋_GB2312" w:eastAsia="仿宋_GB2312"/>
          <w:sz w:val="32"/>
          <w:szCs w:val="32"/>
          <w:lang w:val="en-US" w:eastAsia="zh-CN"/>
        </w:rPr>
        <w:t>举办“听见，花开的声音”之“滋味盐边 茶香椹好”2023攀枝花盐边国胜茶采摘节</w:t>
      </w:r>
      <w:r>
        <w:rPr>
          <w:rFonts w:hint="eastAsia" w:ascii="仿宋_GB2312" w:eastAsia="仿宋_GB2312"/>
          <w:sz w:val="32"/>
          <w:szCs w:val="32"/>
          <w:lang w:val="en-US" w:eastAsia="zh-CN"/>
        </w:rPr>
        <w:t>等6场文旅活动，项目资金支付97.43万元。</w:t>
      </w:r>
    </w:p>
    <w:p>
      <w:pPr>
        <w:pStyle w:val="2"/>
        <w:rPr>
          <w:rFonts w:ascii="Times New Roman" w:hAnsi="Times New Roman"/>
        </w:rPr>
      </w:pPr>
      <w:r>
        <w:rPr>
          <w:rFonts w:hint="eastAsia" w:ascii="仿宋_GB2312" w:eastAsia="仿宋_GB2312"/>
          <w:sz w:val="32"/>
          <w:szCs w:val="32"/>
          <w:lang w:val="en-US" w:eastAsia="zh-CN"/>
        </w:rPr>
        <w:t xml:space="preserve">    </w:t>
      </w:r>
      <w:r>
        <w:rPr>
          <w:rFonts w:ascii="Times New Roman" w:hAnsi="Times New Roman" w:eastAsia="仿宋"/>
          <w:sz w:val="32"/>
          <w:szCs w:val="32"/>
        </w:rPr>
        <w:t>2023年，</w:t>
      </w:r>
      <w:r>
        <w:rPr>
          <w:rFonts w:hint="eastAsia" w:ascii="Times New Roman" w:hAnsi="Times New Roman" w:eastAsia="仿宋"/>
          <w:sz w:val="32"/>
          <w:szCs w:val="32"/>
          <w:lang w:eastAsia="zh-CN"/>
        </w:rPr>
        <w:t>县</w:t>
      </w:r>
      <w:r>
        <w:rPr>
          <w:rFonts w:ascii="Times New Roman" w:hAnsi="Times New Roman" w:eastAsia="仿宋"/>
          <w:sz w:val="32"/>
          <w:szCs w:val="32"/>
        </w:rPr>
        <w:t>文广旅局</w:t>
      </w:r>
      <w:r>
        <w:rPr>
          <w:rFonts w:ascii="Times New Roman" w:hAnsi="Times New Roman" w:eastAsia="仿宋_GB2312"/>
          <w:sz w:val="32"/>
          <w:szCs w:val="32"/>
        </w:rPr>
        <w:t>实现了局系统正常运转，保障了日常工作任务而发生的人员支出和公用支出，更好地履行文化、广播电视和旅游等方面的职能职责，促进文化、广播电视和旅游事业发展。</w:t>
      </w:r>
    </w:p>
    <w:p>
      <w:pPr>
        <w:spacing w:line="578" w:lineRule="exact"/>
        <w:ind w:firstLine="640"/>
        <w:contextualSpacing/>
        <w:jc w:val="left"/>
        <w:rPr>
          <w:rFonts w:ascii="Times New Roman" w:hAnsi="Times New Roman" w:eastAsia="仿宋_GB2312"/>
          <w:sz w:val="32"/>
          <w:szCs w:val="32"/>
          <w:lang w:val="zh-CN"/>
        </w:rPr>
      </w:pPr>
      <w:r>
        <w:rPr>
          <w:rFonts w:ascii="Times New Roman" w:hAnsi="Times New Roman" w:eastAsia="楷体_GB2312"/>
          <w:color w:val="000000"/>
          <w:sz w:val="32"/>
          <w:szCs w:val="32"/>
          <w:shd w:val="clear" w:color="auto" w:fill="FFFFFF"/>
        </w:rPr>
        <w:t>2</w:t>
      </w:r>
      <w:r>
        <w:rPr>
          <w:rFonts w:ascii="Times New Roman" w:hAnsi="Times New Roman" w:eastAsia="仿宋_GB2312"/>
          <w:sz w:val="32"/>
          <w:szCs w:val="32"/>
        </w:rPr>
        <w:t>．</w:t>
      </w:r>
      <w:r>
        <w:rPr>
          <w:rFonts w:ascii="Times New Roman" w:hAnsi="Times New Roman" w:eastAsia="楷体_GB2312"/>
          <w:color w:val="000000"/>
          <w:sz w:val="32"/>
          <w:szCs w:val="32"/>
          <w:shd w:val="clear" w:color="auto" w:fill="FFFFFF"/>
          <w:lang w:val="zh-CN"/>
        </w:rPr>
        <w:t>预算管理。</w:t>
      </w:r>
    </w:p>
    <w:p>
      <w:pPr>
        <w:spacing w:line="578" w:lineRule="exact"/>
        <w:ind w:firstLine="640"/>
        <w:contextualSpacing/>
        <w:jc w:val="left"/>
        <w:rPr>
          <w:rFonts w:ascii="Times New Roman" w:hAnsi="Times New Roman" w:eastAsia="仿宋_GB2312"/>
          <w:sz w:val="32"/>
          <w:szCs w:val="32"/>
          <w:lang w:val="zh-CN"/>
        </w:rPr>
      </w:pPr>
      <w:r>
        <w:rPr>
          <w:rFonts w:ascii="Times New Roman" w:hAnsi="Times New Roman" w:eastAsia="仿宋_GB2312"/>
          <w:sz w:val="32"/>
          <w:szCs w:val="32"/>
          <w:lang w:val="zh-CN"/>
        </w:rPr>
        <w:t>预算编制做到科学合理，并按要求严格预算执行，控制各项经费支出。严格执行</w:t>
      </w:r>
      <w:r>
        <w:rPr>
          <w:rFonts w:hint="eastAsia" w:eastAsia="仿宋_GB2312"/>
          <w:sz w:val="32"/>
          <w:szCs w:val="32"/>
          <w:lang w:val="zh-CN"/>
        </w:rPr>
        <w:t>“三公”经费</w:t>
      </w:r>
      <w:r>
        <w:rPr>
          <w:rFonts w:ascii="Times New Roman" w:hAnsi="Times New Roman" w:eastAsia="仿宋_GB2312"/>
          <w:sz w:val="32"/>
          <w:szCs w:val="32"/>
          <w:lang w:val="zh-CN"/>
        </w:rPr>
        <w:t>预算。部门预决算及</w:t>
      </w:r>
      <w:r>
        <w:rPr>
          <w:rFonts w:hint="eastAsia" w:eastAsia="仿宋_GB2312"/>
          <w:sz w:val="32"/>
          <w:szCs w:val="32"/>
          <w:lang w:val="zh-CN"/>
        </w:rPr>
        <w:t>“三公”经费</w:t>
      </w:r>
      <w:r>
        <w:rPr>
          <w:rFonts w:ascii="Times New Roman" w:hAnsi="Times New Roman" w:eastAsia="仿宋_GB2312"/>
          <w:sz w:val="32"/>
          <w:szCs w:val="32"/>
          <w:lang w:val="zh-CN"/>
        </w:rPr>
        <w:t>全面向社会公示工作有序推进。我单位按照市财政下达的预算指标来安排各项工作，预算执行情况总体良好。一是保运转。在单位的日常经费管理工作中首先保障单位基本运转，保障人员经费支出和日常公用经费，项目资金用于单位各项特定业务方面的支出。二是厉行节约。本单位在保障基本运转的前提下，大力倡导厉行节约。</w:t>
      </w:r>
    </w:p>
    <w:p>
      <w:pPr>
        <w:spacing w:line="578" w:lineRule="exact"/>
        <w:ind w:firstLine="640"/>
        <w:contextualSpacing/>
        <w:jc w:val="left"/>
        <w:rPr>
          <w:rFonts w:ascii="Times New Roman" w:hAnsi="Times New Roman" w:eastAsia="楷体_GB2312"/>
          <w:color w:val="000000"/>
          <w:sz w:val="32"/>
          <w:szCs w:val="32"/>
          <w:shd w:val="clear" w:color="auto" w:fill="FFFFFF"/>
          <w:lang w:val="zh-CN"/>
        </w:rPr>
      </w:pPr>
      <w:r>
        <w:rPr>
          <w:rFonts w:ascii="Times New Roman" w:hAnsi="Times New Roman" w:eastAsia="楷体_GB2312"/>
          <w:color w:val="000000"/>
          <w:sz w:val="32"/>
          <w:szCs w:val="32"/>
          <w:shd w:val="clear" w:color="auto" w:fill="FFFFFF"/>
        </w:rPr>
        <w:t>3</w:t>
      </w:r>
      <w:r>
        <w:rPr>
          <w:rFonts w:ascii="Times New Roman" w:hAnsi="Times New Roman" w:eastAsia="仿宋_GB2312"/>
          <w:sz w:val="32"/>
          <w:szCs w:val="32"/>
        </w:rPr>
        <w:t>．</w:t>
      </w:r>
      <w:r>
        <w:rPr>
          <w:rFonts w:ascii="Times New Roman" w:hAnsi="Times New Roman" w:eastAsia="楷体_GB2312"/>
          <w:color w:val="000000"/>
          <w:sz w:val="32"/>
          <w:szCs w:val="32"/>
          <w:shd w:val="clear" w:color="auto" w:fill="FFFFFF"/>
          <w:lang w:val="zh-CN"/>
        </w:rPr>
        <w:t>财务管理。</w:t>
      </w:r>
    </w:p>
    <w:p>
      <w:pPr>
        <w:spacing w:line="578" w:lineRule="exact"/>
        <w:ind w:firstLine="640"/>
        <w:contextualSpacing/>
        <w:jc w:val="left"/>
        <w:rPr>
          <w:rFonts w:ascii="Times New Roman" w:hAnsi="Times New Roman" w:eastAsia="楷体_GB2312"/>
          <w:color w:val="000000"/>
          <w:sz w:val="32"/>
          <w:szCs w:val="32"/>
          <w:shd w:val="clear" w:color="auto" w:fill="FFFFFF"/>
          <w:lang w:val="zh-CN"/>
        </w:rPr>
      </w:pPr>
      <w:r>
        <w:rPr>
          <w:rStyle w:val="36"/>
          <w:rFonts w:hint="eastAsia" w:ascii="Times New Roman" w:hAnsi="Times New Roman" w:eastAsia="仿宋"/>
          <w:b w:val="0"/>
          <w:bCs/>
          <w:color w:val="000000"/>
          <w:sz w:val="32"/>
          <w:szCs w:val="32"/>
          <w:lang w:eastAsia="zh-CN"/>
        </w:rPr>
        <w:t>县</w:t>
      </w:r>
      <w:r>
        <w:rPr>
          <w:rStyle w:val="36"/>
          <w:rFonts w:ascii="Times New Roman" w:hAnsi="Times New Roman" w:eastAsia="仿宋"/>
          <w:b w:val="0"/>
          <w:bCs/>
          <w:color w:val="000000"/>
          <w:sz w:val="32"/>
          <w:szCs w:val="32"/>
        </w:rPr>
        <w:t>文广旅局部门制定有较为完善财务管理制度、内部控制制度等管理制度，相关管理制度合法、合规、完整，流程规范，相关管理制度得到有效执行。</w:t>
      </w:r>
      <w:r>
        <w:rPr>
          <w:rFonts w:hint="eastAsia" w:ascii="Times New Roman" w:hAnsi="Times New Roman" w:eastAsia="仿宋_GB2312"/>
          <w:sz w:val="32"/>
          <w:szCs w:val="32"/>
          <w:lang w:eastAsia="zh-CN"/>
        </w:rPr>
        <w:t>县</w:t>
      </w:r>
      <w:r>
        <w:rPr>
          <w:rFonts w:ascii="Times New Roman" w:hAnsi="Times New Roman" w:eastAsia="仿宋_GB2312"/>
          <w:sz w:val="32"/>
          <w:szCs w:val="32"/>
        </w:rPr>
        <w:t>文广旅局出台了《</w:t>
      </w:r>
      <w:r>
        <w:rPr>
          <w:rFonts w:hint="eastAsia" w:ascii="Times New Roman" w:hAnsi="Times New Roman" w:eastAsia="仿宋_GB2312"/>
          <w:sz w:val="32"/>
          <w:szCs w:val="32"/>
          <w:lang w:eastAsia="zh-CN"/>
        </w:rPr>
        <w:t>盐边县</w:t>
      </w:r>
      <w:r>
        <w:rPr>
          <w:rFonts w:ascii="Times New Roman" w:hAnsi="Times New Roman" w:eastAsia="仿宋_GB2312"/>
          <w:sz w:val="32"/>
          <w:szCs w:val="32"/>
        </w:rPr>
        <w:t>文化广播电视和旅游局财务管理制度》《</w:t>
      </w:r>
      <w:r>
        <w:rPr>
          <w:rFonts w:hint="eastAsia" w:ascii="Times New Roman" w:hAnsi="Times New Roman" w:eastAsia="仿宋_GB2312"/>
          <w:sz w:val="32"/>
          <w:szCs w:val="32"/>
          <w:lang w:eastAsia="zh-CN"/>
        </w:rPr>
        <w:t>盐边县</w:t>
      </w:r>
      <w:r>
        <w:rPr>
          <w:rFonts w:ascii="Times New Roman" w:hAnsi="Times New Roman" w:eastAsia="仿宋_GB2312"/>
          <w:sz w:val="32"/>
          <w:szCs w:val="32"/>
        </w:rPr>
        <w:t>文化广播电视和旅游局政府采购内部控制管理制度》《</w:t>
      </w:r>
      <w:r>
        <w:rPr>
          <w:rFonts w:hint="eastAsia" w:ascii="Times New Roman" w:hAnsi="Times New Roman" w:eastAsia="仿宋_GB2312"/>
          <w:sz w:val="32"/>
          <w:szCs w:val="32"/>
          <w:lang w:eastAsia="zh-CN"/>
        </w:rPr>
        <w:t>盐边县文化广播电视和旅游局</w:t>
      </w:r>
      <w:r>
        <w:rPr>
          <w:rFonts w:ascii="Times New Roman" w:hAnsi="Times New Roman" w:eastAsia="仿宋_GB2312"/>
          <w:sz w:val="32"/>
          <w:szCs w:val="32"/>
        </w:rPr>
        <w:t>“三重一大”集体决策制度》等系列制度，内控制度齐全。从强化绩效管理意识、压实绩效管理责任、建立长效管理机制、严格绩效考核监督等方面加强了项目绩效管理，确保项目实施效果，提升绩效管理水平。</w:t>
      </w:r>
    </w:p>
    <w:p>
      <w:pPr>
        <w:spacing w:line="578" w:lineRule="exact"/>
        <w:ind w:firstLine="640"/>
        <w:contextualSpacing/>
        <w:jc w:val="left"/>
        <w:rPr>
          <w:rFonts w:ascii="Times New Roman" w:hAnsi="Times New Roman" w:eastAsia="楷体_GB2312"/>
          <w:color w:val="000000"/>
          <w:sz w:val="32"/>
          <w:szCs w:val="32"/>
          <w:shd w:val="clear" w:color="auto" w:fill="FFFFFF"/>
          <w:lang w:val="zh-CN"/>
        </w:rPr>
      </w:pPr>
      <w:r>
        <w:rPr>
          <w:rFonts w:ascii="Times New Roman" w:hAnsi="Times New Roman" w:eastAsia="楷体_GB2312"/>
          <w:color w:val="000000"/>
          <w:sz w:val="32"/>
          <w:szCs w:val="32"/>
          <w:shd w:val="clear" w:color="auto" w:fill="FFFFFF"/>
        </w:rPr>
        <w:t>4</w:t>
      </w:r>
      <w:r>
        <w:rPr>
          <w:rFonts w:ascii="Times New Roman" w:hAnsi="Times New Roman" w:eastAsia="仿宋_GB2312"/>
          <w:sz w:val="32"/>
          <w:szCs w:val="32"/>
        </w:rPr>
        <w:t>．</w:t>
      </w:r>
      <w:r>
        <w:rPr>
          <w:rFonts w:ascii="Times New Roman" w:hAnsi="Times New Roman" w:eastAsia="楷体_GB2312"/>
          <w:color w:val="000000"/>
          <w:sz w:val="32"/>
          <w:szCs w:val="32"/>
          <w:shd w:val="clear" w:color="auto" w:fill="FFFFFF"/>
          <w:lang w:val="zh-CN"/>
        </w:rPr>
        <w:t>资产管理。</w:t>
      </w:r>
    </w:p>
    <w:p>
      <w:pPr>
        <w:spacing w:line="578" w:lineRule="exact"/>
        <w:ind w:firstLine="640"/>
        <w:contextualSpacing/>
        <w:jc w:val="left"/>
        <w:rPr>
          <w:rFonts w:ascii="Times New Roman" w:hAnsi="Times New Roman" w:eastAsia="仿宋_GB2312"/>
          <w:sz w:val="32"/>
          <w:szCs w:val="32"/>
          <w:lang w:val="zh-CN"/>
        </w:rPr>
      </w:pPr>
      <w:r>
        <w:rPr>
          <w:rFonts w:ascii="Times New Roman" w:hAnsi="Times New Roman" w:eastAsia="仿宋_GB2312"/>
          <w:sz w:val="32"/>
          <w:szCs w:val="32"/>
          <w:lang w:val="zh-CN"/>
        </w:rPr>
        <w:t>2023年，</w:t>
      </w:r>
      <w:r>
        <w:rPr>
          <w:rFonts w:hint="eastAsia" w:ascii="Times New Roman" w:hAnsi="Times New Roman" w:eastAsia="仿宋_GB2312"/>
          <w:sz w:val="32"/>
          <w:szCs w:val="32"/>
          <w:lang w:val="zh-CN"/>
        </w:rPr>
        <w:t>县</w:t>
      </w:r>
      <w:r>
        <w:rPr>
          <w:rFonts w:ascii="Times New Roman" w:hAnsi="Times New Roman" w:eastAsia="仿宋_GB2312"/>
          <w:sz w:val="32"/>
          <w:szCs w:val="32"/>
          <w:lang w:val="zh-CN"/>
        </w:rPr>
        <w:t>文广旅局部门人均资产变化率、资产利用率、资产盘活率等指标与人员数量、业务量等匹配。</w:t>
      </w:r>
      <w:r>
        <w:rPr>
          <w:rFonts w:hint="eastAsia" w:ascii="Times New Roman" w:hAnsi="Times New Roman" w:eastAsia="仿宋_GB2312"/>
          <w:sz w:val="32"/>
          <w:szCs w:val="32"/>
          <w:lang w:val="zh-CN"/>
        </w:rPr>
        <w:t>县</w:t>
      </w:r>
      <w:r>
        <w:rPr>
          <w:rFonts w:ascii="Times New Roman" w:hAnsi="Times New Roman" w:eastAsia="仿宋_GB2312"/>
          <w:sz w:val="32"/>
          <w:szCs w:val="32"/>
          <w:lang w:val="zh-CN"/>
        </w:rPr>
        <w:t>文广旅局部门在资产管理方面一是建立详细的资产登记台账，记录资产的基本信息，如名称、规格、购置日期、价值等；二是根据业务需求和发展规划制定资产购置预算，按照规定的采购流程进行资产采购，确保采购的资产符合质量和性价比要求；三是资产的日常管理，包括合理存放、维护和保养，制定使用规则和流程，定期对资产进行盘点清查；四是对资产进行折旧计提和处置，确保资产价值的最大化回收。</w:t>
      </w:r>
    </w:p>
    <w:p>
      <w:pPr>
        <w:spacing w:line="578" w:lineRule="exact"/>
        <w:ind w:firstLine="640"/>
        <w:contextualSpacing/>
        <w:jc w:val="left"/>
        <w:rPr>
          <w:rFonts w:ascii="Times New Roman" w:hAnsi="Times New Roman" w:eastAsia="楷体_GB2312"/>
          <w:color w:val="000000"/>
          <w:sz w:val="32"/>
          <w:szCs w:val="32"/>
          <w:shd w:val="clear" w:color="auto" w:fill="FFFFFF"/>
          <w:lang w:val="zh-CN"/>
        </w:rPr>
      </w:pPr>
      <w:r>
        <w:rPr>
          <w:rFonts w:ascii="Times New Roman" w:hAnsi="Times New Roman" w:eastAsia="楷体_GB2312"/>
          <w:color w:val="000000"/>
          <w:sz w:val="32"/>
          <w:szCs w:val="32"/>
          <w:shd w:val="clear" w:color="auto" w:fill="FFFFFF"/>
        </w:rPr>
        <w:t>5</w:t>
      </w:r>
      <w:r>
        <w:rPr>
          <w:rFonts w:ascii="Times New Roman" w:hAnsi="Times New Roman" w:eastAsia="仿宋_GB2312"/>
          <w:sz w:val="32"/>
          <w:szCs w:val="32"/>
        </w:rPr>
        <w:t>．</w:t>
      </w:r>
      <w:r>
        <w:rPr>
          <w:rFonts w:ascii="Times New Roman" w:hAnsi="Times New Roman" w:eastAsia="楷体_GB2312"/>
          <w:color w:val="000000"/>
          <w:sz w:val="32"/>
          <w:szCs w:val="32"/>
          <w:shd w:val="clear" w:color="auto" w:fill="FFFFFF"/>
          <w:lang w:val="zh-CN"/>
        </w:rPr>
        <w:t>采购管理。</w:t>
      </w:r>
    </w:p>
    <w:p>
      <w:pPr>
        <w:spacing w:line="578" w:lineRule="exact"/>
        <w:ind w:firstLine="640"/>
        <w:contextualSpacing/>
        <w:jc w:val="left"/>
        <w:rPr>
          <w:rFonts w:ascii="Times New Roman" w:hAnsi="Times New Roman" w:eastAsia="楷体_GB2312"/>
          <w:color w:val="000000"/>
          <w:sz w:val="32"/>
          <w:szCs w:val="32"/>
          <w:shd w:val="clear" w:color="auto" w:fill="FFFFFF"/>
          <w:lang w:val="zh-CN"/>
        </w:rPr>
      </w:pPr>
      <w:r>
        <w:rPr>
          <w:rFonts w:ascii="Times New Roman" w:hAnsi="Times New Roman" w:eastAsia="仿宋_GB2312"/>
          <w:sz w:val="32"/>
          <w:szCs w:val="32"/>
        </w:rPr>
        <w:t>2023年度，</w:t>
      </w:r>
      <w:r>
        <w:rPr>
          <w:rStyle w:val="36"/>
          <w:rFonts w:hint="eastAsia" w:ascii="Times New Roman" w:hAnsi="Times New Roman" w:eastAsia="仿宋"/>
          <w:b w:val="0"/>
          <w:bCs/>
          <w:color w:val="000000"/>
          <w:sz w:val="32"/>
          <w:szCs w:val="32"/>
          <w:lang w:eastAsia="zh-CN"/>
        </w:rPr>
        <w:t>县</w:t>
      </w:r>
      <w:r>
        <w:rPr>
          <w:rStyle w:val="36"/>
          <w:rFonts w:ascii="Times New Roman" w:hAnsi="Times New Roman" w:eastAsia="仿宋"/>
          <w:b w:val="0"/>
          <w:bCs/>
          <w:color w:val="000000"/>
          <w:sz w:val="32"/>
          <w:szCs w:val="32"/>
        </w:rPr>
        <w:t>文广旅局部门</w:t>
      </w:r>
      <w:r>
        <w:rPr>
          <w:rFonts w:ascii="Times New Roman" w:hAnsi="Times New Roman" w:eastAsia="仿宋_GB2312"/>
          <w:sz w:val="32"/>
          <w:szCs w:val="32"/>
        </w:rPr>
        <w:t>政府采购支出总额598.44万元，其中：政府采购货物支出196.62万元、政府采购服务支出401.82万元。授予中小企业合同金额367.32万元，占政府采购支出总额的61.38%，其中：授予小微企业合同金额39.7万元，占政府采购支出总额的6.63%。采购管理上，严格执行支持中小企业纾困解难、助力经济平稳健康发展。</w:t>
      </w:r>
    </w:p>
    <w:p>
      <w:pPr>
        <w:widowControl/>
        <w:spacing w:line="578" w:lineRule="exact"/>
        <w:ind w:firstLine="643"/>
        <w:contextualSpacing/>
        <w:jc w:val="left"/>
        <w:rPr>
          <w:rFonts w:ascii="Times New Roman" w:hAnsi="Times New Roman" w:eastAsia="仿宋_GB2312"/>
          <w:sz w:val="32"/>
          <w:szCs w:val="32"/>
        </w:rPr>
      </w:pPr>
      <w:r>
        <w:rPr>
          <w:rFonts w:ascii="Times New Roman" w:hAnsi="Times New Roman" w:eastAsia="楷体_GB2312"/>
          <w:b/>
          <w:bCs/>
          <w:color w:val="000000"/>
          <w:sz w:val="32"/>
          <w:szCs w:val="32"/>
          <w:shd w:val="clear" w:color="auto" w:fill="FFFFFF"/>
          <w:lang w:val="zh-CN"/>
        </w:rPr>
        <w:t>（二）部门预算项目绩效分析。</w:t>
      </w:r>
    </w:p>
    <w:p>
      <w:pPr>
        <w:widowControl/>
        <w:spacing w:line="578" w:lineRule="exact"/>
        <w:ind w:firstLine="640"/>
        <w:contextualSpacing/>
        <w:jc w:val="left"/>
        <w:rPr>
          <w:rFonts w:ascii="Times New Roman" w:hAnsi="Times New Roman" w:eastAsia="仿宋_GB2312"/>
          <w:sz w:val="32"/>
          <w:szCs w:val="32"/>
        </w:rPr>
      </w:pPr>
      <w:r>
        <w:rPr>
          <w:rFonts w:hint="eastAsia" w:ascii="Times New Roman" w:hAnsi="Times New Roman" w:eastAsia="仿宋_GB2312"/>
          <w:sz w:val="32"/>
          <w:szCs w:val="32"/>
          <w:lang w:eastAsia="zh-CN"/>
        </w:rPr>
        <w:t>县</w:t>
      </w:r>
      <w:r>
        <w:rPr>
          <w:rFonts w:ascii="Times New Roman" w:hAnsi="Times New Roman" w:eastAsia="仿宋_GB2312"/>
          <w:sz w:val="32"/>
          <w:szCs w:val="32"/>
        </w:rPr>
        <w:t>文广旅局部门坚持“突出重点、择优扶持、专款专用、保证效益”的原则，按照</w:t>
      </w:r>
      <w:r>
        <w:rPr>
          <w:rFonts w:hint="eastAsia" w:ascii="Times New Roman" w:hAnsi="Times New Roman" w:eastAsia="仿宋_GB2312"/>
          <w:sz w:val="32"/>
          <w:szCs w:val="32"/>
          <w:lang w:eastAsia="zh-CN"/>
        </w:rPr>
        <w:t>县</w:t>
      </w:r>
      <w:r>
        <w:rPr>
          <w:rFonts w:ascii="Times New Roman" w:hAnsi="Times New Roman" w:eastAsia="仿宋_GB2312"/>
          <w:sz w:val="32"/>
          <w:szCs w:val="32"/>
        </w:rPr>
        <w:t>委、</w:t>
      </w:r>
      <w:r>
        <w:rPr>
          <w:rFonts w:hint="eastAsia" w:ascii="Times New Roman" w:hAnsi="Times New Roman" w:eastAsia="仿宋_GB2312"/>
          <w:sz w:val="32"/>
          <w:szCs w:val="32"/>
          <w:lang w:eastAsia="zh-CN"/>
        </w:rPr>
        <w:t>县</w:t>
      </w:r>
      <w:r>
        <w:rPr>
          <w:rFonts w:ascii="Times New Roman" w:hAnsi="Times New Roman" w:eastAsia="仿宋_GB2312"/>
          <w:sz w:val="32"/>
          <w:szCs w:val="32"/>
        </w:rPr>
        <w:t>政府安排部署，结合重点工作任务分工进行申报、分配及使用项目资金。项目内容及绩效结合文化旅游战略目标、年度工作目标以及</w:t>
      </w:r>
      <w:r>
        <w:rPr>
          <w:rFonts w:hint="eastAsia" w:ascii="Times New Roman" w:hAnsi="Times New Roman" w:eastAsia="仿宋_GB2312"/>
          <w:sz w:val="32"/>
          <w:szCs w:val="32"/>
          <w:lang w:eastAsia="zh-CN"/>
        </w:rPr>
        <w:t>县</w:t>
      </w:r>
      <w:r>
        <w:rPr>
          <w:rFonts w:ascii="Times New Roman" w:hAnsi="Times New Roman" w:eastAsia="仿宋_GB2312"/>
          <w:sz w:val="32"/>
          <w:szCs w:val="32"/>
        </w:rPr>
        <w:t>委、</w:t>
      </w:r>
      <w:r>
        <w:rPr>
          <w:rFonts w:hint="eastAsia" w:ascii="Times New Roman" w:hAnsi="Times New Roman" w:eastAsia="仿宋_GB2312"/>
          <w:sz w:val="32"/>
          <w:szCs w:val="32"/>
          <w:lang w:eastAsia="zh-CN"/>
        </w:rPr>
        <w:t>县</w:t>
      </w:r>
      <w:r>
        <w:rPr>
          <w:rFonts w:ascii="Times New Roman" w:hAnsi="Times New Roman" w:eastAsia="仿宋_GB2312"/>
          <w:sz w:val="32"/>
          <w:szCs w:val="32"/>
        </w:rPr>
        <w:t>政府确定的重点文化旅游工作部署，符合实际情况，项目预算及绩效目标合理可行。</w:t>
      </w:r>
    </w:p>
    <w:p>
      <w:pPr>
        <w:widowControl/>
        <w:spacing w:line="578" w:lineRule="exact"/>
        <w:ind w:firstLine="640"/>
        <w:contextualSpacing/>
        <w:jc w:val="left"/>
        <w:rPr>
          <w:rFonts w:ascii="Times New Roman" w:hAnsi="Times New Roman" w:eastAsia="仿宋_GB2312"/>
          <w:sz w:val="32"/>
          <w:szCs w:val="32"/>
          <w:lang w:val="zh-CN"/>
        </w:rPr>
      </w:pPr>
      <w:r>
        <w:rPr>
          <w:rFonts w:ascii="Times New Roman" w:hAnsi="Times New Roman" w:eastAsia="仿宋_GB2312"/>
          <w:sz w:val="32"/>
          <w:szCs w:val="32"/>
        </w:rPr>
        <w:t>常年项目绩效分析。</w:t>
      </w:r>
      <w:r>
        <w:rPr>
          <w:rFonts w:ascii="Times New Roman" w:hAnsi="Times New Roman" w:eastAsia="仿宋_GB2312"/>
          <w:sz w:val="32"/>
          <w:szCs w:val="32"/>
          <w:lang w:val="zh-CN"/>
        </w:rPr>
        <w:t>该类项目总数</w:t>
      </w:r>
      <w:r>
        <w:rPr>
          <w:rFonts w:hint="eastAsia" w:ascii="Times New Roman" w:hAnsi="Times New Roman" w:eastAsia="仿宋_GB2312"/>
          <w:sz w:val="32"/>
          <w:szCs w:val="32"/>
          <w:lang w:val="en-US" w:eastAsia="zh-CN"/>
        </w:rPr>
        <w:t>4</w:t>
      </w:r>
      <w:r>
        <w:rPr>
          <w:rFonts w:ascii="Times New Roman" w:hAnsi="Times New Roman" w:eastAsia="仿宋_GB2312"/>
          <w:sz w:val="32"/>
          <w:szCs w:val="32"/>
          <w:lang w:val="zh-CN"/>
        </w:rPr>
        <w:t>个，涉及预算总金额</w:t>
      </w:r>
      <w:r>
        <w:rPr>
          <w:rFonts w:hint="eastAsia" w:ascii="Times New Roman" w:hAnsi="Times New Roman" w:eastAsia="仿宋_GB2312"/>
          <w:sz w:val="32"/>
          <w:szCs w:val="32"/>
          <w:lang w:val="en-US" w:eastAsia="zh-CN"/>
        </w:rPr>
        <w:t>315.14</w:t>
      </w:r>
      <w:r>
        <w:rPr>
          <w:rFonts w:ascii="Times New Roman" w:hAnsi="Times New Roman" w:eastAsia="仿宋_GB2312"/>
          <w:sz w:val="32"/>
          <w:szCs w:val="32"/>
          <w:lang w:val="zh-CN"/>
        </w:rPr>
        <w:t>万元，1—1</w:t>
      </w:r>
      <w:r>
        <w:rPr>
          <w:rFonts w:ascii="Times New Roman" w:hAnsi="Times New Roman" w:eastAsia="仿宋_GB2312"/>
          <w:sz w:val="32"/>
          <w:szCs w:val="32"/>
        </w:rPr>
        <w:t>2</w:t>
      </w:r>
      <w:r>
        <w:rPr>
          <w:rFonts w:ascii="Times New Roman" w:hAnsi="Times New Roman" w:eastAsia="仿宋_GB2312"/>
          <w:sz w:val="32"/>
          <w:szCs w:val="32"/>
          <w:lang w:val="zh-CN"/>
        </w:rPr>
        <w:t>月预算执行总体进度为</w:t>
      </w:r>
      <w:r>
        <w:rPr>
          <w:rFonts w:ascii="Times New Roman" w:hAnsi="Times New Roman" w:eastAsia="仿宋_GB2312"/>
          <w:sz w:val="32"/>
          <w:szCs w:val="32"/>
        </w:rPr>
        <w:t>100</w:t>
      </w:r>
      <w:r>
        <w:rPr>
          <w:rFonts w:ascii="Times New Roman" w:hAnsi="Times New Roman" w:eastAsia="仿宋_GB2312"/>
          <w:sz w:val="32"/>
          <w:szCs w:val="32"/>
          <w:lang w:val="zh-CN"/>
        </w:rPr>
        <w:t>%，其中：预算结余率大于</w:t>
      </w:r>
      <w:r>
        <w:rPr>
          <w:rFonts w:ascii="Times New Roman" w:hAnsi="Times New Roman" w:eastAsia="仿宋_GB2312"/>
          <w:sz w:val="32"/>
          <w:szCs w:val="32"/>
        </w:rPr>
        <w:t>10%</w:t>
      </w:r>
      <w:r>
        <w:rPr>
          <w:rFonts w:ascii="Times New Roman" w:hAnsi="Times New Roman" w:eastAsia="仿宋_GB2312"/>
          <w:sz w:val="32"/>
          <w:szCs w:val="32"/>
          <w:lang w:val="zh-CN"/>
        </w:rPr>
        <w:t>的项目共计</w:t>
      </w:r>
      <w:r>
        <w:rPr>
          <w:rFonts w:ascii="Times New Roman" w:hAnsi="Times New Roman" w:eastAsia="仿宋_GB2312"/>
          <w:sz w:val="32"/>
          <w:szCs w:val="32"/>
        </w:rPr>
        <w:t>0</w:t>
      </w:r>
      <w:r>
        <w:rPr>
          <w:rFonts w:ascii="Times New Roman" w:hAnsi="Times New Roman" w:eastAsia="仿宋_GB2312"/>
          <w:sz w:val="32"/>
          <w:szCs w:val="32"/>
          <w:lang w:val="zh-CN"/>
        </w:rPr>
        <w:t>个。</w:t>
      </w:r>
    </w:p>
    <w:p>
      <w:pPr>
        <w:widowControl/>
        <w:spacing w:line="578" w:lineRule="exact"/>
        <w:ind w:firstLine="640"/>
        <w:contextualSpacing/>
        <w:jc w:val="left"/>
        <w:rPr>
          <w:rFonts w:ascii="Times New Roman" w:hAnsi="Times New Roman" w:eastAsia="仿宋_GB2312"/>
          <w:sz w:val="32"/>
          <w:szCs w:val="32"/>
          <w:lang w:val="zh-CN"/>
        </w:rPr>
      </w:pPr>
      <w:r>
        <w:rPr>
          <w:rFonts w:ascii="Times New Roman" w:hAnsi="Times New Roman" w:eastAsia="仿宋_GB2312"/>
          <w:sz w:val="32"/>
          <w:szCs w:val="32"/>
        </w:rPr>
        <w:t>阶段（一次性）项目绩效分析。</w:t>
      </w:r>
      <w:r>
        <w:rPr>
          <w:rFonts w:ascii="Times New Roman" w:hAnsi="Times New Roman" w:eastAsia="仿宋_GB2312"/>
          <w:sz w:val="32"/>
          <w:szCs w:val="32"/>
          <w:lang w:val="zh-CN"/>
        </w:rPr>
        <w:t>该类项目总数</w:t>
      </w:r>
      <w:r>
        <w:rPr>
          <w:rFonts w:hint="eastAsia" w:ascii="Times New Roman" w:hAnsi="Times New Roman" w:eastAsia="仿宋_GB2312"/>
          <w:sz w:val="32"/>
          <w:szCs w:val="32"/>
          <w:lang w:val="en-US" w:eastAsia="zh-CN"/>
        </w:rPr>
        <w:t>27</w:t>
      </w:r>
      <w:r>
        <w:rPr>
          <w:rFonts w:ascii="Times New Roman" w:hAnsi="Times New Roman" w:eastAsia="仿宋_GB2312"/>
          <w:sz w:val="32"/>
          <w:szCs w:val="32"/>
          <w:lang w:val="zh-CN"/>
        </w:rPr>
        <w:t>个，涉及预算总金额</w:t>
      </w:r>
      <w:r>
        <w:rPr>
          <w:rFonts w:hint="eastAsia" w:ascii="Times New Roman" w:hAnsi="Times New Roman" w:eastAsia="仿宋_GB2312"/>
          <w:sz w:val="32"/>
          <w:szCs w:val="32"/>
          <w:lang w:val="en-US" w:eastAsia="zh-CN"/>
        </w:rPr>
        <w:t>1212.4</w:t>
      </w:r>
      <w:r>
        <w:rPr>
          <w:rFonts w:ascii="Times New Roman" w:hAnsi="Times New Roman" w:eastAsia="仿宋_GB2312"/>
          <w:sz w:val="32"/>
          <w:szCs w:val="32"/>
          <w:lang w:val="zh-CN"/>
        </w:rPr>
        <w:t>万元，1—1</w:t>
      </w:r>
      <w:r>
        <w:rPr>
          <w:rFonts w:ascii="Times New Roman" w:hAnsi="Times New Roman" w:eastAsia="仿宋_GB2312"/>
          <w:sz w:val="32"/>
          <w:szCs w:val="32"/>
        </w:rPr>
        <w:t>2</w:t>
      </w:r>
      <w:r>
        <w:rPr>
          <w:rFonts w:ascii="Times New Roman" w:hAnsi="Times New Roman" w:eastAsia="仿宋_GB2312"/>
          <w:sz w:val="32"/>
          <w:szCs w:val="32"/>
          <w:lang w:val="zh-CN"/>
        </w:rPr>
        <w:t>月预算执行总体进度为</w:t>
      </w:r>
      <w:r>
        <w:rPr>
          <w:rFonts w:ascii="Times New Roman" w:hAnsi="Times New Roman" w:eastAsia="仿宋_GB2312"/>
          <w:sz w:val="32"/>
          <w:szCs w:val="32"/>
        </w:rPr>
        <w:t>100</w:t>
      </w:r>
      <w:r>
        <w:rPr>
          <w:rFonts w:ascii="Times New Roman" w:hAnsi="Times New Roman" w:eastAsia="仿宋_GB2312"/>
          <w:sz w:val="32"/>
          <w:szCs w:val="32"/>
          <w:lang w:val="zh-CN"/>
        </w:rPr>
        <w:t>%，其中：预算结余率大于</w:t>
      </w:r>
      <w:r>
        <w:rPr>
          <w:rFonts w:ascii="Times New Roman" w:hAnsi="Times New Roman" w:eastAsia="仿宋_GB2312"/>
          <w:sz w:val="32"/>
          <w:szCs w:val="32"/>
        </w:rPr>
        <w:t>10%</w:t>
      </w:r>
      <w:r>
        <w:rPr>
          <w:rFonts w:ascii="Times New Roman" w:hAnsi="Times New Roman" w:eastAsia="仿宋_GB2312"/>
          <w:sz w:val="32"/>
          <w:szCs w:val="32"/>
          <w:lang w:val="zh-CN"/>
        </w:rPr>
        <w:t>的项目共计</w:t>
      </w:r>
      <w:r>
        <w:rPr>
          <w:rFonts w:ascii="Times New Roman" w:hAnsi="Times New Roman" w:eastAsia="仿宋_GB2312"/>
          <w:sz w:val="32"/>
          <w:szCs w:val="32"/>
        </w:rPr>
        <w:t>0</w:t>
      </w:r>
      <w:r>
        <w:rPr>
          <w:rFonts w:ascii="Times New Roman" w:hAnsi="Times New Roman" w:eastAsia="仿宋_GB2312"/>
          <w:sz w:val="32"/>
          <w:szCs w:val="32"/>
          <w:lang w:val="zh-CN"/>
        </w:rPr>
        <w:t>个。</w:t>
      </w:r>
    </w:p>
    <w:p>
      <w:pPr>
        <w:spacing w:line="578" w:lineRule="exact"/>
        <w:ind w:firstLine="640"/>
        <w:contextualSpacing/>
        <w:jc w:val="left"/>
        <w:rPr>
          <w:rFonts w:ascii="Times New Roman" w:hAnsi="Times New Roman" w:eastAsia="楷体_GB2312"/>
          <w:color w:val="000000"/>
          <w:sz w:val="32"/>
          <w:szCs w:val="32"/>
          <w:shd w:val="clear" w:color="auto" w:fill="FFFFFF"/>
          <w:lang w:val="zh-CN"/>
        </w:rPr>
      </w:pPr>
      <w:r>
        <w:rPr>
          <w:rFonts w:ascii="Times New Roman" w:hAnsi="Times New Roman" w:eastAsia="楷体_GB2312"/>
          <w:color w:val="000000"/>
          <w:sz w:val="32"/>
          <w:szCs w:val="32"/>
          <w:shd w:val="clear" w:color="auto" w:fill="FFFFFF"/>
        </w:rPr>
        <w:t>1</w:t>
      </w:r>
      <w:r>
        <w:rPr>
          <w:rFonts w:ascii="Times New Roman" w:hAnsi="Times New Roman" w:eastAsia="仿宋_GB2312"/>
          <w:sz w:val="32"/>
          <w:szCs w:val="32"/>
        </w:rPr>
        <w:t>．</w:t>
      </w:r>
      <w:r>
        <w:rPr>
          <w:rFonts w:ascii="Times New Roman" w:hAnsi="Times New Roman" w:eastAsia="楷体_GB2312"/>
          <w:color w:val="000000"/>
          <w:sz w:val="32"/>
          <w:szCs w:val="32"/>
          <w:shd w:val="clear" w:color="auto" w:fill="FFFFFF"/>
          <w:lang w:val="zh-CN"/>
        </w:rPr>
        <w:t>项目决策。</w:t>
      </w:r>
    </w:p>
    <w:p>
      <w:pPr>
        <w:spacing w:line="578" w:lineRule="exact"/>
        <w:ind w:firstLine="640"/>
        <w:contextualSpacing/>
        <w:jc w:val="left"/>
        <w:rPr>
          <w:rFonts w:ascii="Times New Roman" w:hAnsi="Times New Roman" w:eastAsia="楷体_GB2312"/>
          <w:color w:val="000000"/>
          <w:sz w:val="32"/>
          <w:szCs w:val="32"/>
          <w:shd w:val="clear" w:color="auto" w:fill="FFFFFF"/>
          <w:lang w:val="zh-CN"/>
        </w:rPr>
      </w:pPr>
      <w:r>
        <w:rPr>
          <w:rStyle w:val="36"/>
          <w:rFonts w:ascii="Times New Roman" w:hAnsi="Times New Roman" w:eastAsia="仿宋"/>
          <w:b w:val="0"/>
          <w:bCs/>
          <w:color w:val="000000"/>
          <w:sz w:val="32"/>
          <w:szCs w:val="32"/>
        </w:rPr>
        <w:t>2023年度各项工作立项依据充分、程序合规、资金使用计划可行、审批手续齐全。</w:t>
      </w:r>
      <w:r>
        <w:rPr>
          <w:rStyle w:val="36"/>
          <w:rFonts w:hint="eastAsia" w:ascii="Times New Roman" w:hAnsi="Times New Roman" w:eastAsia="仿宋"/>
          <w:b w:val="0"/>
          <w:bCs/>
          <w:color w:val="000000"/>
          <w:sz w:val="32"/>
          <w:szCs w:val="32"/>
          <w:lang w:eastAsia="zh-CN"/>
        </w:rPr>
        <w:t>县</w:t>
      </w:r>
      <w:r>
        <w:rPr>
          <w:rStyle w:val="36"/>
          <w:rFonts w:ascii="Times New Roman" w:hAnsi="Times New Roman" w:eastAsia="仿宋"/>
          <w:b w:val="0"/>
          <w:bCs/>
          <w:color w:val="000000"/>
          <w:sz w:val="32"/>
          <w:szCs w:val="32"/>
        </w:rPr>
        <w:t>文广旅局部门在制定2023年度资金预算时，明确了文化旅游广播电视等发展工作思路、发展目标和工作任务等。</w:t>
      </w:r>
    </w:p>
    <w:p>
      <w:pPr>
        <w:spacing w:line="578" w:lineRule="exact"/>
        <w:ind w:firstLine="640"/>
        <w:contextualSpacing/>
        <w:jc w:val="left"/>
        <w:rPr>
          <w:rFonts w:ascii="Times New Roman" w:hAnsi="Times New Roman" w:eastAsia="楷体_GB2312"/>
          <w:color w:val="000000"/>
          <w:sz w:val="32"/>
          <w:szCs w:val="32"/>
          <w:shd w:val="clear" w:color="auto" w:fill="FFFFFF"/>
          <w:lang w:val="zh-CN"/>
        </w:rPr>
      </w:pPr>
      <w:r>
        <w:rPr>
          <w:rFonts w:ascii="Times New Roman" w:hAnsi="Times New Roman" w:eastAsia="楷体_GB2312"/>
          <w:color w:val="000000"/>
          <w:sz w:val="32"/>
          <w:szCs w:val="32"/>
          <w:shd w:val="clear" w:color="auto" w:fill="FFFFFF"/>
        </w:rPr>
        <w:t>2</w:t>
      </w:r>
      <w:r>
        <w:rPr>
          <w:rFonts w:ascii="Times New Roman" w:hAnsi="Times New Roman" w:eastAsia="仿宋_GB2312"/>
          <w:sz w:val="32"/>
          <w:szCs w:val="32"/>
        </w:rPr>
        <w:t>．</w:t>
      </w:r>
      <w:r>
        <w:rPr>
          <w:rFonts w:ascii="Times New Roman" w:hAnsi="Times New Roman" w:eastAsia="楷体_GB2312"/>
          <w:color w:val="000000"/>
          <w:sz w:val="32"/>
          <w:szCs w:val="32"/>
          <w:shd w:val="clear" w:color="auto" w:fill="FFFFFF"/>
        </w:rPr>
        <w:t>项目执行</w:t>
      </w:r>
      <w:r>
        <w:rPr>
          <w:rFonts w:ascii="Times New Roman" w:hAnsi="Times New Roman" w:eastAsia="楷体_GB2312"/>
          <w:color w:val="000000"/>
          <w:sz w:val="32"/>
          <w:szCs w:val="32"/>
          <w:shd w:val="clear" w:color="auto" w:fill="FFFFFF"/>
          <w:lang w:val="zh-CN"/>
        </w:rPr>
        <w:t>。</w:t>
      </w:r>
    </w:p>
    <w:p>
      <w:pPr>
        <w:spacing w:line="600" w:lineRule="exact"/>
        <w:ind w:firstLine="640"/>
        <w:jc w:val="left"/>
        <w:rPr>
          <w:rFonts w:ascii="Times New Roman" w:hAnsi="Times New Roman"/>
          <w:szCs w:val="32"/>
        </w:rPr>
      </w:pPr>
      <w:r>
        <w:rPr>
          <w:rStyle w:val="36"/>
          <w:rFonts w:ascii="Times New Roman" w:hAnsi="Times New Roman" w:eastAsia="仿宋"/>
          <w:b w:val="0"/>
          <w:bCs/>
          <w:color w:val="000000"/>
          <w:sz w:val="32"/>
          <w:szCs w:val="32"/>
        </w:rPr>
        <w:t>项目组织机构健全，分工明确，资金管理制度健全，资金申报、评审、批准、下达程序规范，制定了资金分配方案，资金分配合理，资金使用合规，资金到位率100%。项目严格按照绩效目标及</w:t>
      </w:r>
      <w:r>
        <w:rPr>
          <w:rStyle w:val="36"/>
          <w:rFonts w:ascii="Times New Roman" w:hAnsi="Times New Roman" w:eastAsia="仿宋"/>
          <w:b w:val="0"/>
          <w:bCs/>
          <w:color w:val="000000"/>
          <w:sz w:val="32"/>
        </w:rPr>
        <w:t>工作计划实施，根据资金预算有计划开展项目工作，有效实施进度。各项目实施均严格执行相关法律法规及项目管理制度，涉及招投标、政府采购、项目公示制等均严格按照相关规定执行</w:t>
      </w:r>
      <w:r>
        <w:rPr>
          <w:rFonts w:ascii="Times New Roman" w:hAnsi="Times New Roman"/>
          <w:szCs w:val="32"/>
        </w:rPr>
        <w:t>。</w:t>
      </w:r>
    </w:p>
    <w:p>
      <w:pPr>
        <w:spacing w:line="578" w:lineRule="exact"/>
        <w:ind w:firstLine="640"/>
        <w:contextualSpacing/>
        <w:jc w:val="left"/>
        <w:rPr>
          <w:rFonts w:ascii="Times New Roman" w:hAnsi="Times New Roman" w:eastAsia="楷体_GB2312"/>
          <w:color w:val="000000"/>
          <w:sz w:val="32"/>
          <w:szCs w:val="32"/>
          <w:shd w:val="clear" w:color="auto" w:fill="FFFFFF"/>
          <w:lang w:val="zh-CN"/>
        </w:rPr>
      </w:pPr>
      <w:r>
        <w:rPr>
          <w:rFonts w:ascii="Times New Roman" w:hAnsi="Times New Roman" w:eastAsia="楷体_GB2312"/>
          <w:color w:val="000000"/>
          <w:sz w:val="32"/>
          <w:szCs w:val="32"/>
          <w:shd w:val="clear" w:color="auto" w:fill="FFFFFF"/>
        </w:rPr>
        <w:t>3</w:t>
      </w:r>
      <w:r>
        <w:rPr>
          <w:rFonts w:ascii="Times New Roman" w:hAnsi="Times New Roman" w:eastAsia="仿宋_GB2312"/>
          <w:sz w:val="32"/>
          <w:szCs w:val="32"/>
        </w:rPr>
        <w:t>．</w:t>
      </w:r>
      <w:r>
        <w:rPr>
          <w:rFonts w:ascii="Times New Roman" w:hAnsi="Times New Roman" w:eastAsia="楷体_GB2312"/>
          <w:color w:val="000000"/>
          <w:sz w:val="32"/>
          <w:szCs w:val="32"/>
          <w:shd w:val="clear" w:color="auto" w:fill="FFFFFF"/>
          <w:lang w:val="zh-CN"/>
        </w:rPr>
        <w:t>目标实现。</w:t>
      </w:r>
    </w:p>
    <w:p>
      <w:pPr>
        <w:numPr>
          <w:ilvl w:val="0"/>
          <w:numId w:val="0"/>
        </w:numPr>
        <w:ind w:firstLine="640"/>
        <w:rPr>
          <w:rFonts w:hint="eastAsia" w:ascii="仿宋_GB2312" w:eastAsia="仿宋_GB2312"/>
          <w:sz w:val="32"/>
          <w:szCs w:val="32"/>
          <w:lang w:val="en-US" w:eastAsia="zh-CN"/>
        </w:rPr>
      </w:pPr>
      <w:r>
        <w:rPr>
          <w:rStyle w:val="36"/>
          <w:rFonts w:ascii="Times New Roman" w:hAnsi="Times New Roman" w:eastAsia="仿宋"/>
          <w:b w:val="0"/>
          <w:bCs/>
          <w:color w:val="000000"/>
          <w:sz w:val="32"/>
          <w:szCs w:val="32"/>
        </w:rPr>
        <w:t>项目产出指标实际完成情况基本达到了预期设定的目标值，产出指标的完成情况较好。一是扎实推进共同富裕试验区建设，二是</w:t>
      </w:r>
      <w:r>
        <w:rPr>
          <w:rStyle w:val="36"/>
          <w:rFonts w:ascii="Times New Roman" w:hAnsi="Times New Roman" w:eastAsia="仿宋"/>
          <w:b w:val="0"/>
          <w:color w:val="000000"/>
          <w:sz w:val="32"/>
          <w:szCs w:val="32"/>
        </w:rPr>
        <w:t>高质量推进公共服务体系建设，三是</w:t>
      </w:r>
      <w:r>
        <w:rPr>
          <w:rStyle w:val="36"/>
          <w:rFonts w:ascii="Times New Roman" w:hAnsi="Times New Roman" w:eastAsia="仿宋"/>
          <w:b w:val="0"/>
          <w:bCs/>
          <w:color w:val="000000"/>
          <w:sz w:val="32"/>
          <w:szCs w:val="32"/>
        </w:rPr>
        <w:t>全面落实“服务业发展年”各项目标任务，四是以“夏季清凉 冬日暖阳”为媒实施引客入攀专项行动。</w:t>
      </w:r>
      <w:r>
        <w:rPr>
          <w:rFonts w:hint="eastAsia" w:ascii="仿宋_GB2312" w:eastAsia="仿宋_GB2312"/>
          <w:sz w:val="32"/>
          <w:szCs w:val="32"/>
          <w:lang w:val="en-US" w:eastAsia="zh-CN"/>
        </w:rPr>
        <w:t>文化、广播电视项目的实施进一步全面提升公共文化服务效能，确保我县公共文化活动的正常开展，为群众提供更好的公共文化服务，较好地满足了人民群众对基本文化生活的需求。天府旅游名县创建，更好地完善了我县的旅游基础设施，提高了我县的旅游知名度，更好的提供了更高的优质旅游资源。</w:t>
      </w:r>
    </w:p>
    <w:p>
      <w:pPr>
        <w:spacing w:line="578" w:lineRule="exact"/>
        <w:ind w:firstLine="640"/>
        <w:contextualSpacing/>
        <w:jc w:val="left"/>
        <w:rPr>
          <w:rStyle w:val="36"/>
          <w:rFonts w:ascii="Times New Roman" w:hAnsi="Times New Roman" w:eastAsia="仿宋"/>
          <w:b w:val="0"/>
          <w:bCs/>
          <w:color w:val="000000"/>
          <w:sz w:val="32"/>
          <w:szCs w:val="32"/>
        </w:rPr>
      </w:pPr>
      <w:r>
        <w:rPr>
          <w:rStyle w:val="36"/>
          <w:rFonts w:ascii="Times New Roman" w:hAnsi="Times New Roman" w:eastAsia="仿宋"/>
          <w:b w:val="0"/>
          <w:bCs/>
          <w:color w:val="000000"/>
          <w:sz w:val="32"/>
          <w:szCs w:val="32"/>
        </w:rPr>
        <w:t>2023年，</w:t>
      </w:r>
      <w:r>
        <w:rPr>
          <w:rStyle w:val="36"/>
          <w:rFonts w:hint="eastAsia" w:ascii="Times New Roman" w:hAnsi="Times New Roman" w:eastAsia="仿宋"/>
          <w:b w:val="0"/>
          <w:bCs/>
          <w:color w:val="000000"/>
          <w:sz w:val="32"/>
          <w:szCs w:val="32"/>
          <w:lang w:eastAsia="zh-CN"/>
        </w:rPr>
        <w:t>县</w:t>
      </w:r>
      <w:r>
        <w:rPr>
          <w:rStyle w:val="36"/>
          <w:rFonts w:ascii="Times New Roman" w:hAnsi="Times New Roman" w:eastAsia="仿宋"/>
          <w:b w:val="0"/>
          <w:bCs/>
          <w:color w:val="000000"/>
          <w:sz w:val="32"/>
          <w:szCs w:val="32"/>
        </w:rPr>
        <w:t>文广旅局紧紧围绕</w:t>
      </w:r>
      <w:r>
        <w:rPr>
          <w:rStyle w:val="36"/>
          <w:rFonts w:hint="eastAsia" w:ascii="Times New Roman" w:hAnsi="Times New Roman" w:eastAsia="仿宋"/>
          <w:b w:val="0"/>
          <w:bCs/>
          <w:color w:val="000000"/>
          <w:sz w:val="32"/>
          <w:szCs w:val="32"/>
          <w:lang w:eastAsia="zh-CN"/>
        </w:rPr>
        <w:t>县</w:t>
      </w:r>
      <w:r>
        <w:rPr>
          <w:rStyle w:val="36"/>
          <w:rFonts w:ascii="Times New Roman" w:hAnsi="Times New Roman" w:eastAsia="仿宋"/>
          <w:b w:val="0"/>
          <w:bCs/>
          <w:color w:val="000000"/>
          <w:sz w:val="32"/>
          <w:szCs w:val="32"/>
        </w:rPr>
        <w:t>委总体发展战略，坚持“以文塑旅，以旅彰文”发展理念，坚定信心、迎难而上，文广旅各项工作取得新进展。</w:t>
      </w:r>
    </w:p>
    <w:p>
      <w:pPr>
        <w:widowControl/>
        <w:spacing w:line="578" w:lineRule="exact"/>
        <w:ind w:firstLine="643"/>
        <w:contextualSpacing/>
        <w:jc w:val="left"/>
        <w:rPr>
          <w:rFonts w:ascii="Times New Roman" w:hAnsi="Times New Roman" w:eastAsia="楷体_GB2312"/>
          <w:b/>
          <w:bCs/>
          <w:color w:val="000000"/>
          <w:sz w:val="32"/>
          <w:szCs w:val="32"/>
          <w:shd w:val="clear" w:color="auto" w:fill="FFFFFF"/>
          <w:lang w:val="zh-CN"/>
        </w:rPr>
      </w:pPr>
      <w:r>
        <w:rPr>
          <w:rFonts w:ascii="Times New Roman" w:hAnsi="Times New Roman" w:eastAsia="楷体_GB2312"/>
          <w:b/>
          <w:bCs/>
          <w:color w:val="000000"/>
          <w:sz w:val="32"/>
          <w:szCs w:val="32"/>
          <w:shd w:val="clear" w:color="auto" w:fill="FFFFFF"/>
          <w:lang w:val="zh-CN"/>
        </w:rPr>
        <w:t>（三）重点领域绩效分析。</w:t>
      </w:r>
    </w:p>
    <w:p>
      <w:pPr>
        <w:spacing w:line="578" w:lineRule="exact"/>
        <w:ind w:firstLine="640"/>
        <w:contextualSpacing/>
        <w:jc w:val="left"/>
        <w:rPr>
          <w:rStyle w:val="36"/>
          <w:rFonts w:ascii="Times New Roman" w:hAnsi="Times New Roman" w:eastAsia="仿宋"/>
          <w:b w:val="0"/>
          <w:bCs/>
          <w:color w:val="000000"/>
          <w:sz w:val="32"/>
          <w:szCs w:val="32"/>
        </w:rPr>
      </w:pPr>
      <w:r>
        <w:rPr>
          <w:rStyle w:val="36"/>
          <w:rFonts w:ascii="Times New Roman" w:hAnsi="Times New Roman" w:eastAsia="仿宋"/>
          <w:b w:val="0"/>
          <w:bCs/>
          <w:color w:val="000000"/>
          <w:sz w:val="32"/>
          <w:szCs w:val="32"/>
        </w:rPr>
        <w:t>无。</w:t>
      </w:r>
    </w:p>
    <w:p>
      <w:pPr>
        <w:spacing w:line="600" w:lineRule="exact"/>
        <w:ind w:firstLine="643"/>
        <w:rPr>
          <w:rFonts w:ascii="Times New Roman" w:hAnsi="Times New Roman" w:eastAsia="楷体_GB2312"/>
          <w:b/>
          <w:bCs/>
          <w:color w:val="000000"/>
          <w:sz w:val="32"/>
          <w:szCs w:val="32"/>
          <w:shd w:val="clear" w:color="auto" w:fill="FFFFFF"/>
          <w:lang w:val="zh-CN"/>
        </w:rPr>
      </w:pPr>
      <w:r>
        <w:rPr>
          <w:rFonts w:ascii="Times New Roman" w:hAnsi="Times New Roman" w:eastAsia="楷体_GB2312"/>
          <w:b/>
          <w:bCs/>
          <w:color w:val="000000"/>
          <w:sz w:val="32"/>
          <w:szCs w:val="32"/>
          <w:shd w:val="clear" w:color="auto" w:fill="FFFFFF"/>
          <w:lang w:val="zh-CN"/>
        </w:rPr>
        <w:t>（四）绩效结果应用情况。</w:t>
      </w:r>
    </w:p>
    <w:p>
      <w:pPr>
        <w:widowControl/>
        <w:spacing w:line="578" w:lineRule="exact"/>
        <w:ind w:firstLine="640"/>
        <w:contextualSpacing/>
        <w:jc w:val="left"/>
        <w:rPr>
          <w:rFonts w:ascii="Times New Roman" w:hAnsi="Times New Roman" w:eastAsia="仿宋_GB2312"/>
          <w:sz w:val="32"/>
          <w:szCs w:val="32"/>
        </w:rPr>
      </w:pPr>
      <w:r>
        <w:rPr>
          <w:rStyle w:val="36"/>
          <w:rFonts w:ascii="Times New Roman" w:hAnsi="Times New Roman" w:eastAsia="仿宋"/>
          <w:b w:val="0"/>
          <w:bCs/>
          <w:color w:val="000000"/>
          <w:sz w:val="32"/>
          <w:szCs w:val="32"/>
        </w:rPr>
        <w:t>市文广旅局</w:t>
      </w:r>
      <w:r>
        <w:rPr>
          <w:rStyle w:val="36"/>
          <w:rFonts w:hint="eastAsia" w:ascii="Times New Roman" w:hAnsi="Times New Roman" w:eastAsia="仿宋"/>
          <w:b w:val="0"/>
          <w:bCs/>
          <w:color w:val="000000"/>
          <w:sz w:val="32"/>
          <w:szCs w:val="32"/>
        </w:rPr>
        <w:t>部门</w:t>
      </w:r>
      <w:r>
        <w:rPr>
          <w:rStyle w:val="36"/>
          <w:rFonts w:ascii="Times New Roman" w:hAnsi="Times New Roman" w:eastAsia="仿宋"/>
          <w:b w:val="0"/>
          <w:bCs/>
          <w:color w:val="000000"/>
          <w:sz w:val="32"/>
          <w:szCs w:val="32"/>
        </w:rPr>
        <w:t>预决算信息根据各项要求，及时</w:t>
      </w:r>
      <w:r>
        <w:rPr>
          <w:rStyle w:val="36"/>
          <w:rFonts w:hint="eastAsia" w:ascii="Times New Roman" w:hAnsi="Times New Roman" w:eastAsia="仿宋"/>
          <w:b w:val="0"/>
          <w:bCs/>
          <w:color w:val="000000"/>
          <w:sz w:val="32"/>
          <w:szCs w:val="32"/>
        </w:rPr>
        <w:t>进行</w:t>
      </w:r>
      <w:r>
        <w:rPr>
          <w:rStyle w:val="36"/>
          <w:rFonts w:ascii="Times New Roman" w:hAnsi="Times New Roman" w:eastAsia="仿宋"/>
          <w:b w:val="0"/>
          <w:bCs/>
          <w:color w:val="000000"/>
          <w:sz w:val="32"/>
          <w:szCs w:val="32"/>
        </w:rPr>
        <w:t>公开。</w:t>
      </w:r>
      <w:r>
        <w:rPr>
          <w:rFonts w:ascii="Times New Roman" w:hAnsi="Times New Roman" w:eastAsia="仿宋_GB2312"/>
          <w:sz w:val="32"/>
          <w:szCs w:val="32"/>
        </w:rPr>
        <w:t>根据财政预算资金绩效管理要求，我局高度重视绩效管理，将绩效管理工作贯穿于支出管理的事前、事中和事后的全过程，通过绩效评价结果了解财政资金在效率领域和公平领域中的配置结构是否合理，是否发挥了应有的作用，支出规模是否适当，总结财政支出实践中带有规律性的经验和教训，进一步改进工作，提高财政资源的配置效率。对部门绩效评价中存在的问题，督促落实整改措施，及时督促单位调整工作计划、绩效目标，加强单位财务管理，提高资金使用效益。</w:t>
      </w:r>
    </w:p>
    <w:p>
      <w:pPr>
        <w:widowControl/>
        <w:spacing w:line="578" w:lineRule="exact"/>
        <w:ind w:firstLine="640"/>
        <w:contextualSpacing/>
        <w:jc w:val="left"/>
        <w:rPr>
          <w:rFonts w:ascii="Times New Roman" w:hAnsi="Times New Roman" w:eastAsia="黑体"/>
          <w:color w:val="000000"/>
          <w:sz w:val="32"/>
          <w:szCs w:val="32"/>
          <w:shd w:val="clear" w:color="auto" w:fill="FFFFFF"/>
          <w:lang w:val="zh-CN"/>
        </w:rPr>
      </w:pPr>
      <w:r>
        <w:rPr>
          <w:rFonts w:ascii="Times New Roman" w:hAnsi="Times New Roman" w:eastAsia="黑体"/>
          <w:color w:val="000000"/>
          <w:sz w:val="32"/>
          <w:szCs w:val="32"/>
          <w:shd w:val="clear" w:color="auto" w:fill="FFFFFF"/>
          <w:lang w:val="zh-CN"/>
        </w:rPr>
        <w:t>四、评价结论及建议</w:t>
      </w:r>
    </w:p>
    <w:p>
      <w:pPr>
        <w:widowControl/>
        <w:spacing w:line="580" w:lineRule="exact"/>
        <w:ind w:firstLine="643"/>
        <w:contextualSpacing/>
        <w:jc w:val="left"/>
        <w:rPr>
          <w:rFonts w:ascii="Times New Roman" w:hAnsi="Times New Roman" w:eastAsia="楷体_GB2312"/>
          <w:b/>
          <w:bCs/>
          <w:color w:val="000000"/>
          <w:sz w:val="32"/>
          <w:szCs w:val="32"/>
          <w:shd w:val="clear" w:color="auto" w:fill="FFFFFF"/>
          <w:lang w:val="zh-CN"/>
        </w:rPr>
      </w:pPr>
      <w:r>
        <w:rPr>
          <w:rFonts w:ascii="Times New Roman" w:hAnsi="Times New Roman" w:eastAsia="楷体_GB2312"/>
          <w:b/>
          <w:bCs/>
          <w:color w:val="000000"/>
          <w:sz w:val="32"/>
          <w:szCs w:val="32"/>
          <w:shd w:val="clear" w:color="auto" w:fill="FFFFFF"/>
          <w:lang w:val="zh-CN"/>
        </w:rPr>
        <w:t>（一）评价结论。</w:t>
      </w:r>
    </w:p>
    <w:p>
      <w:pPr>
        <w:widowControl/>
        <w:spacing w:line="580" w:lineRule="exact"/>
        <w:ind w:firstLine="640"/>
        <w:contextualSpacing/>
        <w:jc w:val="left"/>
        <w:rPr>
          <w:rFonts w:ascii="Times New Roman" w:hAnsi="Times New Roman" w:eastAsia="仿宋_GB2312"/>
          <w:sz w:val="32"/>
          <w:szCs w:val="32"/>
        </w:rPr>
      </w:pPr>
      <w:r>
        <w:rPr>
          <w:rFonts w:ascii="Times New Roman" w:hAnsi="Times New Roman" w:eastAsia="仿宋_GB2312"/>
          <w:sz w:val="32"/>
          <w:szCs w:val="32"/>
        </w:rPr>
        <w:t>2023年度，</w:t>
      </w:r>
      <w:r>
        <w:rPr>
          <w:rFonts w:hint="eastAsia" w:ascii="Times New Roman" w:hAnsi="Times New Roman" w:eastAsia="仿宋_GB2312"/>
          <w:sz w:val="32"/>
          <w:szCs w:val="32"/>
          <w:lang w:eastAsia="zh-CN"/>
        </w:rPr>
        <w:t>县</w:t>
      </w:r>
      <w:r>
        <w:rPr>
          <w:rFonts w:ascii="Times New Roman" w:hAnsi="Times New Roman" w:eastAsia="仿宋_GB2312"/>
          <w:sz w:val="32"/>
          <w:szCs w:val="32"/>
        </w:rPr>
        <w:t>文广旅局部门</w:t>
      </w:r>
      <w:r>
        <w:rPr>
          <w:rFonts w:ascii="Times New Roman" w:hAnsi="Times New Roman" w:eastAsia="方正仿宋_GBK"/>
          <w:sz w:val="33"/>
          <w:szCs w:val="33"/>
        </w:rPr>
        <w:t>结合工作职能、评价重点及管理办法等要求，围绕预算编制、预算执行、支出绩效等方面进行总体评价，</w:t>
      </w:r>
      <w:r>
        <w:rPr>
          <w:rFonts w:ascii="Times New Roman" w:hAnsi="Times New Roman" w:eastAsia="仿宋_GB2312"/>
          <w:sz w:val="32"/>
          <w:szCs w:val="32"/>
        </w:rPr>
        <w:t>部门支出绩效指标达到了预期设定的目标值，总体绩效目标完成较好，绩效自评得分9</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分。</w:t>
      </w:r>
    </w:p>
    <w:p>
      <w:pPr>
        <w:widowControl/>
        <w:spacing w:line="578" w:lineRule="exact"/>
        <w:ind w:firstLine="643"/>
        <w:contextualSpacing/>
        <w:jc w:val="left"/>
        <w:rPr>
          <w:rFonts w:ascii="Times New Roman" w:hAnsi="Times New Roman" w:eastAsia="楷体_GB2312"/>
          <w:b/>
          <w:bCs/>
          <w:color w:val="000000"/>
          <w:sz w:val="32"/>
          <w:szCs w:val="32"/>
          <w:shd w:val="clear" w:color="auto" w:fill="FFFFFF"/>
          <w:lang w:val="zh-CN"/>
        </w:rPr>
      </w:pPr>
      <w:r>
        <w:rPr>
          <w:rFonts w:ascii="Times New Roman" w:hAnsi="Times New Roman" w:eastAsia="楷体_GB2312"/>
          <w:b/>
          <w:bCs/>
          <w:color w:val="000000"/>
          <w:sz w:val="32"/>
          <w:szCs w:val="32"/>
          <w:shd w:val="clear" w:color="auto" w:fill="FFFFFF"/>
          <w:lang w:val="zh-CN"/>
        </w:rPr>
        <w:t>（二）存在问题。</w:t>
      </w:r>
    </w:p>
    <w:p>
      <w:pPr>
        <w:widowControl/>
        <w:spacing w:line="578" w:lineRule="exact"/>
        <w:ind w:firstLine="640"/>
        <w:contextualSpacing/>
        <w:jc w:val="left"/>
        <w:rPr>
          <w:rFonts w:ascii="Times New Roman" w:hAnsi="Times New Roman" w:eastAsia="仿宋_GB2312"/>
          <w:sz w:val="32"/>
          <w:szCs w:val="32"/>
          <w:lang w:bidi="ar"/>
        </w:rPr>
      </w:pPr>
      <w:r>
        <w:rPr>
          <w:rFonts w:ascii="Times New Roman" w:hAnsi="Times New Roman" w:eastAsia="仿宋_GB2312"/>
          <w:sz w:val="32"/>
          <w:szCs w:val="32"/>
        </w:rPr>
        <w:t>存在的问题主要是专项资金预算不足。一方面部门专项资金预算下达时间较晚，造成支出</w:t>
      </w:r>
      <w:r>
        <w:rPr>
          <w:rFonts w:hint="eastAsia" w:ascii="Times New Roman" w:hAnsi="Times New Roman" w:eastAsia="仿宋_GB2312"/>
          <w:sz w:val="32"/>
          <w:szCs w:val="32"/>
          <w:lang w:eastAsia="zh-CN"/>
        </w:rPr>
        <w:t>部分资金比例比率较低</w:t>
      </w:r>
      <w:r>
        <w:rPr>
          <w:rFonts w:ascii="Times New Roman" w:hAnsi="Times New Roman" w:eastAsia="仿宋_GB2312"/>
          <w:sz w:val="32"/>
          <w:szCs w:val="32"/>
        </w:rPr>
        <w:t>；另一方面预算的严重压缩及库款紧张导致公用经费及项目经费未能按进度支付，导致预算执行率不高，严重影响项目进展。</w:t>
      </w:r>
    </w:p>
    <w:p>
      <w:pPr>
        <w:pStyle w:val="19"/>
        <w:spacing w:line="600" w:lineRule="exact"/>
        <w:ind w:firstLine="643"/>
        <w:jc w:val="left"/>
        <w:rPr>
          <w:rFonts w:ascii="Times New Roman" w:eastAsia="楷体_GB2312"/>
          <w:b/>
          <w:bCs/>
          <w:color w:val="000000"/>
          <w:sz w:val="32"/>
          <w:szCs w:val="32"/>
          <w:shd w:val="clear" w:color="auto" w:fill="FFFFFF"/>
          <w:lang w:val="zh-CN"/>
        </w:rPr>
      </w:pPr>
      <w:r>
        <w:rPr>
          <w:rFonts w:ascii="Times New Roman" w:eastAsia="楷体_GB2312"/>
          <w:b/>
          <w:bCs/>
          <w:color w:val="000000"/>
          <w:sz w:val="32"/>
          <w:szCs w:val="32"/>
          <w:shd w:val="clear" w:color="auto" w:fill="FFFFFF"/>
          <w:lang w:val="zh-CN"/>
        </w:rPr>
        <w:t>（三）改进建议。</w:t>
      </w:r>
      <w:bookmarkStart w:id="63" w:name="_Hlk110546638"/>
    </w:p>
    <w:p>
      <w:pPr>
        <w:pStyle w:val="19"/>
        <w:spacing w:line="600" w:lineRule="exact"/>
        <w:ind w:firstLine="640"/>
        <w:jc w:val="left"/>
        <w:rPr>
          <w:rFonts w:ascii="Times New Roman" w:eastAsia="仿宋_GB2312"/>
          <w:sz w:val="32"/>
          <w:szCs w:val="32"/>
        </w:rPr>
      </w:pPr>
      <w:r>
        <w:rPr>
          <w:rFonts w:ascii="Times New Roman" w:eastAsia="仿宋_GB2312"/>
          <w:sz w:val="32"/>
          <w:szCs w:val="32"/>
        </w:rPr>
        <w:t>1．科学编制预算。</w:t>
      </w:r>
    </w:p>
    <w:p>
      <w:pPr>
        <w:pStyle w:val="19"/>
        <w:spacing w:line="600" w:lineRule="exact"/>
        <w:ind w:firstLine="640"/>
        <w:jc w:val="left"/>
        <w:rPr>
          <w:rFonts w:ascii="Times New Roman" w:eastAsia="仿宋_GB2312"/>
          <w:sz w:val="32"/>
          <w:szCs w:val="32"/>
        </w:rPr>
      </w:pPr>
      <w:r>
        <w:rPr>
          <w:rFonts w:ascii="Times New Roman" w:eastAsia="仿宋_GB2312"/>
          <w:sz w:val="32"/>
          <w:szCs w:val="32"/>
        </w:rPr>
        <w:t>按照《</w:t>
      </w:r>
      <w:r>
        <w:rPr>
          <w:rFonts w:hint="eastAsia" w:ascii="Times New Roman" w:eastAsia="仿宋_GB2312"/>
          <w:sz w:val="32"/>
          <w:szCs w:val="32"/>
        </w:rPr>
        <w:t>中华人民共和国</w:t>
      </w:r>
      <w:r>
        <w:rPr>
          <w:rFonts w:ascii="Times New Roman" w:eastAsia="仿宋_GB2312"/>
          <w:sz w:val="32"/>
          <w:szCs w:val="32"/>
        </w:rPr>
        <w:t>预算法》及其实施条例的相关规定，结合上一年的预算执行情况和本年度收支预测科学、合理地编制本年度预算。</w:t>
      </w:r>
    </w:p>
    <w:p>
      <w:pPr>
        <w:pStyle w:val="19"/>
        <w:spacing w:line="600" w:lineRule="exact"/>
        <w:ind w:firstLine="640"/>
        <w:jc w:val="left"/>
        <w:rPr>
          <w:rFonts w:ascii="Times New Roman" w:eastAsia="仿宋_GB2312"/>
          <w:sz w:val="32"/>
          <w:szCs w:val="32"/>
        </w:rPr>
      </w:pPr>
      <w:r>
        <w:rPr>
          <w:rFonts w:ascii="Times New Roman" w:eastAsia="仿宋_GB2312"/>
          <w:sz w:val="32"/>
          <w:szCs w:val="32"/>
        </w:rPr>
        <w:t>2．加强</w:t>
      </w:r>
      <w:r>
        <w:rPr>
          <w:rFonts w:hint="eastAsia" w:ascii="Times New Roman" w:eastAsia="仿宋_GB2312"/>
          <w:sz w:val="32"/>
          <w:szCs w:val="32"/>
          <w:lang w:eastAsia="zh-CN"/>
        </w:rPr>
        <w:t>县</w:t>
      </w:r>
      <w:r>
        <w:rPr>
          <w:rFonts w:ascii="Times New Roman" w:eastAsia="仿宋_GB2312"/>
          <w:sz w:val="32"/>
          <w:szCs w:val="32"/>
        </w:rPr>
        <w:t>财政资金支付进度。</w:t>
      </w:r>
    </w:p>
    <w:p>
      <w:pPr>
        <w:pStyle w:val="19"/>
        <w:spacing w:line="600" w:lineRule="exact"/>
        <w:ind w:firstLine="640"/>
        <w:jc w:val="left"/>
        <w:rPr>
          <w:rFonts w:ascii="Times New Roman" w:eastAsia="仿宋_GB2312"/>
          <w:sz w:val="32"/>
          <w:szCs w:val="32"/>
        </w:rPr>
      </w:pPr>
      <w:r>
        <w:rPr>
          <w:rFonts w:ascii="Times New Roman" w:eastAsia="仿宋_GB2312"/>
          <w:sz w:val="32"/>
          <w:szCs w:val="32"/>
        </w:rPr>
        <w:t>财政应尽可能地保障基本支出特别是保运转类项目支出以及特定项目专项资金预算，能尽早下达，避免预算支出调剂及挤占的情况，最大化保障支出的准确性和执行率。同时加大财政支付力度，确保项目顺利完成。</w:t>
      </w:r>
    </w:p>
    <w:p>
      <w:pPr>
        <w:pStyle w:val="19"/>
        <w:spacing w:line="600" w:lineRule="exact"/>
        <w:ind w:firstLine="640"/>
        <w:jc w:val="left"/>
        <w:rPr>
          <w:rFonts w:ascii="Times New Roman" w:eastAsia="仿宋_GB2312"/>
          <w:sz w:val="32"/>
          <w:szCs w:val="32"/>
        </w:rPr>
      </w:pPr>
      <w:r>
        <w:rPr>
          <w:rFonts w:ascii="Times New Roman" w:eastAsia="仿宋_GB2312"/>
          <w:sz w:val="32"/>
          <w:szCs w:val="32"/>
        </w:rPr>
        <w:t>3．明确资金流程，加强监督检查。</w:t>
      </w:r>
    </w:p>
    <w:p>
      <w:pPr>
        <w:pStyle w:val="19"/>
        <w:spacing w:line="600" w:lineRule="exact"/>
        <w:ind w:firstLine="640"/>
        <w:jc w:val="left"/>
        <w:rPr>
          <w:rFonts w:ascii="Times New Roman" w:eastAsia="仿宋_GB2312"/>
          <w:sz w:val="32"/>
          <w:szCs w:val="32"/>
        </w:rPr>
      </w:pPr>
      <w:r>
        <w:rPr>
          <w:rFonts w:ascii="Times New Roman" w:eastAsia="仿宋_GB2312"/>
          <w:sz w:val="32"/>
          <w:szCs w:val="32"/>
        </w:rPr>
        <w:t>明确申报、审核、拨付流程，加强对项目单位的监督检查，全面落实各项管理制度，进一步提高项目管理水平。一是建立项目信息化管理系统，有利于更好地掌握项目信息。二是规范项目单位财务核算。三是加强项目资金财务人员培训，进一步提高项目管理水平。定期进行项目管理、资金使用、财政监督、绩效目标等内容的培训，提高经办人员的管理水平。</w:t>
      </w:r>
    </w:p>
    <w:p>
      <w:pPr>
        <w:pStyle w:val="19"/>
        <w:spacing w:line="600" w:lineRule="exact"/>
        <w:ind w:firstLine="640"/>
        <w:jc w:val="left"/>
        <w:rPr>
          <w:rFonts w:ascii="Times New Roman" w:eastAsia="仿宋_GB2312"/>
          <w:sz w:val="32"/>
          <w:szCs w:val="32"/>
        </w:rPr>
      </w:pPr>
      <w:r>
        <w:rPr>
          <w:rFonts w:ascii="Times New Roman" w:eastAsia="仿宋_GB2312"/>
          <w:sz w:val="32"/>
          <w:szCs w:val="32"/>
        </w:rPr>
        <w:t>4．加强绩效管理，发挥资金效益。</w:t>
      </w:r>
    </w:p>
    <w:p>
      <w:pPr>
        <w:pStyle w:val="19"/>
        <w:spacing w:line="600" w:lineRule="exact"/>
        <w:ind w:firstLine="640"/>
        <w:jc w:val="left"/>
        <w:rPr>
          <w:rFonts w:ascii="Times New Roman" w:eastAsia="仿宋_GB2312"/>
          <w:sz w:val="32"/>
          <w:szCs w:val="32"/>
        </w:rPr>
      </w:pPr>
      <w:r>
        <w:rPr>
          <w:rFonts w:hint="eastAsia" w:ascii="Times New Roman" w:eastAsia="仿宋_GB2312"/>
          <w:sz w:val="32"/>
          <w:szCs w:val="32"/>
          <w:lang w:eastAsia="zh-CN"/>
        </w:rPr>
        <w:t>县</w:t>
      </w:r>
      <w:r>
        <w:rPr>
          <w:rFonts w:ascii="Times New Roman" w:eastAsia="仿宋_GB2312"/>
          <w:sz w:val="32"/>
          <w:szCs w:val="32"/>
        </w:rPr>
        <w:t>文广旅局部门将严格按照财政资金绩效管理要求，对重点资金项目实施事前绩效评估、事中监控管理、事后绩效评价，确保财政资金安全、有效，发挥最大效益和价值。</w:t>
      </w:r>
      <w:bookmarkEnd w:id="63"/>
    </w:p>
    <w:p>
      <w:pPr>
        <w:pStyle w:val="16"/>
        <w:spacing w:line="560" w:lineRule="exact"/>
        <w:ind w:firstLine="640"/>
        <w:rPr>
          <w:rFonts w:ascii="Times New Roman" w:hAnsi="Times New Roman"/>
          <w:sz w:val="32"/>
          <w:lang w:val="zh-CN"/>
        </w:rPr>
      </w:pPr>
    </w:p>
    <w:p>
      <w:pPr>
        <w:pStyle w:val="19"/>
        <w:spacing w:line="600" w:lineRule="exact"/>
        <w:ind w:firstLine="640"/>
        <w:jc w:val="left"/>
        <w:rPr>
          <w:rFonts w:ascii="Times New Roman" w:eastAsia="仿宋_GB2312"/>
          <w:sz w:val="32"/>
          <w:szCs w:val="32"/>
        </w:rPr>
      </w:pPr>
    </w:p>
    <w:p>
      <w:pPr>
        <w:pStyle w:val="19"/>
        <w:spacing w:line="600" w:lineRule="exact"/>
        <w:ind w:firstLine="640"/>
        <w:jc w:val="left"/>
        <w:rPr>
          <w:rFonts w:ascii="Times New Roman" w:eastAsia="仿宋_GB2312"/>
          <w:sz w:val="32"/>
          <w:szCs w:val="32"/>
        </w:rPr>
      </w:pPr>
    </w:p>
    <w:p>
      <w:pPr>
        <w:pStyle w:val="19"/>
        <w:spacing w:line="600" w:lineRule="exact"/>
        <w:ind w:firstLine="640"/>
        <w:jc w:val="left"/>
        <w:rPr>
          <w:rFonts w:ascii="Times New Roman" w:eastAsia="仿宋_GB2312"/>
          <w:sz w:val="32"/>
          <w:szCs w:val="32"/>
        </w:rPr>
      </w:pPr>
    </w:p>
    <w:p>
      <w:pPr>
        <w:pStyle w:val="19"/>
        <w:spacing w:line="600" w:lineRule="exact"/>
        <w:ind w:firstLine="640"/>
        <w:jc w:val="left"/>
        <w:rPr>
          <w:rFonts w:ascii="Times New Roman" w:eastAsia="仿宋_GB2312"/>
          <w:sz w:val="32"/>
          <w:szCs w:val="32"/>
        </w:rPr>
      </w:pPr>
      <w:r>
        <w:rPr>
          <w:rFonts w:ascii="Times New Roman" w:eastAsia="仿宋_GB2312"/>
          <w:sz w:val="32"/>
          <w:szCs w:val="32"/>
        </w:rPr>
        <w:t>附表：部门预算项目支出绩效自评表（2023年度）</w:t>
      </w:r>
    </w:p>
    <w:p>
      <w:pPr>
        <w:pStyle w:val="16"/>
        <w:spacing w:line="560" w:lineRule="exact"/>
        <w:ind w:firstLine="0"/>
        <w:rPr>
          <w:rFonts w:ascii="Times New Roman" w:hAnsi="Times New Roman"/>
          <w:sz w:val="32"/>
          <w:highlight w:val="yellow"/>
          <w:lang w:val="zh-CN"/>
        </w:rPr>
      </w:pPr>
    </w:p>
    <w:p>
      <w:pPr>
        <w:rPr>
          <w:rFonts w:ascii="Times New Roman" w:hAnsi="Times New Roman" w:eastAsia="黑体"/>
          <w:sz w:val="32"/>
          <w:szCs w:val="32"/>
        </w:rPr>
      </w:pPr>
      <w:r>
        <w:rPr>
          <w:rFonts w:ascii="Times New Roman" w:hAnsi="Times New Roman" w:eastAsia="黑体"/>
          <w:sz w:val="32"/>
          <w:szCs w:val="32"/>
          <w:shd w:val="clear" w:color="auto" w:fill="FFFFFF"/>
        </w:rPr>
        <w:t>2-1</w:t>
      </w:r>
    </w:p>
    <w:p>
      <w:pPr>
        <w:pStyle w:val="202"/>
        <w:spacing w:line="578" w:lineRule="exact"/>
        <w:jc w:val="center"/>
        <w:rPr>
          <w:rFonts w:ascii="Times New Roman" w:hAnsi="Times New Roman" w:eastAsia="方正小标宋简体"/>
          <w:color w:val="auto"/>
          <w:sz w:val="44"/>
          <w:szCs w:val="44"/>
          <w:lang w:val="en-US"/>
        </w:rPr>
      </w:pPr>
      <w:bookmarkStart w:id="64" w:name="_Hlk126920557"/>
      <w:bookmarkEnd w:id="64"/>
    </w:p>
    <w:p>
      <w:pPr>
        <w:pStyle w:val="202"/>
        <w:spacing w:line="578" w:lineRule="exact"/>
        <w:jc w:val="center"/>
        <w:rPr>
          <w:rFonts w:ascii="Times New Roman" w:hAnsi="Times New Roman" w:eastAsia="方正小标宋简体"/>
          <w:color w:val="auto"/>
          <w:sz w:val="44"/>
          <w:szCs w:val="44"/>
          <w:lang w:val="en-US"/>
        </w:rPr>
      </w:pPr>
      <w:r>
        <w:rPr>
          <w:rFonts w:hint="eastAsia" w:ascii="Times New Roman" w:hAnsi="Times New Roman" w:eastAsia="方正小标宋简体"/>
          <w:color w:val="auto"/>
          <w:sz w:val="44"/>
          <w:szCs w:val="44"/>
          <w:lang w:val="en-US" w:eastAsia="zh-CN"/>
        </w:rPr>
        <w:t>2022年度盐边县智慧广电示范区创建</w:t>
      </w:r>
      <w:r>
        <w:rPr>
          <w:rFonts w:ascii="Times New Roman" w:hAnsi="Times New Roman" w:eastAsia="方正小标宋简体"/>
          <w:color w:val="auto"/>
          <w:sz w:val="44"/>
          <w:szCs w:val="44"/>
          <w:lang w:val="en-US"/>
        </w:rPr>
        <w:t>项目</w:t>
      </w:r>
    </w:p>
    <w:p>
      <w:pPr>
        <w:pStyle w:val="202"/>
        <w:spacing w:line="578" w:lineRule="exact"/>
        <w:jc w:val="center"/>
        <w:rPr>
          <w:rFonts w:ascii="Times New Roman" w:hAnsi="Times New Roman" w:eastAsia="方正小标宋简体"/>
          <w:color w:val="auto"/>
          <w:sz w:val="44"/>
          <w:szCs w:val="44"/>
          <w:lang w:val="en-US"/>
        </w:rPr>
      </w:pPr>
      <w:r>
        <w:rPr>
          <w:rFonts w:ascii="Times New Roman" w:hAnsi="Times New Roman" w:eastAsia="方正小标宋简体"/>
          <w:color w:val="auto"/>
          <w:sz w:val="44"/>
          <w:szCs w:val="44"/>
          <w:lang w:val="en-US"/>
        </w:rPr>
        <w:t>专项预算项目绩效评价报告</w:t>
      </w:r>
    </w:p>
    <w:p>
      <w:pPr>
        <w:pStyle w:val="202"/>
        <w:spacing w:line="578" w:lineRule="exact"/>
        <w:ind w:firstLine="640"/>
        <w:jc w:val="center"/>
        <w:rPr>
          <w:rFonts w:ascii="Times New Roman" w:hAnsi="Times New Roman"/>
          <w:color w:val="auto"/>
          <w:sz w:val="32"/>
          <w:szCs w:val="32"/>
        </w:rPr>
      </w:pPr>
    </w:p>
    <w:p>
      <w:pPr>
        <w:spacing w:line="578" w:lineRule="exact"/>
        <w:ind w:firstLine="640"/>
        <w:rPr>
          <w:rFonts w:ascii="Times New Roman" w:hAnsi="Times New Roman" w:eastAsia="黑体"/>
          <w:sz w:val="32"/>
          <w:szCs w:val="32"/>
          <w:lang w:val="zh-CN"/>
        </w:rPr>
      </w:pPr>
      <w:r>
        <w:rPr>
          <w:rFonts w:ascii="Times New Roman" w:hAnsi="Times New Roman" w:eastAsia="黑体"/>
          <w:sz w:val="32"/>
          <w:szCs w:val="32"/>
        </w:rPr>
        <w:t>一、</w:t>
      </w:r>
      <w:r>
        <w:rPr>
          <w:rFonts w:ascii="Times New Roman" w:hAnsi="Times New Roman" w:eastAsia="黑体"/>
          <w:sz w:val="32"/>
          <w:szCs w:val="32"/>
          <w:lang w:val="zh-CN"/>
        </w:rPr>
        <w:t>项目概况</w:t>
      </w:r>
    </w:p>
    <w:p>
      <w:pPr>
        <w:widowControl/>
        <w:spacing w:line="578" w:lineRule="exact"/>
        <w:ind w:firstLine="643"/>
        <w:contextualSpacing/>
        <w:jc w:val="left"/>
        <w:rPr>
          <w:rFonts w:ascii="Times New Roman" w:hAnsi="Times New Roman" w:eastAsia="楷体_GB2312"/>
          <w:b/>
          <w:sz w:val="32"/>
          <w:szCs w:val="32"/>
          <w:lang w:val="zh-CN"/>
        </w:rPr>
      </w:pPr>
      <w:r>
        <w:rPr>
          <w:rFonts w:ascii="Times New Roman" w:hAnsi="Times New Roman" w:eastAsia="楷体_GB2312"/>
          <w:b/>
          <w:sz w:val="32"/>
          <w:szCs w:val="32"/>
          <w:lang w:val="zh-CN"/>
        </w:rPr>
        <w:t>（一）设立背景及基本情况。</w:t>
      </w:r>
    </w:p>
    <w:p>
      <w:pPr>
        <w:spacing w:line="578" w:lineRule="exact"/>
        <w:ind w:firstLine="640"/>
        <w:rPr>
          <w:rFonts w:hint="eastAsia" w:ascii="仿宋_GB2312" w:hAnsi="仿宋_GB2312" w:eastAsia="仿宋_GB2312" w:cs="仿宋_GB2312"/>
          <w:bCs w:val="0"/>
          <w:sz w:val="32"/>
          <w:szCs w:val="32"/>
          <w:shd w:val="clear" w:color="auto" w:fill="auto"/>
          <w:lang w:val="en-US" w:eastAsia="zh-CN" w:bidi="ar-SA"/>
        </w:rPr>
      </w:pPr>
      <w:r>
        <w:rPr>
          <w:rFonts w:hint="eastAsia" w:ascii="仿宋_GB2312" w:hAnsi="仿宋_GB2312" w:eastAsia="仿宋_GB2312" w:cs="仿宋_GB2312"/>
          <w:bCs w:val="0"/>
          <w:sz w:val="32"/>
          <w:szCs w:val="32"/>
          <w:shd w:val="clear" w:color="auto" w:fill="auto"/>
          <w:lang w:val="en-US" w:eastAsia="zh-CN" w:bidi="ar-SA"/>
        </w:rPr>
        <w:t>根据习近平总书记关于“打造智慧广电媒体，发展智慧广电网络”的指示、国家广播电视总局《关于促进智慧广电发展的指导意见》（广电发〔2018〕71号）的部署、《中共四川省委四川省人民政府关于印发〈建设文化强省中长期规划纲要〉(2019—2025年)的通知》（川委发〔2019〕10号）、</w:t>
      </w:r>
      <w:r>
        <w:rPr>
          <w:rFonts w:ascii="仿宋_GB2312" w:hAnsi="Calibri" w:eastAsia="仿宋_GB2312" w:cs="仿宋_GB2312"/>
          <w:i w:val="0"/>
          <w:caps w:val="0"/>
          <w:color w:val="555555"/>
          <w:spacing w:val="0"/>
          <w:sz w:val="32"/>
          <w:szCs w:val="32"/>
          <w:shd w:val="clear" w:color="auto" w:fill="FFFFFF"/>
          <w:lang w:val="en-US" w:eastAsia="zh-CN" w:bidi="ar"/>
        </w:rPr>
        <w:t>四川省广电视局、四川省财政厅《关于</w:t>
      </w:r>
      <w:r>
        <w:rPr>
          <w:rFonts w:hint="eastAsia" w:ascii="仿宋_GB2312" w:hAnsi="Calibri" w:eastAsia="仿宋_GB2312" w:cs="仿宋_GB2312"/>
          <w:i w:val="0"/>
          <w:caps w:val="0"/>
          <w:color w:val="555555"/>
          <w:spacing w:val="0"/>
          <w:sz w:val="32"/>
          <w:szCs w:val="32"/>
          <w:shd w:val="clear" w:color="auto" w:fill="FFFFFF"/>
          <w:lang w:val="en-US" w:eastAsia="zh-CN" w:bidi="ar"/>
        </w:rPr>
        <w:t>组织2022-2023年度智慧广电示范区创建项目入库申报的通知》（川广办发〔2022〕）11号）</w:t>
      </w:r>
      <w:r>
        <w:rPr>
          <w:rFonts w:hint="eastAsia" w:ascii="仿宋_GB2312" w:eastAsia="仿宋_GB2312" w:cs="仿宋_GB2312"/>
          <w:i w:val="0"/>
          <w:caps w:val="0"/>
          <w:color w:val="555555"/>
          <w:spacing w:val="0"/>
          <w:sz w:val="32"/>
          <w:szCs w:val="32"/>
          <w:shd w:val="clear" w:color="auto" w:fill="FFFFFF"/>
          <w:lang w:val="en-US" w:eastAsia="zh-CN" w:bidi="ar"/>
        </w:rPr>
        <w:t>，</w:t>
      </w:r>
      <w:r>
        <w:rPr>
          <w:rFonts w:hint="eastAsia" w:ascii="仿宋_GB2312" w:hAnsi="仿宋_GB2312" w:eastAsia="仿宋_GB2312" w:cs="仿宋_GB2312"/>
          <w:bCs w:val="0"/>
          <w:sz w:val="32"/>
          <w:szCs w:val="32"/>
          <w:shd w:val="clear" w:color="auto" w:fill="auto"/>
          <w:lang w:val="en-US" w:eastAsia="zh-CN" w:bidi="ar-SA"/>
        </w:rPr>
        <w:t>要求全面提升四川文化软实力，奋力创造巴蜀文化新辉煌，以文化强省建设助推治蜀兴川再上新台阶，盐边县制定了2022-2023年度盐边县智慧广电示范区创建项目实施方案,积极争取实施2022-2023年度盐边县智慧广电示范区创建项目。</w:t>
      </w:r>
    </w:p>
    <w:p>
      <w:pPr>
        <w:spacing w:line="578" w:lineRule="exact"/>
        <w:ind w:firstLine="640"/>
        <w:rPr>
          <w:rStyle w:val="203"/>
          <w:rFonts w:hint="default" w:ascii="Times New Roman" w:hAnsi="Times New Roman"/>
        </w:rPr>
      </w:pPr>
      <w:r>
        <w:rPr>
          <w:rStyle w:val="203"/>
          <w:rFonts w:hint="default" w:ascii="Times New Roman" w:hAnsi="Times New Roman"/>
        </w:rPr>
        <w:t>根据《四川省财政厅 四川省广播电视局关于下达2022年省级公共文化服务体系建设专项资金（广电项目）预算的通知》（川财教</w:t>
      </w:r>
      <w:r>
        <w:rPr>
          <w:rStyle w:val="203"/>
          <w:rFonts w:hint="default" w:ascii="Times New Roman" w:hAnsi="Times New Roman"/>
          <w:color w:val="auto"/>
        </w:rPr>
        <w:t>〔2022〕101号</w:t>
      </w:r>
      <w:r>
        <w:rPr>
          <w:rStyle w:val="203"/>
          <w:rFonts w:hint="default" w:ascii="Times New Roman" w:hAnsi="Times New Roman"/>
        </w:rPr>
        <w:t>）文件，下达我</w:t>
      </w:r>
      <w:r>
        <w:rPr>
          <w:rStyle w:val="203"/>
          <w:rFonts w:hint="eastAsia" w:ascii="Times New Roman" w:hAnsi="Times New Roman" w:eastAsia="仿宋_GB2312"/>
          <w:lang w:eastAsia="zh-CN"/>
        </w:rPr>
        <w:t>县智慧广电实验区建设</w:t>
      </w:r>
      <w:r>
        <w:rPr>
          <w:rStyle w:val="203"/>
          <w:rFonts w:hint="default" w:ascii="Times New Roman" w:hAnsi="Times New Roman"/>
        </w:rPr>
        <w:t>项目资金300万元。</w:t>
      </w:r>
    </w:p>
    <w:p>
      <w:pPr>
        <w:spacing w:line="578" w:lineRule="exact"/>
        <w:ind w:firstLine="643"/>
        <w:rPr>
          <w:rFonts w:ascii="Times New Roman" w:hAnsi="Times New Roman" w:eastAsia="楷体_GB2312"/>
          <w:b/>
          <w:sz w:val="32"/>
          <w:szCs w:val="32"/>
        </w:rPr>
      </w:pPr>
      <w:r>
        <w:rPr>
          <w:rFonts w:ascii="Times New Roman" w:hAnsi="Times New Roman" w:eastAsia="楷体_GB2312"/>
          <w:b/>
          <w:sz w:val="32"/>
          <w:szCs w:val="32"/>
          <w:lang w:val="zh-CN"/>
        </w:rPr>
        <w:t>（二）</w:t>
      </w:r>
      <w:r>
        <w:rPr>
          <w:rFonts w:ascii="Times New Roman" w:hAnsi="Times New Roman" w:eastAsia="楷体_GB2312"/>
          <w:b/>
          <w:sz w:val="32"/>
          <w:szCs w:val="32"/>
        </w:rPr>
        <w:t>实施目的及支持方向。</w:t>
      </w:r>
    </w:p>
    <w:p>
      <w:pPr>
        <w:spacing w:line="578" w:lineRule="exact"/>
        <w:ind w:firstLine="640"/>
        <w:rPr>
          <w:rStyle w:val="203"/>
          <w:rFonts w:hint="default" w:ascii="Times New Roman" w:hAnsi="Times New Roman"/>
        </w:rPr>
      </w:pPr>
      <w:r>
        <w:rPr>
          <w:rStyle w:val="203"/>
          <w:rFonts w:hint="default" w:ascii="Times New Roman" w:hAnsi="Times New Roman"/>
        </w:rPr>
        <w:t>根据《四川省财政厅关于印发〈四川省公共文化服务体系建设补助资金管理办法〉的通知》（川财教〔2023〕123号）文件精神，资金支持方向用于</w:t>
      </w:r>
      <w:r>
        <w:rPr>
          <w:rStyle w:val="203"/>
          <w:rFonts w:hint="eastAsia" w:ascii="Times New Roman" w:hAnsi="Times New Roman" w:eastAsia="仿宋_GB2312"/>
          <w:lang w:eastAsia="zh-CN"/>
        </w:rPr>
        <w:t>智慧广电实验区建设</w:t>
      </w:r>
      <w:r>
        <w:rPr>
          <w:rStyle w:val="203"/>
          <w:rFonts w:hint="default" w:ascii="Times New Roman" w:hAnsi="Times New Roman"/>
        </w:rPr>
        <w:t>等。资金使用范围主要用于</w:t>
      </w:r>
      <w:r>
        <w:rPr>
          <w:rFonts w:hint="eastAsia" w:ascii="仿宋_GB2312" w:hAnsi="仿宋_GB2312" w:eastAsia="仿宋_GB2312" w:cs="仿宋_GB2312"/>
          <w:b w:val="0"/>
          <w:bCs w:val="0"/>
          <w:sz w:val="32"/>
          <w:szCs w:val="32"/>
        </w:rPr>
        <w:t>智慧广电+视播融合“人人通”项目、</w:t>
      </w:r>
      <w:r>
        <w:rPr>
          <w:rFonts w:hint="eastAsia" w:ascii="仿宋_GB2312" w:hAnsi="仿宋_GB2312" w:eastAsia="仿宋_GB2312" w:cs="仿宋_GB2312"/>
          <w:b w:val="0"/>
          <w:bCs w:val="0"/>
          <w:sz w:val="32"/>
          <w:szCs w:val="32"/>
          <w:lang w:eastAsia="zh-CN"/>
        </w:rPr>
        <w:t>中心数据调度系统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智慧广电</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社区建设项目、</w:t>
      </w:r>
      <w:r>
        <w:rPr>
          <w:rFonts w:hint="eastAsia" w:ascii="仿宋_GB2312" w:hAnsi="仿宋_GB2312" w:eastAsia="仿宋_GB2312" w:cs="仿宋_GB2312"/>
          <w:b w:val="0"/>
          <w:bCs w:val="0"/>
          <w:sz w:val="32"/>
          <w:szCs w:val="32"/>
          <w:lang w:eastAsia="zh-CN"/>
        </w:rPr>
        <w:t>多源数据汇聚系统</w:t>
      </w:r>
      <w:r>
        <w:rPr>
          <w:rFonts w:hint="eastAsia" w:ascii="仿宋_GB2312" w:hAnsi="仿宋_GB2312" w:eastAsia="仿宋_GB2312" w:cs="仿宋_GB2312"/>
          <w:b w:val="0"/>
          <w:bCs w:val="0"/>
          <w:sz w:val="32"/>
          <w:szCs w:val="32"/>
        </w:rPr>
        <w:t>、智慧广电+数字乡村等</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个项目建设内容</w:t>
      </w:r>
      <w:r>
        <w:rPr>
          <w:rStyle w:val="203"/>
          <w:rFonts w:hint="default" w:ascii="Times New Roman" w:hAnsi="Times New Roman"/>
        </w:rPr>
        <w:t>等。</w:t>
      </w:r>
    </w:p>
    <w:p>
      <w:pPr>
        <w:widowControl/>
        <w:spacing w:line="578" w:lineRule="exact"/>
        <w:ind w:firstLine="643"/>
        <w:contextualSpacing/>
        <w:jc w:val="left"/>
        <w:rPr>
          <w:rFonts w:ascii="Times New Roman" w:hAnsi="Times New Roman" w:eastAsia="楷体_GB2312"/>
          <w:b/>
          <w:sz w:val="32"/>
          <w:szCs w:val="32"/>
          <w:lang w:val="zh-CN"/>
        </w:rPr>
      </w:pPr>
      <w:r>
        <w:rPr>
          <w:rFonts w:ascii="Times New Roman" w:hAnsi="Times New Roman" w:eastAsia="楷体_GB2312"/>
          <w:b/>
          <w:sz w:val="32"/>
          <w:szCs w:val="32"/>
          <w:lang w:val="zh-CN"/>
        </w:rPr>
        <w:t>（三）</w:t>
      </w:r>
      <w:r>
        <w:rPr>
          <w:rFonts w:ascii="Times New Roman" w:hAnsi="Times New Roman" w:eastAsia="楷体_GB2312"/>
          <w:b/>
          <w:sz w:val="32"/>
          <w:szCs w:val="32"/>
        </w:rPr>
        <w:t>预算安排及分配管理</w:t>
      </w:r>
      <w:r>
        <w:rPr>
          <w:rFonts w:ascii="Times New Roman" w:hAnsi="Times New Roman" w:eastAsia="楷体_GB2312"/>
          <w:b/>
          <w:sz w:val="32"/>
          <w:szCs w:val="32"/>
          <w:lang w:val="zh-CN"/>
        </w:rPr>
        <w:t>。</w:t>
      </w:r>
    </w:p>
    <w:p>
      <w:pPr>
        <w:spacing w:line="578" w:lineRule="exact"/>
        <w:ind w:firstLine="640"/>
        <w:rPr>
          <w:rStyle w:val="203"/>
          <w:rFonts w:hint="default" w:ascii="Times New Roman" w:hAnsi="Times New Roman"/>
        </w:rPr>
      </w:pPr>
      <w:r>
        <w:rPr>
          <w:rStyle w:val="203"/>
          <w:rFonts w:hint="default" w:ascii="Times New Roman" w:hAnsi="Times New Roman"/>
        </w:rPr>
        <w:t>预算安排及资金分配坚持“突出重点、择优扶持、专款专用、保证效益”的原则，根据市委、市政府工作要求及市文广旅局工作任务，按照安排部署，结合重点工作任务分工对资金分配使用。</w:t>
      </w:r>
    </w:p>
    <w:p>
      <w:pPr>
        <w:spacing w:line="578" w:lineRule="exact"/>
        <w:ind w:firstLine="640"/>
        <w:rPr>
          <w:rStyle w:val="203"/>
          <w:rFonts w:hint="default" w:ascii="Times New Roman" w:hAnsi="Times New Roman"/>
        </w:rPr>
      </w:pPr>
      <w:r>
        <w:rPr>
          <w:rStyle w:val="203"/>
          <w:rFonts w:hint="default" w:ascii="Times New Roman" w:hAnsi="Times New Roman"/>
        </w:rPr>
        <w:t>根据《四川省财政厅 四川省广播电视局关于下达2022年省级公共文化服务体系建设专项资金（广电项目）预算的通知》（川财教〔20</w:t>
      </w:r>
      <w:r>
        <w:rPr>
          <w:rStyle w:val="203"/>
          <w:rFonts w:hint="default" w:ascii="Times New Roman" w:hAnsi="Times New Roman"/>
          <w:color w:val="auto"/>
        </w:rPr>
        <w:t>22〕101</w:t>
      </w:r>
      <w:r>
        <w:rPr>
          <w:rStyle w:val="203"/>
          <w:rFonts w:hint="default" w:ascii="Times New Roman" w:hAnsi="Times New Roman"/>
        </w:rPr>
        <w:t>号）文件、盐财资行【2023】8号</w:t>
      </w:r>
      <w:r>
        <w:rPr>
          <w:rStyle w:val="203"/>
          <w:rFonts w:hint="eastAsia" w:ascii="Times New Roman" w:hAnsi="Times New Roman" w:eastAsia="仿宋_GB2312"/>
          <w:lang w:eastAsia="zh-CN"/>
        </w:rPr>
        <w:t>下达县</w:t>
      </w:r>
      <w:r>
        <w:rPr>
          <w:rStyle w:val="203"/>
          <w:rFonts w:hint="default" w:ascii="Times New Roman" w:hAnsi="Times New Roman"/>
        </w:rPr>
        <w:t>文广旅局</w:t>
      </w:r>
      <w:r>
        <w:rPr>
          <w:rStyle w:val="203"/>
          <w:rFonts w:hint="eastAsia" w:ascii="Times New Roman" w:hAnsi="Times New Roman" w:eastAsia="仿宋_GB2312"/>
          <w:lang w:eastAsia="zh-CN"/>
        </w:rPr>
        <w:t>智慧广电实验区建设</w:t>
      </w:r>
      <w:r>
        <w:rPr>
          <w:rStyle w:val="203"/>
          <w:rFonts w:hint="default" w:ascii="Times New Roman" w:hAnsi="Times New Roman"/>
        </w:rPr>
        <w:t>项目资金300万元。</w:t>
      </w:r>
    </w:p>
    <w:p>
      <w:pPr>
        <w:spacing w:line="578" w:lineRule="exact"/>
        <w:ind w:firstLine="640"/>
        <w:rPr>
          <w:rFonts w:ascii="Times New Roman" w:hAnsi="Times New Roman"/>
        </w:rPr>
      </w:pPr>
      <w:r>
        <w:rPr>
          <w:rStyle w:val="203"/>
          <w:rFonts w:hint="eastAsia" w:ascii="Times New Roman" w:hAnsi="Times New Roman" w:eastAsia="仿宋_GB2312"/>
          <w:lang w:eastAsia="zh-CN"/>
        </w:rPr>
        <w:t>智慧广电实验区建设</w:t>
      </w:r>
      <w:r>
        <w:rPr>
          <w:rStyle w:val="203"/>
          <w:rFonts w:hint="default" w:ascii="Times New Roman" w:hAnsi="Times New Roman"/>
        </w:rPr>
        <w:t>300万元，</w:t>
      </w:r>
      <w:r>
        <w:rPr>
          <w:rStyle w:val="203"/>
          <w:rFonts w:hint="eastAsia" w:ascii="Times New Roman" w:hAnsi="Times New Roman" w:eastAsia="仿宋_GB2312"/>
          <w:lang w:eastAsia="zh-CN"/>
        </w:rPr>
        <w:t>用于智慧广电实验区建设</w:t>
      </w:r>
      <w:r>
        <w:rPr>
          <w:rStyle w:val="203"/>
          <w:rFonts w:hint="default" w:ascii="Times New Roman" w:hAnsi="Times New Roman"/>
        </w:rPr>
        <w:t>建设以及第三方检测、等保测评、工程监理等费用。</w:t>
      </w:r>
    </w:p>
    <w:p>
      <w:pPr>
        <w:spacing w:line="578" w:lineRule="exact"/>
        <w:ind w:firstLine="643"/>
        <w:rPr>
          <w:rFonts w:ascii="Times New Roman" w:hAnsi="Times New Roman" w:eastAsia="楷体_GB2312"/>
          <w:b/>
          <w:sz w:val="32"/>
          <w:szCs w:val="32"/>
          <w:lang w:val="zh-CN"/>
        </w:rPr>
      </w:pPr>
      <w:r>
        <w:rPr>
          <w:rFonts w:ascii="Times New Roman" w:hAnsi="Times New Roman" w:eastAsia="楷体_GB2312"/>
          <w:b/>
          <w:sz w:val="32"/>
          <w:szCs w:val="32"/>
          <w:lang w:val="zh-CN"/>
        </w:rPr>
        <w:t>（四）项目绩效目标设置。</w:t>
      </w:r>
    </w:p>
    <w:p>
      <w:pPr>
        <w:spacing w:line="578" w:lineRule="exact"/>
        <w:ind w:firstLine="640"/>
        <w:rPr>
          <w:rStyle w:val="203"/>
          <w:rFonts w:hint="default" w:ascii="Times New Roman" w:hAnsi="Times New Roman"/>
        </w:rPr>
      </w:pPr>
      <w:r>
        <w:rPr>
          <w:rStyle w:val="203"/>
          <w:rFonts w:hint="default" w:ascii="Times New Roman" w:hAnsi="Times New Roman"/>
        </w:rPr>
        <w:t>内容：</w:t>
      </w:r>
      <w:r>
        <w:rPr>
          <w:rFonts w:hint="eastAsia" w:ascii="仿宋_GB2312" w:hAnsi="仿宋_GB2312" w:eastAsia="仿宋_GB2312" w:cs="仿宋_GB2312"/>
          <w:bCs w:val="0"/>
          <w:sz w:val="32"/>
          <w:szCs w:val="32"/>
          <w:shd w:val="clear" w:color="auto" w:fill="auto"/>
          <w:lang w:val="en-US" w:eastAsia="zh-CN" w:bidi="ar-SA"/>
        </w:rPr>
        <w:t>国家广播电视总局《关于促进智慧广电发展的指导意见》（广电发〔2018〕71号）的部署、《中共四川省委四川省人民政府关于印发〈建设文化强省中长期规划纲要〉(2019—2025年)的通知》（川委发〔2019〕10号）</w:t>
      </w:r>
      <w:r>
        <w:rPr>
          <w:rStyle w:val="203"/>
          <w:rFonts w:hint="default" w:ascii="Times New Roman" w:hAnsi="Times New Roman"/>
        </w:rPr>
        <w:t>文件的相应要求进行部署，制定工作计划、项目的实施方案</w:t>
      </w:r>
      <w:r>
        <w:rPr>
          <w:rStyle w:val="203"/>
          <w:rFonts w:hint="eastAsia" w:ascii="Times New Roman" w:hAnsi="Times New Roman" w:eastAsia="仿宋_GB2312"/>
          <w:lang w:eastAsia="zh-CN"/>
        </w:rPr>
        <w:t>批复</w:t>
      </w:r>
      <w:r>
        <w:rPr>
          <w:rStyle w:val="203"/>
          <w:rFonts w:hint="default" w:ascii="Times New Roman" w:hAnsi="Times New Roman"/>
        </w:rPr>
        <w:t>和项目招标技术规范书，建设</w:t>
      </w:r>
      <w:r>
        <w:rPr>
          <w:rStyle w:val="203"/>
          <w:rFonts w:hint="eastAsia" w:ascii="Times New Roman" w:hAnsi="Times New Roman" w:eastAsia="仿宋_GB2312"/>
          <w:lang w:eastAsia="zh-CN"/>
        </w:rPr>
        <w:t>智慧广电实验区建设</w:t>
      </w:r>
      <w:r>
        <w:rPr>
          <w:rStyle w:val="203"/>
          <w:rFonts w:hint="default" w:ascii="Times New Roman" w:hAnsi="Times New Roman"/>
        </w:rPr>
        <w:t>。</w:t>
      </w:r>
    </w:p>
    <w:p>
      <w:pPr>
        <w:pStyle w:val="204"/>
        <w:keepNext w:val="0"/>
        <w:keepLines w:val="0"/>
        <w:pageBreakBefore w:val="0"/>
        <w:widowControl w:val="0"/>
        <w:spacing w:line="560" w:lineRule="exact"/>
        <w:ind w:left="0" w:firstLine="640"/>
        <w:jc w:val="both"/>
        <w:rPr>
          <w:rFonts w:hint="eastAsia" w:ascii="仿宋_GB2312" w:hAnsi="仿宋_GB2312" w:cs="仿宋_GB2312"/>
          <w:b/>
          <w:bCs w:val="0"/>
          <w:szCs w:val="32"/>
        </w:rPr>
      </w:pPr>
      <w:r>
        <w:rPr>
          <w:rStyle w:val="203"/>
          <w:rFonts w:hint="default" w:ascii="Times New Roman" w:hAnsi="Times New Roman"/>
        </w:rPr>
        <w:t>目标：</w:t>
      </w:r>
      <w:r>
        <w:rPr>
          <w:rFonts w:hint="eastAsia" w:ascii="仿宋_GB2312" w:hAnsi="仿宋_GB2312" w:eastAsia="仿宋_GB2312" w:cs="仿宋_GB2312"/>
          <w:bCs w:val="0"/>
          <w:sz w:val="32"/>
          <w:szCs w:val="32"/>
          <w:shd w:val="clear" w:color="auto" w:fill="auto"/>
          <w:lang w:val="en-US" w:eastAsia="zh-CN" w:bidi="ar-SA"/>
        </w:rPr>
        <w:t>围绕建设以有线、互联网、5G等多种协同承载为依托，以云计算、大数据、物联网及IPv6等综合技术为支撑，以全面提升广播电视管理、网络、业务及服务等能力为指标的智慧广电，推动盐边广播电视从数字化、网络化向智慧化发展、从功能业务型向创新服务型转变。推动智慧广电向产业化、规模化、支柱化发展，开发新业态、提供新服务、激发新动能、引导新供给、拉动新消费，为数字盐边、智慧社会、网络强县、乡村振兴和数字经济发展提供有力支撑，实现广电事业产业繁荣发展，基层党委政府和人民群众满意度大幅提升。使盐边县广播电视在智慧广电内容生产、传播网络、安全监管、生态服务、乡村文旅振兴服务等方面得到极大的提升，让全县人民能够享受更加满意、更加丰富、更加优质的广播电视服务。</w:t>
      </w:r>
    </w:p>
    <w:p>
      <w:pPr>
        <w:spacing w:line="578" w:lineRule="exact"/>
        <w:ind w:firstLine="640"/>
        <w:rPr>
          <w:rFonts w:ascii="Times New Roman" w:hAnsi="Times New Roman" w:eastAsia="黑体"/>
          <w:sz w:val="32"/>
          <w:szCs w:val="32"/>
        </w:rPr>
      </w:pPr>
      <w:r>
        <w:rPr>
          <w:rFonts w:ascii="Times New Roman" w:hAnsi="Times New Roman" w:eastAsia="黑体"/>
          <w:sz w:val="32"/>
          <w:szCs w:val="32"/>
        </w:rPr>
        <w:t>二、评价实施</w:t>
      </w:r>
    </w:p>
    <w:p>
      <w:pPr>
        <w:spacing w:line="578" w:lineRule="exact"/>
        <w:ind w:firstLine="640"/>
        <w:rPr>
          <w:rFonts w:ascii="Times New Roman" w:hAnsi="Times New Roman" w:eastAsia="楷体_GB2312"/>
          <w:b/>
          <w:sz w:val="32"/>
          <w:szCs w:val="32"/>
          <w:lang w:val="zh-CN"/>
        </w:rPr>
      </w:pPr>
      <w:r>
        <w:rPr>
          <w:rFonts w:ascii="Times New Roman" w:hAnsi="Times New Roman" w:eastAsia="楷体_GB2312"/>
          <w:b/>
          <w:sz w:val="32"/>
          <w:szCs w:val="32"/>
          <w:lang w:val="zh-CN"/>
        </w:rPr>
        <w:t>（一）评价目的。</w:t>
      </w:r>
    </w:p>
    <w:p>
      <w:pPr>
        <w:spacing w:line="578" w:lineRule="exact"/>
        <w:ind w:firstLine="640"/>
        <w:rPr>
          <w:rStyle w:val="203"/>
          <w:rFonts w:hint="default" w:ascii="Times New Roman" w:hAnsi="Times New Roman"/>
        </w:rPr>
      </w:pPr>
      <w:r>
        <w:rPr>
          <w:rStyle w:val="203"/>
          <w:rFonts w:hint="default" w:ascii="Times New Roman" w:hAnsi="Times New Roman"/>
        </w:rPr>
        <w:t>1．项目成效评估方面</w:t>
      </w:r>
    </w:p>
    <w:p>
      <w:pPr>
        <w:spacing w:line="578" w:lineRule="exact"/>
        <w:ind w:firstLine="640"/>
        <w:rPr>
          <w:rFonts w:hint="eastAsia" w:ascii="仿宋_GB2312" w:hAnsi="仿宋_GB2312" w:eastAsia="仿宋_GB2312" w:cs="仿宋_GB2312"/>
          <w:bCs w:val="0"/>
          <w:sz w:val="32"/>
          <w:szCs w:val="32"/>
          <w:shd w:val="clear" w:color="auto" w:fill="auto"/>
          <w:lang w:val="en-US" w:eastAsia="zh-CN" w:bidi="ar-SA"/>
        </w:rPr>
      </w:pPr>
      <w:r>
        <w:rPr>
          <w:rStyle w:val="203"/>
          <w:rFonts w:hint="default" w:ascii="Times New Roman" w:hAnsi="Times New Roman"/>
        </w:rPr>
        <w:t xml:space="preserve"> 检验功能实现程度：确认</w:t>
      </w:r>
      <w:r>
        <w:rPr>
          <w:rFonts w:hint="eastAsia" w:ascii="仿宋_GB2312" w:hAnsi="仿宋_GB2312" w:eastAsia="仿宋_GB2312" w:cs="仿宋_GB2312"/>
          <w:bCs w:val="0"/>
          <w:sz w:val="32"/>
          <w:szCs w:val="32"/>
          <w:shd w:val="clear" w:color="auto" w:fill="auto"/>
          <w:lang w:val="en-US" w:eastAsia="zh-CN" w:bidi="ar-SA"/>
        </w:rPr>
        <w:t>盐边县广播电视在智慧广电内容生产、传播网络、安全监管、生态服务、乡村文旅振兴服务等方面是否得到极大的提升，让全县人民是否能够享受更加满意、更加丰富、更加优质的广播电视服务。</w:t>
      </w:r>
    </w:p>
    <w:p>
      <w:pPr>
        <w:spacing w:line="578" w:lineRule="exact"/>
        <w:ind w:firstLine="640"/>
        <w:rPr>
          <w:rStyle w:val="203"/>
          <w:rFonts w:hint="default" w:ascii="Times New Roman" w:hAnsi="Times New Roman"/>
        </w:rPr>
      </w:pPr>
      <w:r>
        <w:rPr>
          <w:rStyle w:val="203"/>
          <w:rFonts w:hint="default" w:ascii="Times New Roman" w:hAnsi="Times New Roman"/>
        </w:rPr>
        <w:t xml:space="preserve"> 2．社会影响与服务提升方面</w:t>
      </w:r>
    </w:p>
    <w:p>
      <w:pPr>
        <w:spacing w:line="578" w:lineRule="exact"/>
        <w:ind w:firstLine="640"/>
        <w:rPr>
          <w:rStyle w:val="203"/>
          <w:rFonts w:hint="default" w:ascii="Times New Roman" w:hAnsi="Times New Roman"/>
        </w:rPr>
      </w:pPr>
      <w:r>
        <w:rPr>
          <w:rStyle w:val="203"/>
          <w:rFonts w:hint="default" w:ascii="Times New Roman" w:hAnsi="Times New Roman"/>
        </w:rPr>
        <w:t xml:space="preserve"> 增强公众满意度：调查公众对</w:t>
      </w:r>
      <w:r>
        <w:rPr>
          <w:rStyle w:val="203"/>
          <w:rFonts w:hint="eastAsia" w:ascii="Times New Roman" w:hAnsi="Times New Roman" w:eastAsia="仿宋_GB2312"/>
          <w:lang w:eastAsia="zh-CN"/>
        </w:rPr>
        <w:t>智慧</w:t>
      </w:r>
      <w:r>
        <w:rPr>
          <w:rStyle w:val="203"/>
          <w:rFonts w:hint="default" w:ascii="Times New Roman" w:hAnsi="Times New Roman"/>
        </w:rPr>
        <w:t>广播服务的满意度，包括信息内容的实用性、</w:t>
      </w:r>
      <w:r>
        <w:rPr>
          <w:rStyle w:val="203"/>
          <w:rFonts w:hint="eastAsia" w:ascii="Times New Roman" w:hAnsi="Times New Roman" w:eastAsia="仿宋_GB2312"/>
          <w:lang w:eastAsia="zh-CN"/>
        </w:rPr>
        <w:t>智慧</w:t>
      </w:r>
      <w:r>
        <w:rPr>
          <w:rStyle w:val="203"/>
          <w:rFonts w:hint="default" w:ascii="Times New Roman" w:hAnsi="Times New Roman"/>
        </w:rPr>
        <w:t>广播的可</w:t>
      </w:r>
      <w:r>
        <w:rPr>
          <w:rStyle w:val="203"/>
          <w:rFonts w:hint="eastAsia" w:ascii="Times New Roman" w:hAnsi="Times New Roman" w:eastAsia="仿宋_GB2312"/>
          <w:lang w:eastAsia="zh-CN"/>
        </w:rPr>
        <w:t>操作</w:t>
      </w:r>
      <w:r>
        <w:rPr>
          <w:rStyle w:val="203"/>
          <w:rFonts w:hint="default" w:ascii="Times New Roman" w:hAnsi="Times New Roman"/>
        </w:rPr>
        <w:t>性等，从用户角度反馈项目的质量，进而提升公共服务水平，增强民众对应急广播的信任和依赖。</w:t>
      </w:r>
    </w:p>
    <w:p>
      <w:pPr>
        <w:spacing w:line="578" w:lineRule="exact"/>
        <w:ind w:firstLine="640"/>
        <w:rPr>
          <w:rStyle w:val="203"/>
          <w:rFonts w:hint="default" w:ascii="Times New Roman" w:hAnsi="Times New Roman"/>
        </w:rPr>
      </w:pPr>
      <w:r>
        <w:rPr>
          <w:rStyle w:val="203"/>
          <w:rFonts w:hint="default" w:ascii="Times New Roman" w:hAnsi="Times New Roman"/>
        </w:rPr>
        <w:t>促进社会稳定与安全：</w:t>
      </w:r>
      <w:r>
        <w:rPr>
          <w:rFonts w:hint="eastAsia" w:ascii="仿宋_GB2312" w:hAnsi="宋体" w:eastAsia="仿宋_GB2312" w:cs="宋体"/>
          <w:bCs w:val="0"/>
          <w:sz w:val="32"/>
          <w:szCs w:val="32"/>
        </w:rPr>
        <w:t>通过项目实施，建设综合性强、覆盖面广的综合应急预警服务中心，</w:t>
      </w:r>
      <w:r>
        <w:rPr>
          <w:rFonts w:hint="eastAsia" w:ascii="仿宋_GB2312" w:hAnsi="宋体" w:eastAsia="仿宋_GB2312" w:cs="宋体"/>
          <w:sz w:val="32"/>
          <w:szCs w:val="32"/>
        </w:rPr>
        <w:t>提高数据、资源、信息共享水平，提升县级各部门的应急预警能力，统筹整合资源、资金使用，节省人力资源，节省各平台分级建设的资金支出。</w:t>
      </w:r>
      <w:r>
        <w:rPr>
          <w:rStyle w:val="203"/>
          <w:rFonts w:hint="default" w:ascii="Times New Roman" w:hAnsi="Times New Roman"/>
        </w:rPr>
        <w:t>评价项目有助于确保其能有效地辅助政府进行应急管理，降低灾害损失，保障人民生命财产安全，促进社会的和谐稳定。</w:t>
      </w:r>
    </w:p>
    <w:p>
      <w:pPr>
        <w:spacing w:line="578" w:lineRule="exact"/>
        <w:ind w:firstLine="643"/>
        <w:rPr>
          <w:rFonts w:ascii="Times New Roman" w:hAnsi="Times New Roman" w:eastAsia="楷体_GB2312"/>
          <w:b/>
          <w:sz w:val="32"/>
          <w:szCs w:val="32"/>
          <w:lang w:val="zh-CN"/>
        </w:rPr>
      </w:pPr>
      <w:r>
        <w:rPr>
          <w:rFonts w:ascii="Times New Roman" w:hAnsi="Times New Roman" w:eastAsia="楷体_GB2312"/>
          <w:b/>
          <w:sz w:val="32"/>
          <w:szCs w:val="32"/>
          <w:lang w:val="zh-CN"/>
        </w:rPr>
        <w:t xml:space="preserve"> （二）预设问题及评价重点。</w:t>
      </w:r>
    </w:p>
    <w:p>
      <w:pPr>
        <w:spacing w:line="578"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按照绩效评价指标体系，对项目建设、资金使用和实施效果进行综合评价和判断。</w:t>
      </w:r>
    </w:p>
    <w:p>
      <w:pPr>
        <w:spacing w:line="578" w:lineRule="exact"/>
        <w:ind w:firstLine="640"/>
        <w:rPr>
          <w:rStyle w:val="203"/>
          <w:rFonts w:hint="default" w:ascii="Times New Roman" w:hAnsi="Times New Roman"/>
        </w:rPr>
      </w:pPr>
      <w:r>
        <w:rPr>
          <w:rStyle w:val="203"/>
          <w:rFonts w:hint="default" w:ascii="Times New Roman" w:hAnsi="Times New Roman"/>
        </w:rPr>
        <w:t>1．预设问题。</w:t>
      </w:r>
    </w:p>
    <w:p>
      <w:pPr>
        <w:spacing w:line="578" w:lineRule="exact"/>
        <w:ind w:firstLine="640"/>
        <w:rPr>
          <w:rFonts w:ascii="Times New Roman" w:hAnsi="Times New Roman" w:eastAsia="仿宋_GB2312"/>
          <w:color w:val="auto"/>
          <w:sz w:val="32"/>
          <w:szCs w:val="32"/>
          <w:lang w:val="zh-CN"/>
        </w:rPr>
      </w:pPr>
      <w:r>
        <w:rPr>
          <w:rFonts w:ascii="Times New Roman" w:hAnsi="Times New Roman" w:eastAsia="仿宋_GB2312"/>
          <w:color w:val="auto"/>
          <w:sz w:val="32"/>
          <w:szCs w:val="32"/>
          <w:lang w:val="zh-CN"/>
        </w:rPr>
        <w:t>（1）范围方面：</w:t>
      </w:r>
      <w:r>
        <w:rPr>
          <w:rFonts w:hint="eastAsia" w:ascii="Times New Roman" w:hAnsi="Times New Roman" w:eastAsia="仿宋_GB2312"/>
          <w:color w:val="auto"/>
          <w:sz w:val="32"/>
          <w:szCs w:val="32"/>
          <w:lang w:val="zh-CN"/>
        </w:rPr>
        <w:t>县</w:t>
      </w:r>
      <w:r>
        <w:rPr>
          <w:rFonts w:ascii="Times New Roman" w:hAnsi="Times New Roman" w:eastAsia="仿宋_GB2312"/>
          <w:color w:val="auto"/>
          <w:sz w:val="32"/>
          <w:szCs w:val="32"/>
          <w:lang w:val="zh-CN"/>
        </w:rPr>
        <w:t>本级区域内是否全覆盖？</w:t>
      </w:r>
    </w:p>
    <w:p>
      <w:pPr>
        <w:spacing w:line="578" w:lineRule="exact"/>
        <w:ind w:firstLine="640"/>
        <w:rPr>
          <w:rFonts w:ascii="Times New Roman" w:hAnsi="Times New Roman" w:eastAsia="仿宋_GB2312"/>
          <w:color w:val="auto"/>
          <w:sz w:val="32"/>
          <w:szCs w:val="32"/>
          <w:lang w:val="zh-CN"/>
        </w:rPr>
      </w:pPr>
      <w:r>
        <w:rPr>
          <w:rFonts w:ascii="Times New Roman" w:hAnsi="Times New Roman" w:eastAsia="仿宋_GB2312"/>
          <w:color w:val="auto"/>
          <w:sz w:val="32"/>
          <w:szCs w:val="32"/>
          <w:lang w:val="zh-CN"/>
        </w:rPr>
        <w:t>（2）技术方面：</w:t>
      </w:r>
      <w:r>
        <w:rPr>
          <w:rFonts w:hint="eastAsia" w:ascii="Times New Roman" w:hAnsi="Times New Roman" w:eastAsia="仿宋_GB2312"/>
          <w:color w:val="auto"/>
          <w:sz w:val="32"/>
          <w:szCs w:val="32"/>
          <w:lang w:val="zh-CN"/>
        </w:rPr>
        <w:t>是否达到与电视相结合，是否与应急广播相结合，红格数字乡村信息是否达到预期效果、多源数据汇聚效果如何？</w:t>
      </w:r>
    </w:p>
    <w:p>
      <w:pPr>
        <w:spacing w:line="578" w:lineRule="exact"/>
        <w:ind w:firstLine="640"/>
        <w:rPr>
          <w:rFonts w:ascii="Times New Roman" w:hAnsi="Times New Roman" w:eastAsia="仿宋_GB2312"/>
          <w:color w:val="auto"/>
          <w:sz w:val="32"/>
          <w:szCs w:val="32"/>
          <w:lang w:val="zh-CN"/>
        </w:rPr>
      </w:pPr>
      <w:r>
        <w:rPr>
          <w:rFonts w:ascii="Times New Roman" w:hAnsi="Times New Roman" w:eastAsia="仿宋_GB2312"/>
          <w:color w:val="auto"/>
          <w:sz w:val="32"/>
          <w:szCs w:val="32"/>
          <w:lang w:val="zh-CN"/>
        </w:rPr>
        <w:t>（3）内容方面：</w:t>
      </w:r>
      <w:r>
        <w:rPr>
          <w:rFonts w:hint="eastAsia" w:ascii="Times New Roman" w:hAnsi="Times New Roman" w:eastAsia="仿宋_GB2312"/>
          <w:color w:val="auto"/>
          <w:sz w:val="32"/>
          <w:szCs w:val="32"/>
          <w:lang w:val="zh-CN"/>
        </w:rPr>
        <w:t>是否与社区相连接，</w:t>
      </w:r>
      <w:r>
        <w:rPr>
          <w:rFonts w:ascii="Times New Roman" w:hAnsi="Times New Roman" w:eastAsia="仿宋_GB2312"/>
          <w:color w:val="auto"/>
          <w:sz w:val="32"/>
          <w:szCs w:val="32"/>
          <w:lang w:val="zh-CN"/>
        </w:rPr>
        <w:t>信息更新是否及时？是否存在信息误报的情况。</w:t>
      </w:r>
    </w:p>
    <w:p>
      <w:pPr>
        <w:spacing w:line="578" w:lineRule="exact"/>
        <w:ind w:firstLine="640"/>
        <w:rPr>
          <w:rStyle w:val="203"/>
          <w:rFonts w:hint="default" w:ascii="Times New Roman" w:hAnsi="Times New Roman"/>
        </w:rPr>
      </w:pPr>
      <w:r>
        <w:rPr>
          <w:rStyle w:val="203"/>
          <w:rFonts w:hint="default" w:ascii="Times New Roman" w:hAnsi="Times New Roman"/>
        </w:rPr>
        <w:t>2．评价重点。</w:t>
      </w:r>
    </w:p>
    <w:p>
      <w:pPr>
        <w:spacing w:line="578"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（1）技术可靠性：重点关注设备的稳定性和信号传输的可靠性，这是</w:t>
      </w:r>
      <w:r>
        <w:rPr>
          <w:rFonts w:hint="eastAsia" w:ascii="Times New Roman" w:hAnsi="Times New Roman" w:eastAsia="仿宋_GB2312"/>
          <w:sz w:val="32"/>
          <w:szCs w:val="32"/>
          <w:lang w:val="zh-CN"/>
        </w:rPr>
        <w:t>智慧</w:t>
      </w:r>
      <w:r>
        <w:rPr>
          <w:rFonts w:ascii="Times New Roman" w:hAnsi="Times New Roman" w:eastAsia="仿宋_GB2312"/>
          <w:sz w:val="32"/>
          <w:szCs w:val="32"/>
          <w:lang w:val="zh-CN"/>
        </w:rPr>
        <w:t>广播能否正常工作的关键。</w:t>
      </w:r>
    </w:p>
    <w:p>
      <w:pPr>
        <w:spacing w:line="578"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（2）信息准确性与及时性：确保广播内容准确无误且能在第一时间发布，以保障公众能根据信息采取正确的行动。</w:t>
      </w:r>
    </w:p>
    <w:p>
      <w:pPr>
        <w:spacing w:line="578"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 xml:space="preserve">（3）资金合理性：确保资金专款专用，安全有效。 </w:t>
      </w:r>
    </w:p>
    <w:p>
      <w:pPr>
        <w:spacing w:line="578" w:lineRule="exact"/>
        <w:ind w:firstLine="643"/>
        <w:rPr>
          <w:rFonts w:ascii="Times New Roman" w:hAnsi="Times New Roman" w:eastAsia="楷体_GB2312"/>
          <w:b/>
          <w:sz w:val="32"/>
          <w:szCs w:val="32"/>
          <w:lang w:val="zh-CN"/>
        </w:rPr>
      </w:pPr>
      <w:r>
        <w:rPr>
          <w:rFonts w:ascii="Times New Roman" w:hAnsi="Times New Roman" w:eastAsia="楷体_GB2312"/>
          <w:b/>
          <w:sz w:val="32"/>
          <w:szCs w:val="32"/>
          <w:lang w:val="zh-CN"/>
        </w:rPr>
        <w:t>（三）评价选点。</w:t>
      </w:r>
    </w:p>
    <w:p>
      <w:pPr>
        <w:spacing w:line="578"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主要针对项目实施及资金使用等方面实施绩效评价。</w:t>
      </w:r>
      <w:r>
        <w:rPr>
          <w:rFonts w:hint="eastAsia" w:ascii="Times New Roman" w:hAnsi="Times New Roman" w:eastAsia="仿宋_GB2312"/>
          <w:sz w:val="32"/>
          <w:szCs w:val="32"/>
          <w:lang w:val="zh-CN"/>
        </w:rPr>
        <w:t>选点红格镇和社区。</w:t>
      </w:r>
      <w:r>
        <w:rPr>
          <w:rFonts w:ascii="Times New Roman" w:hAnsi="Times New Roman" w:eastAsia="仿宋_GB2312"/>
          <w:sz w:val="32"/>
          <w:szCs w:val="32"/>
          <w:lang w:val="zh-CN"/>
        </w:rPr>
        <w:t>2023年，</w:t>
      </w:r>
      <w:r>
        <w:rPr>
          <w:rFonts w:hint="eastAsia" w:ascii="Times New Roman" w:hAnsi="Times New Roman" w:eastAsia="仿宋_GB2312"/>
          <w:sz w:val="32"/>
          <w:szCs w:val="32"/>
          <w:lang w:val="zh-CN"/>
        </w:rPr>
        <w:t>智慧</w:t>
      </w:r>
      <w:r>
        <w:rPr>
          <w:rFonts w:ascii="Times New Roman" w:hAnsi="Times New Roman" w:eastAsia="仿宋_GB2312"/>
          <w:sz w:val="32"/>
          <w:szCs w:val="32"/>
          <w:lang w:val="zh-CN"/>
        </w:rPr>
        <w:t>广播建设项目建设进展情况及</w:t>
      </w:r>
      <w:r>
        <w:rPr>
          <w:rFonts w:ascii="Times New Roman" w:hAnsi="Times New Roman" w:eastAsia="仿宋_GB2312"/>
          <w:sz w:val="32"/>
          <w:szCs w:val="32"/>
        </w:rPr>
        <w:t>资金使用均按合同进度执行，资金支付范围、支付标准、支付进度、支付依据等合规合法、与预算相符，无截留、挤占、挪用情况。</w:t>
      </w:r>
    </w:p>
    <w:p>
      <w:pPr>
        <w:spacing w:line="578" w:lineRule="exact"/>
        <w:ind w:firstLine="640"/>
        <w:rPr>
          <w:rFonts w:ascii="Times New Roman" w:hAnsi="Times New Roman" w:eastAsia="楷体_GB2312"/>
          <w:b/>
          <w:sz w:val="32"/>
          <w:szCs w:val="32"/>
          <w:lang w:val="zh-CN"/>
        </w:rPr>
      </w:pPr>
      <w:r>
        <w:rPr>
          <w:rFonts w:ascii="Times New Roman" w:hAnsi="Times New Roman" w:eastAsia="楷体_GB2312"/>
          <w:b/>
          <w:sz w:val="32"/>
          <w:szCs w:val="32"/>
          <w:lang w:val="zh-CN"/>
        </w:rPr>
        <w:t>（四）评价方法。</w:t>
      </w:r>
    </w:p>
    <w:p>
      <w:pPr>
        <w:spacing w:line="578"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按照有关规定和工作安排，</w:t>
      </w:r>
      <w:r>
        <w:rPr>
          <w:rFonts w:hint="eastAsia" w:ascii="Times New Roman" w:hAnsi="Times New Roman" w:eastAsia="仿宋_GB2312"/>
          <w:sz w:val="32"/>
          <w:szCs w:val="32"/>
          <w:lang w:val="zh-CN"/>
        </w:rPr>
        <w:t>县</w:t>
      </w:r>
      <w:r>
        <w:rPr>
          <w:rFonts w:ascii="Times New Roman" w:hAnsi="Times New Roman" w:eastAsia="仿宋_GB2312"/>
          <w:sz w:val="32"/>
          <w:szCs w:val="32"/>
          <w:lang w:val="zh-CN"/>
        </w:rPr>
        <w:t>文广旅局开展自行评估，通过自行成立等方式组建评估组，通过收集被评估项目相关基础资料，并查阅资料、收集数据信息等，深入论证分析后，形成绩效评估报告。本项目通过前期调研、现场踏勘、与项目相关技术人员进行座谈或讨论、聘请相关专业专家论证等方法了解项目情况，收集相关资料，综合分析相关情况后，对项目的立项必要性、投入经济性、目标合理性、方案可行性以及筹资合规性实施评估</w:t>
      </w:r>
      <w:r>
        <w:rPr>
          <w:rFonts w:ascii="Times New Roman" w:hAnsi="Times New Roman"/>
          <w:szCs w:val="32"/>
        </w:rPr>
        <w:t>。</w:t>
      </w:r>
    </w:p>
    <w:p>
      <w:pPr>
        <w:spacing w:line="578" w:lineRule="exact"/>
        <w:ind w:firstLine="640"/>
        <w:rPr>
          <w:rFonts w:ascii="Times New Roman" w:hAnsi="Times New Roman" w:eastAsia="楷体_GB2312"/>
          <w:b/>
          <w:sz w:val="32"/>
          <w:szCs w:val="32"/>
          <w:lang w:val="zh-CN"/>
        </w:rPr>
      </w:pPr>
      <w:r>
        <w:rPr>
          <w:rFonts w:ascii="Times New Roman" w:hAnsi="Times New Roman" w:eastAsia="楷体_GB2312"/>
          <w:b/>
          <w:sz w:val="32"/>
          <w:szCs w:val="32"/>
          <w:lang w:val="zh-CN"/>
        </w:rPr>
        <w:t>（五）评价组织。</w:t>
      </w:r>
    </w:p>
    <w:p>
      <w:pPr>
        <w:tabs>
          <w:tab w:val="left" w:pos="1911"/>
        </w:tabs>
        <w:ind w:firstLine="707"/>
        <w:jc w:val="left"/>
        <w:rPr>
          <w:rFonts w:ascii="Times New Roman" w:hAnsi="Times New Roman" w:eastAsia="仿宋_GB2312"/>
          <w:sz w:val="32"/>
          <w:szCs w:val="32"/>
          <w:lang w:val="zh-CN"/>
        </w:rPr>
      </w:pPr>
      <w:r>
        <w:rPr>
          <w:rFonts w:ascii="Times New Roman" w:hAnsi="Times New Roman" w:eastAsia="仿宋_GB2312"/>
          <w:sz w:val="32"/>
          <w:szCs w:val="32"/>
        </w:rPr>
        <w:t>评价人员主要由我</w:t>
      </w:r>
      <w:r>
        <w:rPr>
          <w:rFonts w:hint="eastAsia" w:ascii="Times New Roman" w:hAnsi="Times New Roman" w:eastAsia="仿宋_GB2312"/>
          <w:sz w:val="32"/>
          <w:szCs w:val="32"/>
          <w:lang w:eastAsia="zh-CN"/>
        </w:rPr>
        <w:t>局</w:t>
      </w:r>
      <w:r>
        <w:rPr>
          <w:rFonts w:ascii="Times New Roman" w:hAnsi="Times New Roman" w:eastAsia="仿宋_GB2312"/>
          <w:sz w:val="32"/>
          <w:szCs w:val="32"/>
        </w:rPr>
        <w:t>领导班子、中层干部、</w:t>
      </w:r>
      <w:r>
        <w:rPr>
          <w:rFonts w:hint="eastAsia" w:ascii="Times New Roman" w:hAnsi="Times New Roman" w:eastAsia="仿宋_GB2312"/>
          <w:sz w:val="32"/>
          <w:szCs w:val="32"/>
          <w:lang w:eastAsia="zh-CN"/>
        </w:rPr>
        <w:t>项目实施科室。分管项目的领导为组长</w:t>
      </w:r>
      <w:r>
        <w:rPr>
          <w:rFonts w:ascii="Times New Roman" w:hAnsi="Times New Roman" w:eastAsia="仿宋_GB2312"/>
          <w:sz w:val="32"/>
          <w:szCs w:val="32"/>
        </w:rPr>
        <w:t>，</w:t>
      </w:r>
      <w:r>
        <w:rPr>
          <w:rFonts w:hint="eastAsia" w:ascii="Times New Roman" w:hAnsi="Times New Roman" w:eastAsia="仿宋_GB2312"/>
          <w:sz w:val="32"/>
          <w:szCs w:val="32"/>
          <w:lang w:eastAsia="zh-CN"/>
        </w:rPr>
        <w:t>分管领导</w:t>
      </w:r>
      <w:r>
        <w:rPr>
          <w:rFonts w:ascii="Times New Roman" w:hAnsi="Times New Roman" w:eastAsia="仿宋_GB2312"/>
          <w:sz w:val="32"/>
          <w:szCs w:val="32"/>
        </w:rPr>
        <w:t>对项目具体实施并</w:t>
      </w:r>
      <w:r>
        <w:rPr>
          <w:rFonts w:hint="eastAsia" w:ascii="Times New Roman" w:hAnsi="Times New Roman" w:eastAsia="仿宋_GB2312"/>
          <w:sz w:val="32"/>
          <w:szCs w:val="32"/>
        </w:rPr>
        <w:t>依计</w:t>
      </w:r>
      <w:r>
        <w:rPr>
          <w:rFonts w:ascii="Times New Roman" w:hAnsi="Times New Roman" w:eastAsia="仿宋_GB2312"/>
          <w:sz w:val="32"/>
          <w:szCs w:val="32"/>
        </w:rPr>
        <w:t>划完成项目</w:t>
      </w:r>
      <w:r>
        <w:rPr>
          <w:rFonts w:hint="eastAsia" w:ascii="Times New Roman" w:hAnsi="Times New Roman" w:eastAsia="仿宋_GB2312"/>
          <w:sz w:val="32"/>
          <w:szCs w:val="32"/>
          <w:lang w:eastAsia="zh-CN"/>
        </w:rPr>
        <w:t>及进行自评</w:t>
      </w:r>
      <w:r>
        <w:rPr>
          <w:rFonts w:ascii="Times New Roman" w:hAnsi="Times New Roman" w:eastAsia="仿宋_GB2312"/>
          <w:sz w:val="32"/>
          <w:szCs w:val="32"/>
        </w:rPr>
        <w:t>。</w:t>
      </w:r>
      <w:r>
        <w:rPr>
          <w:rFonts w:ascii="Times New Roman" w:hAnsi="Times New Roman" w:eastAsia="仿宋_GB2312"/>
          <w:sz w:val="32"/>
          <w:szCs w:val="32"/>
          <w:lang w:val="zh-CN"/>
        </w:rPr>
        <w:t>根据工作职责，业务部门负责项目的建设及管理绩效评价工作</w:t>
      </w:r>
      <w:r>
        <w:rPr>
          <w:rFonts w:hint="eastAsia" w:ascii="Times New Roman" w:hAnsi="Times New Roman" w:eastAsia="仿宋_GB2312"/>
          <w:sz w:val="32"/>
          <w:szCs w:val="32"/>
          <w:lang w:val="zh-CN"/>
        </w:rPr>
        <w:t>。</w:t>
      </w:r>
    </w:p>
    <w:p>
      <w:pPr>
        <w:spacing w:line="578"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根据工作职责，业务部门负责项目的建设及管理绩效评价工作，财务部门负责资金的管理和使用绩效评价工作。</w:t>
      </w:r>
    </w:p>
    <w:p>
      <w:pPr>
        <w:spacing w:line="578" w:lineRule="exact"/>
        <w:ind w:firstLine="640"/>
        <w:rPr>
          <w:rFonts w:ascii="Times New Roman" w:hAnsi="Times New Roman"/>
          <w:sz w:val="32"/>
          <w:szCs w:val="32"/>
          <w:lang w:val="zh-CN"/>
        </w:rPr>
      </w:pPr>
      <w:r>
        <w:rPr>
          <w:rFonts w:ascii="Times New Roman" w:hAnsi="Times New Roman" w:eastAsia="黑体"/>
          <w:sz w:val="32"/>
          <w:szCs w:val="32"/>
        </w:rPr>
        <w:t>三、绩效分析</w:t>
      </w:r>
      <w:r>
        <w:rPr>
          <w:rFonts w:ascii="Times New Roman" w:hAnsi="Times New Roman"/>
          <w:sz w:val="32"/>
          <w:szCs w:val="32"/>
          <w:lang w:val="zh-CN"/>
        </w:rPr>
        <w:tab/>
      </w:r>
    </w:p>
    <w:p>
      <w:pPr>
        <w:spacing w:line="578" w:lineRule="exact"/>
        <w:ind w:firstLine="640"/>
        <w:rPr>
          <w:rFonts w:ascii="Times New Roman" w:hAnsi="Times New Roman" w:eastAsia="楷体_GB2312"/>
          <w:b/>
          <w:sz w:val="32"/>
          <w:szCs w:val="32"/>
        </w:rPr>
      </w:pPr>
      <w:r>
        <w:rPr>
          <w:rFonts w:ascii="Times New Roman" w:hAnsi="Times New Roman" w:eastAsia="楷体_GB2312"/>
          <w:b/>
          <w:sz w:val="32"/>
          <w:szCs w:val="32"/>
          <w:lang w:val="zh-CN"/>
        </w:rPr>
        <w:t>（一）</w:t>
      </w:r>
      <w:r>
        <w:rPr>
          <w:rFonts w:ascii="Times New Roman" w:hAnsi="Times New Roman" w:eastAsia="楷体_GB2312"/>
          <w:b/>
          <w:sz w:val="32"/>
          <w:szCs w:val="32"/>
        </w:rPr>
        <w:t>通用指标</w:t>
      </w:r>
      <w:r>
        <w:rPr>
          <w:rFonts w:ascii="Times New Roman" w:hAnsi="Times New Roman" w:eastAsia="楷体_GB2312"/>
          <w:b/>
          <w:bCs/>
          <w:color w:val="000000"/>
          <w:sz w:val="32"/>
          <w:szCs w:val="32"/>
          <w:shd w:val="clear" w:color="auto" w:fill="FFFFFF"/>
          <w:lang w:val="zh-CN"/>
        </w:rPr>
        <w:t>绩效分析。</w:t>
      </w:r>
    </w:p>
    <w:p>
      <w:pPr>
        <w:spacing w:line="578" w:lineRule="exact"/>
        <w:ind w:firstLine="640"/>
        <w:rPr>
          <w:rFonts w:ascii="Times New Roman" w:hAnsi="Times New Roman" w:eastAsia="楷体_GB2312"/>
          <w:sz w:val="32"/>
          <w:szCs w:val="32"/>
        </w:rPr>
      </w:pPr>
      <w:r>
        <w:rPr>
          <w:rFonts w:ascii="Times New Roman" w:hAnsi="Times New Roman" w:eastAsia="楷体_GB2312"/>
          <w:sz w:val="32"/>
          <w:szCs w:val="32"/>
        </w:rPr>
        <w:t>1</w:t>
      </w:r>
      <w:r>
        <w:rPr>
          <w:rFonts w:ascii="Times New Roman" w:hAnsi="Times New Roman" w:eastAsia="仿宋_GB2312"/>
          <w:sz w:val="32"/>
          <w:szCs w:val="32"/>
        </w:rPr>
        <w:t>．</w:t>
      </w:r>
      <w:r>
        <w:rPr>
          <w:rFonts w:ascii="Times New Roman" w:hAnsi="Times New Roman" w:eastAsia="楷体_GB2312"/>
          <w:sz w:val="32"/>
          <w:szCs w:val="32"/>
        </w:rPr>
        <w:t>项目决策。</w:t>
      </w:r>
    </w:p>
    <w:p>
      <w:pPr>
        <w:spacing w:line="578" w:lineRule="exact"/>
        <w:ind w:firstLine="640"/>
        <w:rPr>
          <w:rFonts w:ascii="Times New Roman" w:hAnsi="Times New Roman" w:eastAsia="仿宋_GB2312"/>
          <w:sz w:val="32"/>
          <w:szCs w:val="32"/>
          <w:lang w:val="zh-CN"/>
        </w:rPr>
      </w:pPr>
      <w:r>
        <w:rPr>
          <w:rFonts w:hint="eastAsia" w:ascii="Times New Roman" w:hAnsi="Times New Roman" w:eastAsia="仿宋_GB2312"/>
          <w:sz w:val="32"/>
          <w:szCs w:val="32"/>
          <w:lang w:val="zh-CN"/>
        </w:rPr>
        <w:t>县</w:t>
      </w:r>
      <w:r>
        <w:rPr>
          <w:rFonts w:ascii="Times New Roman" w:hAnsi="Times New Roman" w:eastAsia="仿宋_GB2312"/>
          <w:sz w:val="32"/>
          <w:szCs w:val="32"/>
          <w:lang w:val="zh-CN"/>
        </w:rPr>
        <w:t>级</w:t>
      </w:r>
      <w:r>
        <w:rPr>
          <w:rFonts w:hint="eastAsia" w:ascii="Times New Roman" w:hAnsi="Times New Roman" w:eastAsia="仿宋_GB2312"/>
          <w:sz w:val="32"/>
          <w:szCs w:val="32"/>
          <w:lang w:val="zh-CN"/>
        </w:rPr>
        <w:t>智慧</w:t>
      </w:r>
      <w:r>
        <w:rPr>
          <w:rFonts w:ascii="Times New Roman" w:hAnsi="Times New Roman" w:eastAsia="仿宋_GB2312"/>
          <w:sz w:val="32"/>
          <w:szCs w:val="32"/>
          <w:lang w:val="zh-CN"/>
        </w:rPr>
        <w:t>广播建设项目立项依据充分、程序合规、项目资金使用计划可行、审批手续齐全。</w:t>
      </w:r>
      <w:r>
        <w:rPr>
          <w:rFonts w:hint="eastAsia" w:ascii="Times New Roman" w:hAnsi="Times New Roman" w:eastAsia="仿宋_GB2312"/>
          <w:sz w:val="32"/>
          <w:szCs w:val="32"/>
          <w:lang w:val="zh-CN"/>
        </w:rPr>
        <w:t>县</w:t>
      </w:r>
      <w:r>
        <w:rPr>
          <w:rFonts w:ascii="Times New Roman" w:hAnsi="Times New Roman" w:eastAsia="仿宋_GB2312"/>
          <w:sz w:val="32"/>
          <w:szCs w:val="32"/>
          <w:lang w:val="zh-CN"/>
        </w:rPr>
        <w:t>文广旅局在申报和分配应急广播建设项目经费预算时，严格</w:t>
      </w:r>
      <w:r>
        <w:rPr>
          <w:rStyle w:val="203"/>
          <w:rFonts w:hint="default" w:ascii="Times New Roman" w:hAnsi="Times New Roman"/>
        </w:rPr>
        <w:t>按照</w:t>
      </w:r>
      <w:r>
        <w:rPr>
          <w:rFonts w:ascii="仿宋_GB2312" w:hAnsi="Calibri" w:eastAsia="仿宋_GB2312" w:cs="仿宋_GB2312"/>
          <w:i w:val="0"/>
          <w:caps w:val="0"/>
          <w:color w:val="555555"/>
          <w:spacing w:val="0"/>
          <w:sz w:val="32"/>
          <w:szCs w:val="32"/>
          <w:shd w:val="clear" w:color="auto" w:fill="FFFFFF"/>
          <w:lang w:val="en-US" w:eastAsia="zh-CN" w:bidi="ar"/>
        </w:rPr>
        <w:t>四川省财政厅《关于</w:t>
      </w:r>
      <w:r>
        <w:rPr>
          <w:rFonts w:hint="eastAsia" w:ascii="仿宋_GB2312" w:hAnsi="Calibri" w:eastAsia="仿宋_GB2312" w:cs="仿宋_GB2312"/>
          <w:i w:val="0"/>
          <w:caps w:val="0"/>
          <w:color w:val="555555"/>
          <w:spacing w:val="0"/>
          <w:sz w:val="32"/>
          <w:szCs w:val="32"/>
          <w:shd w:val="clear" w:color="auto" w:fill="FFFFFF"/>
          <w:lang w:val="en-US" w:eastAsia="zh-CN" w:bidi="ar"/>
        </w:rPr>
        <w:t>组织2022-2023年度智慧广电示范区创建项目入库申报的通知》（川广办发〔2022〕）11号）</w:t>
      </w:r>
      <w:r>
        <w:rPr>
          <w:rFonts w:hint="eastAsia" w:ascii="仿宋_GB2312" w:eastAsia="仿宋_GB2312" w:cs="仿宋_GB2312"/>
          <w:i w:val="0"/>
          <w:caps w:val="0"/>
          <w:color w:val="555555"/>
          <w:spacing w:val="0"/>
          <w:sz w:val="32"/>
          <w:szCs w:val="32"/>
          <w:shd w:val="clear" w:color="auto" w:fill="FFFFFF"/>
          <w:lang w:val="en-US" w:eastAsia="zh-CN" w:bidi="ar"/>
        </w:rPr>
        <w:t>，</w:t>
      </w:r>
      <w:r>
        <w:rPr>
          <w:rStyle w:val="203"/>
          <w:rFonts w:hint="default" w:ascii="Times New Roman" w:hAnsi="Times New Roman"/>
        </w:rPr>
        <w:t>和</w:t>
      </w:r>
      <w:r>
        <w:rPr>
          <w:rFonts w:hint="eastAsia" w:ascii="仿宋_GB2312" w:hAnsi="Calibri" w:eastAsia="仿宋_GB2312" w:cs="仿宋_GB2312"/>
          <w:i w:val="0"/>
          <w:caps w:val="0"/>
          <w:color w:val="555555"/>
          <w:spacing w:val="0"/>
          <w:sz w:val="32"/>
          <w:szCs w:val="32"/>
          <w:shd w:val="clear" w:color="auto" w:fill="FFFFFF"/>
          <w:lang w:val="en-US" w:eastAsia="zh-CN" w:bidi="ar"/>
        </w:rPr>
        <w:t>2022年度智慧广电示范区创建项目</w:t>
      </w:r>
      <w:r>
        <w:rPr>
          <w:rStyle w:val="203"/>
          <w:rFonts w:hint="eastAsia" w:ascii="Times New Roman" w:hAnsi="Times New Roman" w:eastAsia="仿宋_GB2312"/>
          <w:lang w:eastAsia="zh-CN"/>
        </w:rPr>
        <w:t>创建实施项目的批复</w:t>
      </w:r>
      <w:r>
        <w:rPr>
          <w:rStyle w:val="203"/>
          <w:rFonts w:hint="default" w:ascii="Times New Roman" w:hAnsi="Times New Roman"/>
        </w:rPr>
        <w:t>文件要求，</w:t>
      </w:r>
      <w:r>
        <w:rPr>
          <w:rFonts w:ascii="Times New Roman" w:hAnsi="Times New Roman" w:eastAsia="仿宋_GB2312"/>
          <w:sz w:val="32"/>
          <w:szCs w:val="32"/>
          <w:lang w:val="zh-CN"/>
        </w:rPr>
        <w:t>明确工作任务。</w:t>
      </w:r>
    </w:p>
    <w:p>
      <w:pPr>
        <w:spacing w:line="578" w:lineRule="exact"/>
        <w:ind w:firstLine="640"/>
        <w:rPr>
          <w:rFonts w:ascii="Times New Roman" w:hAnsi="Times New Roman" w:eastAsia="楷体_GB2312"/>
          <w:sz w:val="32"/>
          <w:szCs w:val="32"/>
        </w:rPr>
      </w:pPr>
      <w:r>
        <w:rPr>
          <w:rFonts w:ascii="Times New Roman" w:hAnsi="Times New Roman" w:eastAsia="楷体_GB2312"/>
          <w:sz w:val="32"/>
          <w:szCs w:val="32"/>
        </w:rPr>
        <w:t>2</w:t>
      </w:r>
      <w:r>
        <w:rPr>
          <w:rFonts w:ascii="Times New Roman" w:hAnsi="Times New Roman" w:eastAsia="仿宋_GB2312"/>
          <w:sz w:val="32"/>
          <w:szCs w:val="32"/>
        </w:rPr>
        <w:t>．</w:t>
      </w:r>
      <w:r>
        <w:rPr>
          <w:rFonts w:ascii="Times New Roman" w:hAnsi="Times New Roman" w:eastAsia="楷体_GB2312"/>
          <w:sz w:val="32"/>
          <w:szCs w:val="32"/>
        </w:rPr>
        <w:t>项目管理。</w:t>
      </w:r>
    </w:p>
    <w:p>
      <w:pPr>
        <w:spacing w:line="578" w:lineRule="exact"/>
        <w:ind w:firstLine="640"/>
        <w:rPr>
          <w:rStyle w:val="203"/>
          <w:rFonts w:hint="default" w:ascii="Times New Roman" w:hAnsi="Times New Roman"/>
        </w:rPr>
      </w:pPr>
      <w:r>
        <w:rPr>
          <w:rStyle w:val="203"/>
          <w:rFonts w:hint="default" w:ascii="Times New Roman" w:hAnsi="Times New Roman"/>
        </w:rPr>
        <w:t>项目实施均严格执行相关法律法规及项目管理制度，涉及政府采购、项目公示制等严格按照相关规定执行</w:t>
      </w:r>
    </w:p>
    <w:p>
      <w:pPr>
        <w:spacing w:line="578" w:lineRule="exact"/>
        <w:ind w:firstLine="640"/>
        <w:rPr>
          <w:rFonts w:ascii="Times New Roman" w:hAnsi="Times New Roman" w:eastAsia="楷体_GB2312"/>
          <w:sz w:val="32"/>
          <w:szCs w:val="32"/>
        </w:rPr>
      </w:pPr>
      <w:r>
        <w:rPr>
          <w:rFonts w:ascii="Times New Roman" w:hAnsi="Times New Roman" w:eastAsia="楷体_GB2312"/>
          <w:sz w:val="32"/>
          <w:szCs w:val="32"/>
        </w:rPr>
        <w:t>3</w:t>
      </w:r>
      <w:r>
        <w:rPr>
          <w:rFonts w:ascii="Times New Roman" w:hAnsi="Times New Roman" w:eastAsia="仿宋_GB2312"/>
          <w:sz w:val="32"/>
          <w:szCs w:val="32"/>
        </w:rPr>
        <w:t>．</w:t>
      </w:r>
      <w:r>
        <w:rPr>
          <w:rFonts w:ascii="Times New Roman" w:hAnsi="Times New Roman" w:eastAsia="楷体_GB2312"/>
          <w:sz w:val="32"/>
          <w:szCs w:val="32"/>
        </w:rPr>
        <w:t>项目实施。</w:t>
      </w:r>
    </w:p>
    <w:p>
      <w:pPr>
        <w:spacing w:line="578" w:lineRule="exact"/>
        <w:ind w:firstLine="640"/>
        <w:rPr>
          <w:rStyle w:val="203"/>
          <w:rFonts w:hint="default" w:ascii="Times New Roman" w:hAnsi="Times New Roman"/>
        </w:rPr>
      </w:pPr>
      <w:r>
        <w:rPr>
          <w:rStyle w:val="203"/>
          <w:rFonts w:hint="default" w:ascii="Times New Roman" w:hAnsi="Times New Roman"/>
        </w:rPr>
        <w:t>按照年初工作计划分步实施，根据资金预算有计划开展项目工作，有效实施进度。</w:t>
      </w:r>
    </w:p>
    <w:p>
      <w:pPr>
        <w:spacing w:line="578" w:lineRule="exact"/>
        <w:ind w:firstLine="640"/>
        <w:rPr>
          <w:rStyle w:val="203"/>
          <w:rFonts w:hint="default" w:ascii="Times New Roman" w:hAnsi="Times New Roman"/>
        </w:rPr>
      </w:pPr>
      <w:r>
        <w:rPr>
          <w:rStyle w:val="203"/>
          <w:rFonts w:hint="default" w:ascii="Times New Roman" w:hAnsi="Times New Roman"/>
        </w:rPr>
        <w:t>2023年，</w:t>
      </w:r>
      <w:r>
        <w:rPr>
          <w:rStyle w:val="203"/>
          <w:rFonts w:hint="eastAsia" w:ascii="Times New Roman" w:hAnsi="Times New Roman" w:eastAsia="仿宋_GB2312"/>
          <w:lang w:eastAsia="zh-CN"/>
        </w:rPr>
        <w:t>智慧广播</w:t>
      </w:r>
      <w:r>
        <w:rPr>
          <w:rStyle w:val="203"/>
          <w:rFonts w:hint="default" w:ascii="Times New Roman" w:hAnsi="Times New Roman"/>
        </w:rPr>
        <w:t>建设项目实际支出</w:t>
      </w:r>
      <w:r>
        <w:rPr>
          <w:rStyle w:val="203"/>
          <w:rFonts w:hint="eastAsia" w:ascii="Times New Roman" w:hAnsi="Times New Roman" w:eastAsia="仿宋_GB2312"/>
          <w:lang w:val="en-US" w:eastAsia="zh-CN"/>
        </w:rPr>
        <w:t>119.96</w:t>
      </w:r>
      <w:r>
        <w:rPr>
          <w:rStyle w:val="203"/>
          <w:rFonts w:hint="default" w:ascii="Times New Roman" w:hAnsi="Times New Roman"/>
        </w:rPr>
        <w:t>万元，用</w:t>
      </w:r>
      <w:r>
        <w:rPr>
          <w:rStyle w:val="203"/>
          <w:rFonts w:hint="eastAsia" w:ascii="Times New Roman" w:hAnsi="Times New Roman" w:eastAsia="仿宋_GB2312"/>
          <w:lang w:eastAsia="zh-CN"/>
        </w:rPr>
        <w:t>智慧</w:t>
      </w:r>
      <w:r>
        <w:rPr>
          <w:rStyle w:val="203"/>
          <w:rFonts w:hint="default" w:ascii="Times New Roman" w:hAnsi="Times New Roman"/>
        </w:rPr>
        <w:t>广播建设</w:t>
      </w:r>
      <w:r>
        <w:rPr>
          <w:rStyle w:val="203"/>
          <w:rFonts w:hint="eastAsia" w:ascii="Times New Roman" w:hAnsi="Times New Roman" w:eastAsia="仿宋_GB2312"/>
          <w:lang w:eastAsia="zh-CN"/>
        </w:rPr>
        <w:t>政府采购合同</w:t>
      </w:r>
      <w:r>
        <w:rPr>
          <w:rStyle w:val="203"/>
          <w:rFonts w:hint="default" w:ascii="Times New Roman" w:hAnsi="Times New Roman"/>
        </w:rPr>
        <w:t>费用</w:t>
      </w:r>
      <w:r>
        <w:rPr>
          <w:rStyle w:val="203"/>
          <w:rFonts w:hint="eastAsia" w:ascii="Times New Roman" w:hAnsi="Times New Roman" w:eastAsia="仿宋_GB2312"/>
          <w:lang w:val="en-US" w:eastAsia="zh-CN"/>
        </w:rPr>
        <w:t>119.96</w:t>
      </w:r>
      <w:r>
        <w:rPr>
          <w:rStyle w:val="203"/>
          <w:rFonts w:hint="default" w:ascii="Times New Roman" w:hAnsi="Times New Roman"/>
        </w:rPr>
        <w:t>万元，</w:t>
      </w:r>
      <w:r>
        <w:rPr>
          <w:rStyle w:val="203"/>
          <w:rFonts w:hint="eastAsia" w:ascii="Times New Roman" w:hAnsi="Times New Roman" w:eastAsia="仿宋_GB2312"/>
          <w:lang w:eastAsia="zh-CN"/>
        </w:rPr>
        <w:t>为</w:t>
      </w:r>
      <w:r>
        <w:rPr>
          <w:rStyle w:val="203"/>
          <w:rFonts w:hint="default" w:ascii="Times New Roman" w:hAnsi="Times New Roman"/>
        </w:rPr>
        <w:t>按照</w:t>
      </w:r>
      <w:r>
        <w:rPr>
          <w:rStyle w:val="203"/>
          <w:rFonts w:hint="eastAsia" w:ascii="Times New Roman" w:hAnsi="Times New Roman" w:eastAsia="仿宋_GB2312"/>
          <w:lang w:eastAsia="zh-CN"/>
        </w:rPr>
        <w:t>项目</w:t>
      </w:r>
      <w:r>
        <w:rPr>
          <w:rStyle w:val="203"/>
          <w:rFonts w:hint="default" w:ascii="Times New Roman" w:hAnsi="Times New Roman"/>
        </w:rPr>
        <w:t>进度执行。</w:t>
      </w:r>
    </w:p>
    <w:p>
      <w:pPr>
        <w:spacing w:line="578" w:lineRule="exact"/>
        <w:ind w:firstLine="640"/>
        <w:rPr>
          <w:rFonts w:ascii="Times New Roman" w:hAnsi="Times New Roman" w:eastAsia="楷体_GB2312"/>
          <w:sz w:val="32"/>
          <w:szCs w:val="32"/>
        </w:rPr>
      </w:pPr>
      <w:r>
        <w:rPr>
          <w:rFonts w:ascii="Times New Roman" w:hAnsi="Times New Roman" w:eastAsia="楷体_GB2312"/>
          <w:sz w:val="32"/>
          <w:szCs w:val="32"/>
        </w:rPr>
        <w:t>4</w:t>
      </w:r>
      <w:r>
        <w:rPr>
          <w:rFonts w:ascii="Times New Roman" w:hAnsi="Times New Roman" w:eastAsia="仿宋_GB2312"/>
          <w:sz w:val="32"/>
          <w:szCs w:val="32"/>
        </w:rPr>
        <w:t>．</w:t>
      </w:r>
      <w:r>
        <w:rPr>
          <w:rFonts w:ascii="Times New Roman" w:hAnsi="Times New Roman" w:eastAsia="楷体_GB2312"/>
          <w:sz w:val="32"/>
          <w:szCs w:val="32"/>
        </w:rPr>
        <w:t>项目结果。</w:t>
      </w:r>
    </w:p>
    <w:p>
      <w:pPr>
        <w:spacing w:line="578" w:lineRule="exact"/>
        <w:ind w:firstLine="640"/>
        <w:rPr>
          <w:rFonts w:ascii="Times New Roman" w:hAnsi="Times New Roman" w:eastAsia="仿宋_GB2312"/>
          <w:sz w:val="32"/>
          <w:szCs w:val="32"/>
          <w:lang w:val="zh-CN"/>
        </w:rPr>
      </w:pPr>
      <w:r>
        <w:rPr>
          <w:rStyle w:val="203"/>
          <w:rFonts w:hint="default" w:ascii="Times New Roman" w:hAnsi="Times New Roman"/>
        </w:rPr>
        <w:t>编制项目实施方案和项目招标技术规范书，启动和建设</w:t>
      </w:r>
      <w:r>
        <w:rPr>
          <w:rStyle w:val="203"/>
          <w:rFonts w:hint="eastAsia" w:ascii="Times New Roman" w:hAnsi="Times New Roman" w:eastAsia="仿宋_GB2312"/>
          <w:lang w:eastAsia="zh-CN"/>
        </w:rPr>
        <w:t>盐边县中心数据调度系统、盐边县智慧广电移动电视系统、红格数字乡村信息系统、盐边县多数源数据汇聚系统</w:t>
      </w:r>
      <w:r>
        <w:rPr>
          <w:rStyle w:val="203"/>
          <w:rFonts w:hint="default" w:ascii="Times New Roman" w:hAnsi="Times New Roman"/>
        </w:rPr>
        <w:t>，实现预期绩效目标。</w:t>
      </w:r>
    </w:p>
    <w:p>
      <w:pPr>
        <w:spacing w:line="578" w:lineRule="exact"/>
        <w:ind w:firstLine="643"/>
        <w:rPr>
          <w:rFonts w:ascii="Times New Roman" w:hAnsi="Times New Roman" w:eastAsia="仿宋_GB2312"/>
          <w:sz w:val="32"/>
          <w:szCs w:val="32"/>
          <w:lang w:val="zh-CN"/>
        </w:rPr>
      </w:pPr>
      <w:r>
        <w:rPr>
          <w:rFonts w:ascii="Times New Roman" w:hAnsi="Times New Roman" w:eastAsia="楷体_GB2312"/>
          <w:b/>
          <w:sz w:val="32"/>
          <w:szCs w:val="32"/>
          <w:lang w:val="zh-CN"/>
        </w:rPr>
        <w:t>（二）</w:t>
      </w:r>
      <w:r>
        <w:rPr>
          <w:rFonts w:ascii="Times New Roman" w:hAnsi="Times New Roman" w:eastAsia="楷体_GB2312"/>
          <w:b/>
          <w:sz w:val="32"/>
          <w:szCs w:val="32"/>
        </w:rPr>
        <w:t>专用指标</w:t>
      </w:r>
      <w:r>
        <w:rPr>
          <w:rFonts w:ascii="Times New Roman" w:hAnsi="Times New Roman" w:eastAsia="楷体_GB2312"/>
          <w:b/>
          <w:bCs/>
          <w:color w:val="000000"/>
          <w:sz w:val="32"/>
          <w:szCs w:val="32"/>
          <w:shd w:val="clear" w:color="auto" w:fill="FFFFFF"/>
          <w:lang w:val="zh-CN"/>
        </w:rPr>
        <w:t>绩效分析。</w:t>
      </w:r>
    </w:p>
    <w:p>
      <w:pPr>
        <w:spacing w:line="578" w:lineRule="exact"/>
        <w:ind w:firstLine="640"/>
        <w:rPr>
          <w:rFonts w:ascii="Times New Roman" w:hAnsi="Times New Roman" w:eastAsia="楷体_GB2312"/>
          <w:sz w:val="32"/>
          <w:szCs w:val="32"/>
        </w:rPr>
      </w:pPr>
      <w:r>
        <w:rPr>
          <w:rFonts w:ascii="Times New Roman" w:hAnsi="Times New Roman" w:eastAsia="楷体_GB2312"/>
          <w:sz w:val="32"/>
          <w:szCs w:val="32"/>
        </w:rPr>
        <w:t>1</w:t>
      </w:r>
      <w:r>
        <w:rPr>
          <w:rFonts w:ascii="Times New Roman" w:hAnsi="Times New Roman" w:eastAsia="仿宋_GB2312"/>
          <w:sz w:val="32"/>
          <w:szCs w:val="32"/>
        </w:rPr>
        <w:t>．</w:t>
      </w:r>
      <w:r>
        <w:rPr>
          <w:rFonts w:ascii="Times New Roman" w:hAnsi="Times New Roman" w:eastAsia="楷体_GB2312"/>
          <w:sz w:val="32"/>
          <w:szCs w:val="32"/>
        </w:rPr>
        <w:t>产业发展。</w:t>
      </w:r>
    </w:p>
    <w:p>
      <w:pPr>
        <w:pStyle w:val="204"/>
        <w:keepNext w:val="0"/>
        <w:keepLines w:val="0"/>
        <w:pageBreakBefore w:val="0"/>
        <w:widowControl w:val="0"/>
        <w:spacing w:line="560" w:lineRule="exact"/>
        <w:ind w:left="0" w:firstLine="640"/>
        <w:jc w:val="both"/>
        <w:rPr>
          <w:rFonts w:hint="eastAsia" w:ascii="仿宋_GB2312" w:hAnsi="仿宋_GB2312" w:cs="仿宋_GB2312"/>
          <w:b/>
          <w:bCs w:val="0"/>
          <w:szCs w:val="32"/>
        </w:rPr>
      </w:pPr>
      <w:r>
        <w:rPr>
          <w:rFonts w:ascii="Times New Roman" w:hAnsi="Times New Roman" w:eastAsia="仿宋_GB2312"/>
          <w:sz w:val="32"/>
          <w:szCs w:val="32"/>
        </w:rPr>
        <w:t>带动相关产业：</w:t>
      </w:r>
      <w:r>
        <w:rPr>
          <w:rFonts w:hint="eastAsia" w:ascii="仿宋_GB2312" w:hAnsi="仿宋_GB2312" w:eastAsia="仿宋_GB2312" w:cs="仿宋_GB2312"/>
          <w:bCs w:val="0"/>
          <w:sz w:val="32"/>
          <w:szCs w:val="32"/>
          <w:shd w:val="clear" w:color="auto" w:fill="auto"/>
          <w:lang w:val="en-US" w:eastAsia="zh-CN" w:bidi="ar-SA"/>
        </w:rPr>
        <w:t>推动盐边广播电视从数字化、网络化向智慧化发展、从功能业务型向创新服务型转变，推动智慧广电向产业化、规模化、支柱化发展，开发新业态、提供新服务、激发新动能、引导新供给、拉动新消费，为数字盐边、智慧社会、网络强县、乡村振兴和数字经济发展提供有力支撑，实现广电事业产业繁荣发展。</w:t>
      </w:r>
    </w:p>
    <w:p>
      <w:pPr>
        <w:spacing w:line="578" w:lineRule="exact"/>
        <w:ind w:firstLine="640"/>
        <w:rPr>
          <w:rFonts w:ascii="Times New Roman" w:hAnsi="Times New Roman" w:eastAsia="仿宋_GB2312"/>
          <w:sz w:val="32"/>
          <w:szCs w:val="32"/>
        </w:rPr>
      </w:pPr>
      <w:r>
        <w:rPr>
          <w:rFonts w:ascii="Times New Roman" w:hAnsi="Times New Roman" w:eastAsia="仿宋_GB2312"/>
          <w:sz w:val="32"/>
          <w:szCs w:val="32"/>
        </w:rPr>
        <w:t>产业升级促进：</w:t>
      </w:r>
      <w:r>
        <w:rPr>
          <w:rFonts w:hint="eastAsia" w:ascii="仿宋_GB2312" w:hAnsi="仿宋_GB2312" w:eastAsia="仿宋_GB2312" w:cs="仿宋_GB2312"/>
          <w:bCs w:val="0"/>
          <w:sz w:val="32"/>
          <w:szCs w:val="32"/>
          <w:shd w:val="clear" w:color="auto" w:fill="auto"/>
          <w:lang w:val="en-US" w:eastAsia="zh-CN" w:bidi="ar-SA"/>
        </w:rPr>
        <w:t>盐边县广播电视在智慧广电内容生产、传播网络、安全监管、生态服务、乡村文旅振兴服务等方面得到极大的提升，让全县人民能够享受更加满意、更加丰富、更加优质的广播电视服务</w:t>
      </w:r>
      <w:r>
        <w:rPr>
          <w:rFonts w:ascii="Times New Roman" w:hAnsi="Times New Roman" w:eastAsia="仿宋_GB2312"/>
          <w:sz w:val="32"/>
          <w:szCs w:val="32"/>
        </w:rPr>
        <w:t>。</w:t>
      </w:r>
    </w:p>
    <w:p>
      <w:pPr>
        <w:spacing w:line="578" w:lineRule="exact"/>
        <w:ind w:firstLine="640"/>
        <w:rPr>
          <w:rFonts w:ascii="Times New Roman" w:hAnsi="Times New Roman" w:eastAsia="楷体_GB2312"/>
          <w:sz w:val="32"/>
          <w:szCs w:val="32"/>
          <w:lang w:val="zh-CN"/>
        </w:rPr>
      </w:pPr>
      <w:r>
        <w:rPr>
          <w:rFonts w:ascii="Times New Roman" w:hAnsi="Times New Roman" w:eastAsia="楷体_GB2312"/>
          <w:sz w:val="32"/>
          <w:szCs w:val="32"/>
        </w:rPr>
        <w:t>2</w:t>
      </w:r>
      <w:r>
        <w:rPr>
          <w:rFonts w:ascii="Times New Roman" w:hAnsi="Times New Roman" w:eastAsia="仿宋_GB2312"/>
          <w:sz w:val="32"/>
          <w:szCs w:val="32"/>
        </w:rPr>
        <w:t>．</w:t>
      </w:r>
      <w:r>
        <w:rPr>
          <w:rFonts w:ascii="Times New Roman" w:hAnsi="Times New Roman" w:eastAsia="楷体_GB2312"/>
          <w:sz w:val="32"/>
          <w:szCs w:val="32"/>
          <w:lang w:val="zh-CN"/>
        </w:rPr>
        <w:t>民生保障。</w:t>
      </w:r>
    </w:p>
    <w:p>
      <w:pPr>
        <w:spacing w:line="578" w:lineRule="exact"/>
        <w:ind w:firstLine="640"/>
        <w:rPr>
          <w:rFonts w:hint="eastAsia" w:ascii="仿宋_GB2312" w:hAnsi="宋体" w:eastAsia="仿宋_GB2312" w:cs="宋体"/>
          <w:sz w:val="32"/>
          <w:szCs w:val="32"/>
        </w:rPr>
      </w:pPr>
      <w:r>
        <w:rPr>
          <w:rFonts w:ascii="Times New Roman" w:hAnsi="Times New Roman" w:eastAsia="仿宋_GB2312"/>
          <w:color w:val="auto"/>
          <w:sz w:val="32"/>
          <w:szCs w:val="32"/>
        </w:rPr>
        <w:t>灾害预警效果：</w:t>
      </w:r>
      <w:r>
        <w:rPr>
          <w:rFonts w:hint="eastAsia" w:ascii="仿宋_GB2312" w:hAnsi="宋体" w:eastAsia="仿宋_GB2312" w:cs="宋体"/>
          <w:bCs w:val="0"/>
          <w:sz w:val="32"/>
          <w:szCs w:val="32"/>
        </w:rPr>
        <w:t>建设综合性强、覆盖面广的综合应急预警服务中心，</w:t>
      </w:r>
      <w:r>
        <w:rPr>
          <w:rFonts w:hint="eastAsia" w:ascii="仿宋_GB2312" w:hAnsi="宋体" w:eastAsia="仿宋_GB2312" w:cs="宋体"/>
          <w:sz w:val="32"/>
          <w:szCs w:val="32"/>
        </w:rPr>
        <w:t>提高数据、资源、信息共享水平，提升县级各部门的应急预警能力，统筹整合资源、资金使用，节省人力资源，节省各平台分级建设的资金支出。</w:t>
      </w:r>
    </w:p>
    <w:p>
      <w:pPr>
        <w:spacing w:line="578" w:lineRule="exact"/>
        <w:ind w:firstLine="640"/>
        <w:rPr>
          <w:rFonts w:ascii="Times New Roman" w:hAnsi="Times New Roman" w:eastAsia="仿宋_GB2312"/>
          <w:color w:val="FF0000"/>
          <w:sz w:val="32"/>
          <w:szCs w:val="32"/>
        </w:rPr>
      </w:pPr>
      <w:r>
        <w:rPr>
          <w:rFonts w:ascii="Times New Roman" w:hAnsi="Times New Roman" w:eastAsia="仿宋_GB2312"/>
          <w:color w:val="auto"/>
          <w:sz w:val="32"/>
          <w:szCs w:val="32"/>
        </w:rPr>
        <w:t>信息服务覆盖：</w:t>
      </w:r>
      <w:r>
        <w:rPr>
          <w:rFonts w:hint="eastAsia" w:ascii="仿宋_GB2312" w:hAnsi="宋体" w:eastAsia="仿宋_GB2312" w:cs="宋体"/>
          <w:bCs w:val="0"/>
          <w:sz w:val="32"/>
          <w:szCs w:val="32"/>
          <w:shd w:val="clear" w:color="auto" w:fill="auto"/>
        </w:rPr>
        <w:t>基于现有移动网络、5G网络、大数据的运用，依托广播电视服务体系，建设手机移动端平台，将电视直播、点播回看、党政声音、地方综合频道等音视频节目在移动终端进行适时呈现，为群众提供超高清、超流畅、超便利的广播电视随时随地移动新视听体验</w:t>
      </w:r>
      <w:r>
        <w:rPr>
          <w:rFonts w:ascii="Times New Roman" w:hAnsi="Times New Roman" w:eastAsia="仿宋_GB2312"/>
          <w:color w:val="FF0000"/>
          <w:sz w:val="32"/>
          <w:szCs w:val="32"/>
        </w:rPr>
        <w:t>。</w:t>
      </w:r>
    </w:p>
    <w:p>
      <w:pPr>
        <w:spacing w:line="578" w:lineRule="exact"/>
        <w:ind w:firstLine="640"/>
        <w:rPr>
          <w:rFonts w:ascii="Times New Roman" w:hAnsi="Times New Roman" w:eastAsia="楷体_GB2312"/>
          <w:sz w:val="32"/>
          <w:szCs w:val="32"/>
        </w:rPr>
      </w:pPr>
      <w:r>
        <w:rPr>
          <w:rFonts w:ascii="Times New Roman" w:hAnsi="Times New Roman" w:eastAsia="楷体_GB2312"/>
          <w:sz w:val="32"/>
          <w:szCs w:val="32"/>
        </w:rPr>
        <w:t>3</w:t>
      </w:r>
      <w:r>
        <w:rPr>
          <w:rFonts w:ascii="Times New Roman" w:hAnsi="Times New Roman" w:eastAsia="仿宋_GB2312"/>
          <w:sz w:val="32"/>
          <w:szCs w:val="32"/>
        </w:rPr>
        <w:t>．</w:t>
      </w:r>
      <w:r>
        <w:rPr>
          <w:rFonts w:ascii="Times New Roman" w:hAnsi="Times New Roman" w:eastAsia="楷体_GB2312"/>
          <w:sz w:val="32"/>
          <w:szCs w:val="32"/>
        </w:rPr>
        <w:t>基础设施。</w:t>
      </w:r>
    </w:p>
    <w:p>
      <w:pPr>
        <w:spacing w:line="578" w:lineRule="exact"/>
        <w:ind w:firstLine="640"/>
        <w:rPr>
          <w:rFonts w:ascii="Times New Roman" w:hAnsi="Times New Roman" w:eastAsia="仿宋_GB2312"/>
          <w:color w:val="auto"/>
          <w:sz w:val="32"/>
          <w:szCs w:val="32"/>
        </w:rPr>
      </w:pPr>
      <w:r>
        <w:rPr>
          <w:rFonts w:ascii="Times New Roman" w:hAnsi="Times New Roman" w:eastAsia="仿宋_GB2312"/>
          <w:sz w:val="32"/>
          <w:szCs w:val="32"/>
        </w:rPr>
        <w:t>设备建设与</w:t>
      </w:r>
      <w:r>
        <w:rPr>
          <w:rFonts w:ascii="Times New Roman" w:hAnsi="Times New Roman" w:eastAsia="仿宋_GB2312"/>
          <w:color w:val="auto"/>
          <w:sz w:val="32"/>
          <w:szCs w:val="32"/>
        </w:rPr>
        <w:t>布局：信号传输线路、接收终端等设备的建设情况和布局较为合理，覆盖半径、信号传输线路稳定，设备完好率、信号覆盖率均达到预期目标。</w:t>
      </w:r>
    </w:p>
    <w:p>
      <w:pPr>
        <w:spacing w:line="578" w:lineRule="exact"/>
        <w:ind w:firstLine="640"/>
        <w:rPr>
          <w:rFonts w:ascii="Times New Roman" w:hAnsi="Times New Roman" w:eastAsia="楷体_GB2312"/>
          <w:color w:val="auto"/>
          <w:sz w:val="32"/>
          <w:szCs w:val="32"/>
        </w:rPr>
      </w:pPr>
      <w:r>
        <w:rPr>
          <w:rFonts w:ascii="Times New Roman" w:hAnsi="Times New Roman" w:eastAsia="仿宋_GB2312"/>
          <w:color w:val="auto"/>
          <w:sz w:val="32"/>
          <w:szCs w:val="32"/>
        </w:rPr>
        <w:t>技术升级与维护：</w:t>
      </w:r>
      <w:r>
        <w:rPr>
          <w:rFonts w:hint="eastAsia" w:ascii="Times New Roman" w:hAnsi="Times New Roman" w:eastAsia="仿宋_GB2312"/>
          <w:color w:val="auto"/>
          <w:sz w:val="32"/>
          <w:szCs w:val="32"/>
          <w:lang w:eastAsia="zh-CN"/>
        </w:rPr>
        <w:t>智慧</w:t>
      </w:r>
      <w:r>
        <w:rPr>
          <w:rFonts w:ascii="Times New Roman" w:hAnsi="Times New Roman" w:eastAsia="仿宋_GB2312"/>
          <w:color w:val="auto"/>
          <w:sz w:val="32"/>
          <w:szCs w:val="32"/>
        </w:rPr>
        <w:t>广播系统的技术升级改造和日常维护工作正常运转。</w:t>
      </w:r>
    </w:p>
    <w:p>
      <w:pPr>
        <w:spacing w:line="578" w:lineRule="exact"/>
        <w:ind w:firstLine="640"/>
        <w:rPr>
          <w:rFonts w:ascii="Times New Roman" w:hAnsi="Times New Roman" w:eastAsia="楷体_GB2312"/>
          <w:sz w:val="32"/>
          <w:szCs w:val="32"/>
          <w:lang w:val="zh-CN"/>
        </w:rPr>
      </w:pPr>
      <w:r>
        <w:rPr>
          <w:rFonts w:ascii="Times New Roman" w:hAnsi="Times New Roman" w:eastAsia="楷体_GB2312"/>
          <w:sz w:val="32"/>
          <w:szCs w:val="32"/>
        </w:rPr>
        <w:t>4</w:t>
      </w:r>
      <w:r>
        <w:rPr>
          <w:rFonts w:ascii="Times New Roman" w:hAnsi="Times New Roman" w:eastAsia="仿宋_GB2312"/>
          <w:sz w:val="32"/>
          <w:szCs w:val="32"/>
        </w:rPr>
        <w:t>．</w:t>
      </w:r>
      <w:r>
        <w:rPr>
          <w:rFonts w:ascii="Times New Roman" w:hAnsi="Times New Roman" w:eastAsia="楷体_GB2312"/>
          <w:sz w:val="32"/>
          <w:szCs w:val="32"/>
          <w:lang w:val="zh-CN"/>
        </w:rPr>
        <w:t>行政运转。</w:t>
      </w:r>
    </w:p>
    <w:p>
      <w:pPr>
        <w:keepNext w:val="0"/>
        <w:keepLines w:val="0"/>
        <w:pageBreakBefore w:val="0"/>
        <w:widowControl w:val="0"/>
        <w:spacing w:line="560" w:lineRule="exact"/>
        <w:ind w:left="0" w:firstLine="640"/>
        <w:jc w:val="both"/>
        <w:rPr>
          <w:rFonts w:hint="default" w:ascii="Times New Roman" w:hAnsi="Times New Roman" w:eastAsia="仿宋_GB2312"/>
          <w:sz w:val="32"/>
          <w:szCs w:val="32"/>
          <w:lang w:val="en-US" w:eastAsia="zh-CN"/>
        </w:rPr>
      </w:pPr>
      <w:r>
        <w:rPr>
          <w:rFonts w:ascii="Times New Roman" w:hAnsi="Times New Roman" w:eastAsia="仿宋_GB2312"/>
          <w:sz w:val="32"/>
          <w:szCs w:val="32"/>
          <w:lang w:val="zh-CN"/>
        </w:rPr>
        <w:t>协调机制效率：</w:t>
      </w:r>
      <w:r>
        <w:rPr>
          <w:rFonts w:hint="eastAsia" w:ascii="Times New Roman" w:hAnsi="Times New Roman" w:eastAsia="仿宋_GB2312"/>
          <w:sz w:val="32"/>
          <w:szCs w:val="32"/>
          <w:lang w:val="zh-CN"/>
        </w:rPr>
        <w:t>智慧</w:t>
      </w:r>
      <w:r>
        <w:rPr>
          <w:rFonts w:ascii="Times New Roman" w:hAnsi="Times New Roman" w:eastAsia="仿宋_GB2312"/>
          <w:sz w:val="32"/>
          <w:szCs w:val="32"/>
          <w:lang w:val="zh-CN"/>
        </w:rPr>
        <w:t>广播建设可促进涉及多个部门的协调合作，</w:t>
      </w:r>
      <w:r>
        <w:rPr>
          <w:rFonts w:hint="eastAsia" w:ascii="Times New Roman" w:hAnsi="Times New Roman" w:eastAsia="仿宋_GB2312"/>
          <w:sz w:val="32"/>
          <w:szCs w:val="32"/>
          <w:lang w:val="en-US" w:eastAsia="zh-CN"/>
        </w:rPr>
        <w:t>推进项目实施对提高全县综合服务、应急预警、社区治理能力，助推文旅发展、乡村振兴等具有重大意义。</w:t>
      </w:r>
    </w:p>
    <w:p>
      <w:pPr>
        <w:spacing w:line="578" w:lineRule="exact"/>
        <w:ind w:firstLine="640"/>
        <w:rPr>
          <w:rFonts w:ascii="Times New Roman" w:hAnsi="Times New Roman" w:eastAsia="仿宋_GB2312"/>
          <w:sz w:val="32"/>
          <w:szCs w:val="32"/>
        </w:rPr>
      </w:pPr>
      <w:r>
        <w:rPr>
          <w:rFonts w:ascii="Times New Roman" w:hAnsi="Times New Roman" w:eastAsia="仿宋_GB2312"/>
          <w:sz w:val="32"/>
          <w:szCs w:val="32"/>
          <w:lang w:val="zh-CN"/>
        </w:rPr>
        <w:t>政策执行力度：资金投入到位、建设规划按计划推进。</w:t>
      </w:r>
    </w:p>
    <w:p>
      <w:pPr>
        <w:spacing w:line="578" w:lineRule="exact"/>
        <w:ind w:firstLine="643"/>
        <w:rPr>
          <w:rFonts w:ascii="Times New Roman" w:hAnsi="Times New Roman" w:eastAsia="楷体_GB2312"/>
          <w:b/>
          <w:bCs/>
          <w:color w:val="000000"/>
          <w:sz w:val="32"/>
          <w:szCs w:val="32"/>
          <w:shd w:val="clear" w:color="auto" w:fill="FFFFFF"/>
          <w:lang w:val="zh-CN"/>
        </w:rPr>
      </w:pPr>
      <w:r>
        <w:rPr>
          <w:rFonts w:ascii="Times New Roman" w:hAnsi="Times New Roman" w:eastAsia="楷体_GB2312"/>
          <w:b/>
          <w:sz w:val="32"/>
          <w:szCs w:val="32"/>
          <w:lang w:val="zh-CN"/>
        </w:rPr>
        <w:t>（三）</w:t>
      </w:r>
      <w:r>
        <w:rPr>
          <w:rFonts w:ascii="Times New Roman" w:hAnsi="Times New Roman" w:eastAsia="楷体_GB2312"/>
          <w:b/>
          <w:sz w:val="32"/>
          <w:szCs w:val="32"/>
        </w:rPr>
        <w:t>个性指标</w:t>
      </w:r>
      <w:r>
        <w:rPr>
          <w:rFonts w:ascii="Times New Roman" w:hAnsi="Times New Roman" w:eastAsia="楷体_GB2312"/>
          <w:b/>
          <w:bCs/>
          <w:color w:val="000000"/>
          <w:sz w:val="32"/>
          <w:szCs w:val="32"/>
          <w:shd w:val="clear" w:color="auto" w:fill="FFFFFF"/>
          <w:lang w:val="zh-CN"/>
        </w:rPr>
        <w:t>绩效分析。</w:t>
      </w:r>
    </w:p>
    <w:p>
      <w:pPr>
        <w:spacing w:line="578" w:lineRule="exact"/>
        <w:ind w:firstLine="640"/>
        <w:rPr>
          <w:rFonts w:ascii="Times New Roman" w:hAnsi="Times New Roman" w:eastAsia="仿宋_GB2312"/>
          <w:sz w:val="32"/>
          <w:szCs w:val="32"/>
        </w:rPr>
      </w:pPr>
      <w:r>
        <w:rPr>
          <w:rFonts w:ascii="Times New Roman" w:hAnsi="Times New Roman" w:eastAsia="仿宋_GB2312"/>
          <w:sz w:val="32"/>
          <w:szCs w:val="32"/>
        </w:rPr>
        <w:t>1．经济效益。作为公益民生项目，建成后将推动地方经济与城市发展。</w:t>
      </w:r>
      <w:r>
        <w:rPr>
          <w:rFonts w:hint="eastAsia" w:ascii="仿宋_GB2312" w:hAnsi="宋体" w:eastAsia="仿宋_GB2312" w:cs="宋体"/>
          <w:bCs w:val="0"/>
          <w:sz w:val="32"/>
          <w:szCs w:val="32"/>
        </w:rPr>
        <w:t>项目实施后，因为能提高景区智慧化管理、安全监管水平，节约力量资源，提高游客获得感、舒适感、满意感，减少游客投诉，增强文旅发展动能和吸引力，增加游客量预计5%，从而提升旅游经济效益。建设综合性强、覆盖面广的综合应急预警服务中心，</w:t>
      </w:r>
      <w:r>
        <w:rPr>
          <w:rFonts w:hint="eastAsia" w:ascii="仿宋_GB2312" w:hAnsi="宋体" w:eastAsia="仿宋_GB2312" w:cs="宋体"/>
          <w:sz w:val="32"/>
          <w:szCs w:val="32"/>
        </w:rPr>
        <w:t>提高数据、资源、信息共享水平，提升县级各部门的应急预警能力，统筹整合资源、资金使用，节省人力资源，节省各平台分级建设的资金支出。在后期的运维中也能整合各方面资金最终达到该项目长期、稳定的运行，实现广电长期的稳定收益</w:t>
      </w:r>
    </w:p>
    <w:p>
      <w:pPr>
        <w:spacing w:line="578" w:lineRule="exact"/>
        <w:ind w:firstLine="640"/>
        <w:rPr>
          <w:rFonts w:ascii="Times New Roman" w:hAnsi="Times New Roman" w:eastAsia="仿宋_GB2312"/>
          <w:sz w:val="32"/>
          <w:szCs w:val="32"/>
        </w:rPr>
      </w:pPr>
      <w:r>
        <w:rPr>
          <w:rFonts w:ascii="Times New Roman" w:hAnsi="Times New Roman" w:eastAsia="仿宋_GB2312"/>
          <w:sz w:val="32"/>
          <w:szCs w:val="32"/>
        </w:rPr>
        <w:t>2．社会效益。推动突发事件的应急处置能力、应急宣传的能力。项目完成后，将进一步增强市级党委、政府应对突发事件的应急处置能力、应急宣传的能力，提升全市的公共服务和应急管理效能，为人民群众提供及时有效的灾害预警应急广播、政务信息发布、政策宣讲和先进文化等服务。</w:t>
      </w:r>
    </w:p>
    <w:p>
      <w:pPr>
        <w:spacing w:line="578" w:lineRule="exact"/>
        <w:ind w:firstLine="640"/>
        <w:rPr>
          <w:rFonts w:ascii="Times New Roman" w:hAnsi="Times New Roman" w:eastAsia="仿宋_GB2312"/>
          <w:sz w:val="32"/>
          <w:szCs w:val="32"/>
        </w:rPr>
      </w:pPr>
      <w:r>
        <w:rPr>
          <w:rFonts w:ascii="Times New Roman" w:hAnsi="Times New Roman" w:eastAsia="仿宋_GB2312"/>
          <w:sz w:val="32"/>
          <w:szCs w:val="32"/>
        </w:rPr>
        <w:t>3．可持续影响指标。提升全</w:t>
      </w:r>
      <w:r>
        <w:rPr>
          <w:rFonts w:hint="eastAsia" w:ascii="Times New Roman" w:hAnsi="Times New Roman" w:eastAsia="仿宋_GB2312"/>
          <w:sz w:val="32"/>
          <w:szCs w:val="32"/>
          <w:lang w:eastAsia="zh-CN"/>
        </w:rPr>
        <w:t>县</w:t>
      </w:r>
      <w:r>
        <w:rPr>
          <w:rFonts w:ascii="Times New Roman" w:hAnsi="Times New Roman" w:eastAsia="仿宋_GB2312"/>
          <w:sz w:val="32"/>
          <w:szCs w:val="32"/>
        </w:rPr>
        <w:t>的公共服务和应急管理效能，持续提升公共服务水平。</w:t>
      </w:r>
    </w:p>
    <w:p>
      <w:pPr>
        <w:spacing w:line="578" w:lineRule="exact"/>
        <w:ind w:firstLine="640"/>
        <w:rPr>
          <w:rFonts w:ascii="Times New Roman" w:hAnsi="Times New Roman" w:eastAsia="仿宋_GB2312"/>
          <w:sz w:val="32"/>
          <w:szCs w:val="32"/>
        </w:rPr>
      </w:pPr>
      <w:r>
        <w:rPr>
          <w:rFonts w:ascii="Times New Roman" w:hAnsi="Times New Roman" w:eastAsia="仿宋_GB2312"/>
          <w:sz w:val="32"/>
          <w:szCs w:val="32"/>
        </w:rPr>
        <w:t>4．满意度指标。</w:t>
      </w:r>
      <w:r>
        <w:rPr>
          <w:rFonts w:hint="eastAsia" w:ascii="仿宋_GB2312" w:hAnsi="宋体" w:eastAsia="仿宋_GB2312" w:cs="宋体"/>
          <w:sz w:val="32"/>
          <w:szCs w:val="32"/>
        </w:rPr>
        <w:t>推动智慧广电向产业化、规模化、支柱化发展，为开发新业态、提供新服务、激发新动能、引导新供给、拉动新消费，为智慧文旅、数字乡村、基层治理、应急预警、综合管理提供有力支撑，实现广电事业产业繁荣发展，基层党委政府和人民群众满意度大幅提升。</w:t>
      </w:r>
      <w:r>
        <w:rPr>
          <w:rFonts w:ascii="Times New Roman" w:hAnsi="Times New Roman" w:eastAsia="仿宋_GB2312"/>
          <w:sz w:val="32"/>
          <w:szCs w:val="32"/>
        </w:rPr>
        <w:t>。</w:t>
      </w:r>
    </w:p>
    <w:p>
      <w:pPr>
        <w:pStyle w:val="14"/>
        <w:tabs>
          <w:tab w:val="left" w:pos="2160"/>
        </w:tabs>
        <w:spacing w:line="600" w:lineRule="exact"/>
        <w:ind w:firstLine="640"/>
        <w:rPr>
          <w:rFonts w:ascii="Times New Roman" w:hAnsi="Times New Roman" w:eastAsia="黑体"/>
          <w:sz w:val="32"/>
          <w:szCs w:val="32"/>
        </w:rPr>
      </w:pPr>
      <w:r>
        <w:rPr>
          <w:rFonts w:ascii="Times New Roman" w:hAnsi="Times New Roman" w:eastAsia="黑体"/>
          <w:sz w:val="32"/>
          <w:szCs w:val="32"/>
        </w:rPr>
        <w:t>四、评价结论</w:t>
      </w:r>
    </w:p>
    <w:p>
      <w:pPr>
        <w:spacing w:line="578" w:lineRule="exact"/>
        <w:ind w:firstLine="640"/>
        <w:rPr>
          <w:rFonts w:ascii="Times New Roman" w:hAnsi="Times New Roman" w:eastAsia="仿宋_GB2312"/>
          <w:sz w:val="32"/>
          <w:szCs w:val="32"/>
        </w:rPr>
      </w:pPr>
      <w:r>
        <w:rPr>
          <w:rFonts w:ascii="Times New Roman" w:hAnsi="Times New Roman" w:eastAsia="仿宋_GB2312"/>
          <w:sz w:val="32"/>
          <w:szCs w:val="32"/>
        </w:rPr>
        <w:t>2023年，</w:t>
      </w:r>
      <w:r>
        <w:rPr>
          <w:rFonts w:hint="eastAsia" w:ascii="Times New Roman" w:hAnsi="Times New Roman" w:eastAsia="仿宋_GB2312"/>
          <w:sz w:val="32"/>
          <w:szCs w:val="32"/>
          <w:lang w:eastAsia="zh-CN"/>
        </w:rPr>
        <w:t>智慧</w:t>
      </w:r>
      <w:r>
        <w:rPr>
          <w:rFonts w:ascii="Times New Roman" w:hAnsi="Times New Roman" w:eastAsia="仿宋_GB2312"/>
          <w:sz w:val="32"/>
          <w:szCs w:val="32"/>
        </w:rPr>
        <w:t xml:space="preserve">广播建设项目实施情况均按合同执行，项目产出完成情况达到了预期设定的目标值，产出指标的完成情况较好，绩效目标完成较好， </w:t>
      </w:r>
    </w:p>
    <w:p>
      <w:pPr>
        <w:pStyle w:val="14"/>
        <w:tabs>
          <w:tab w:val="left" w:pos="2160"/>
        </w:tabs>
        <w:spacing w:line="600" w:lineRule="exact"/>
        <w:ind w:firstLine="640"/>
        <w:rPr>
          <w:rFonts w:ascii="Times New Roman" w:hAnsi="Times New Roman" w:eastAsia="黑体"/>
          <w:sz w:val="32"/>
          <w:szCs w:val="32"/>
        </w:rPr>
      </w:pPr>
      <w:r>
        <w:rPr>
          <w:rFonts w:ascii="Times New Roman" w:hAnsi="Times New Roman" w:eastAsia="黑体"/>
          <w:sz w:val="32"/>
          <w:szCs w:val="32"/>
        </w:rPr>
        <w:t>五、存在主要问题</w:t>
      </w:r>
    </w:p>
    <w:p>
      <w:pPr>
        <w:pStyle w:val="14"/>
        <w:tabs>
          <w:tab w:val="left" w:pos="2160"/>
        </w:tabs>
        <w:spacing w:line="600" w:lineRule="exact"/>
        <w:ind w:firstLine="640"/>
        <w:rPr>
          <w:rStyle w:val="203"/>
          <w:rFonts w:hint="default" w:ascii="Times New Roman" w:hAnsi="Times New Roman"/>
          <w:color w:val="FF0000"/>
        </w:rPr>
      </w:pPr>
      <w:r>
        <w:rPr>
          <w:rFonts w:ascii="Times New Roman" w:hAnsi="Times New Roman" w:eastAsia="仿宋_GB2312"/>
          <w:color w:val="auto"/>
          <w:sz w:val="32"/>
          <w:szCs w:val="32"/>
        </w:rPr>
        <w:t>市级应急广播建设项目和资金进度总体有些滞后。</w:t>
      </w:r>
      <w:r>
        <w:rPr>
          <w:rStyle w:val="203"/>
          <w:rFonts w:hint="default" w:ascii="Times New Roman" w:hAnsi="Times New Roman"/>
          <w:color w:val="auto"/>
        </w:rPr>
        <w:t>项目资金预算2022年未使用，结转2023年使用并实际执行</w:t>
      </w:r>
      <w:r>
        <w:rPr>
          <w:rStyle w:val="203"/>
          <w:rFonts w:hint="eastAsia" w:ascii="Times New Roman" w:hAnsi="Times New Roman" w:eastAsia="仿宋_GB2312"/>
          <w:color w:val="auto"/>
          <w:lang w:val="en-US" w:eastAsia="zh-CN"/>
        </w:rPr>
        <w:t>119.96</w:t>
      </w:r>
      <w:r>
        <w:rPr>
          <w:rStyle w:val="203"/>
          <w:rFonts w:hint="default" w:ascii="Times New Roman" w:hAnsi="Times New Roman"/>
          <w:color w:val="auto"/>
        </w:rPr>
        <w:t>万元，剩余</w:t>
      </w:r>
      <w:r>
        <w:rPr>
          <w:rStyle w:val="203"/>
          <w:rFonts w:hint="eastAsia" w:ascii="Times New Roman" w:hAnsi="Times New Roman" w:eastAsia="仿宋_GB2312"/>
          <w:color w:val="auto"/>
          <w:lang w:val="en-US" w:eastAsia="zh-CN"/>
        </w:rPr>
        <w:t>180.04</w:t>
      </w:r>
      <w:r>
        <w:rPr>
          <w:rStyle w:val="203"/>
          <w:rFonts w:hint="default" w:ascii="Times New Roman" w:hAnsi="Times New Roman"/>
          <w:color w:val="auto"/>
        </w:rPr>
        <w:t>万元于2024年执行完毕。</w:t>
      </w:r>
    </w:p>
    <w:p>
      <w:pPr>
        <w:pStyle w:val="14"/>
        <w:tabs>
          <w:tab w:val="left" w:pos="2160"/>
        </w:tabs>
        <w:spacing w:line="600" w:lineRule="exact"/>
        <w:ind w:firstLine="640"/>
        <w:rPr>
          <w:rFonts w:ascii="Times New Roman" w:hAnsi="Times New Roman" w:eastAsia="黑体"/>
          <w:position w:val="3"/>
          <w:sz w:val="32"/>
          <w:szCs w:val="32"/>
          <w:lang w:val="zh-CN"/>
        </w:rPr>
      </w:pPr>
      <w:r>
        <w:rPr>
          <w:rStyle w:val="203"/>
          <w:rFonts w:hint="default" w:ascii="Times New Roman" w:hAnsi="Times New Roman" w:eastAsia="黑体"/>
        </w:rPr>
        <w:t>六、</w:t>
      </w:r>
      <w:r>
        <w:rPr>
          <w:rFonts w:ascii="Times New Roman" w:hAnsi="Times New Roman" w:eastAsia="黑体"/>
          <w:position w:val="3"/>
          <w:sz w:val="32"/>
          <w:szCs w:val="32"/>
          <w:lang w:val="zh-CN"/>
        </w:rPr>
        <w:t>改进建议</w:t>
      </w:r>
    </w:p>
    <w:p>
      <w:pPr>
        <w:pStyle w:val="14"/>
        <w:tabs>
          <w:tab w:val="left" w:pos="2160"/>
        </w:tabs>
        <w:spacing w:line="600" w:lineRule="exact"/>
        <w:ind w:firstLine="640"/>
        <w:rPr>
          <w:rFonts w:ascii="Times New Roman" w:hAnsi="Times New Roman" w:eastAsia="仿宋_GB2312"/>
          <w:sz w:val="32"/>
          <w:szCs w:val="32"/>
          <w:lang w:val="en"/>
        </w:rPr>
      </w:pPr>
      <w:r>
        <w:rPr>
          <w:rFonts w:ascii="Times New Roman" w:hAnsi="Times New Roman" w:eastAsia="仿宋_GB2312"/>
          <w:sz w:val="32"/>
          <w:szCs w:val="32"/>
        </w:rPr>
        <w:t>一方面加快项目建设进度，确保按要求完成项目建设；一方面加大财政支付力度，</w:t>
      </w:r>
      <w:r>
        <w:rPr>
          <w:rStyle w:val="36"/>
          <w:rFonts w:ascii="Times New Roman" w:hAnsi="Times New Roman" w:eastAsia="仿宋"/>
          <w:b w:val="0"/>
          <w:bCs/>
          <w:color w:val="000000"/>
          <w:sz w:val="32"/>
          <w:szCs w:val="32"/>
          <w:lang w:val="zh-CN"/>
        </w:rPr>
        <w:t>确保项目顺利进展，圆满完成项目绩效目标。</w:t>
      </w:r>
    </w:p>
    <w:p>
      <w:pPr>
        <w:rPr>
          <w:rFonts w:ascii="Times New Roman" w:hAnsi="Times New Roman" w:eastAsia="黑体"/>
          <w:sz w:val="32"/>
          <w:szCs w:val="32"/>
        </w:rPr>
      </w:pPr>
      <w:r>
        <w:rPr>
          <w:rFonts w:ascii="Times New Roman" w:hAnsi="Times New Roman" w:eastAsia="黑体"/>
          <w:sz w:val="32"/>
          <w:szCs w:val="32"/>
          <w:shd w:val="clear" w:color="auto" w:fill="FFFFFF"/>
          <w:lang w:val="zh-CN"/>
        </w:rPr>
        <w:t>附件</w:t>
      </w:r>
      <w:r>
        <w:rPr>
          <w:rFonts w:ascii="Times New Roman" w:hAnsi="Times New Roman" w:eastAsia="黑体"/>
          <w:sz w:val="32"/>
          <w:szCs w:val="32"/>
          <w:shd w:val="clear" w:color="auto" w:fill="FFFFFF"/>
        </w:rPr>
        <w:t>2-1</w:t>
      </w:r>
    </w:p>
    <w:p>
      <w:pPr>
        <w:pStyle w:val="202"/>
        <w:spacing w:line="578" w:lineRule="exact"/>
        <w:jc w:val="center"/>
        <w:rPr>
          <w:rFonts w:ascii="Times New Roman" w:hAnsi="Times New Roman" w:eastAsia="方正小标宋简体"/>
          <w:color w:val="auto"/>
          <w:sz w:val="44"/>
          <w:szCs w:val="44"/>
          <w:lang w:val="en-US"/>
        </w:rPr>
      </w:pPr>
    </w:p>
    <w:p>
      <w:pPr>
        <w:pStyle w:val="202"/>
        <w:spacing w:line="578" w:lineRule="exact"/>
        <w:jc w:val="center"/>
        <w:rPr>
          <w:rFonts w:hint="eastAsia" w:ascii="Times New Roman" w:hAnsi="Times New Roman" w:eastAsia="方正小标宋简体"/>
          <w:color w:val="auto"/>
          <w:sz w:val="44"/>
          <w:szCs w:val="44"/>
          <w:lang w:val="en-US" w:eastAsia="zh-CN"/>
        </w:rPr>
      </w:pPr>
      <w:r>
        <w:rPr>
          <w:rFonts w:hint="default" w:ascii="Times New Roman" w:hAnsi="Times New Roman" w:eastAsia="方正小标宋简体"/>
          <w:color w:val="auto"/>
          <w:sz w:val="44"/>
          <w:szCs w:val="44"/>
          <w:lang w:val="en-US" w:eastAsia="zh-CN"/>
        </w:rPr>
        <w:t>盐边县大笮文旅产业融合园区提升项目</w:t>
      </w:r>
    </w:p>
    <w:p>
      <w:pPr>
        <w:pStyle w:val="202"/>
        <w:spacing w:line="578" w:lineRule="exact"/>
        <w:jc w:val="center"/>
        <w:rPr>
          <w:rFonts w:ascii="Times New Roman" w:hAnsi="Times New Roman" w:eastAsia="方正小标宋简体"/>
          <w:color w:val="auto"/>
          <w:sz w:val="44"/>
          <w:szCs w:val="44"/>
          <w:lang w:val="en-US"/>
        </w:rPr>
      </w:pPr>
      <w:r>
        <w:rPr>
          <w:rFonts w:ascii="Times New Roman" w:hAnsi="Times New Roman" w:eastAsia="方正小标宋简体"/>
          <w:color w:val="auto"/>
          <w:sz w:val="44"/>
          <w:szCs w:val="44"/>
          <w:lang w:val="en-US"/>
        </w:rPr>
        <w:t>专项预算项目绩效评价报告</w:t>
      </w:r>
    </w:p>
    <w:p>
      <w:pPr>
        <w:pStyle w:val="202"/>
        <w:spacing w:line="578" w:lineRule="exact"/>
        <w:ind w:firstLine="640"/>
        <w:jc w:val="center"/>
        <w:rPr>
          <w:rFonts w:ascii="Times New Roman" w:hAnsi="Times New Roman"/>
          <w:color w:val="auto"/>
          <w:sz w:val="32"/>
          <w:szCs w:val="32"/>
        </w:rPr>
      </w:pPr>
    </w:p>
    <w:p>
      <w:pPr>
        <w:spacing w:line="578" w:lineRule="exact"/>
        <w:ind w:firstLine="640"/>
        <w:rPr>
          <w:rFonts w:ascii="Times New Roman" w:hAnsi="Times New Roman" w:eastAsia="黑体"/>
          <w:sz w:val="32"/>
          <w:szCs w:val="32"/>
          <w:lang w:val="zh-CN"/>
        </w:rPr>
      </w:pPr>
      <w:r>
        <w:rPr>
          <w:rFonts w:ascii="Times New Roman" w:hAnsi="Times New Roman" w:eastAsia="黑体"/>
          <w:sz w:val="32"/>
          <w:szCs w:val="32"/>
        </w:rPr>
        <w:t>一、</w:t>
      </w:r>
      <w:r>
        <w:rPr>
          <w:rFonts w:ascii="Times New Roman" w:hAnsi="Times New Roman" w:eastAsia="黑体"/>
          <w:sz w:val="32"/>
          <w:szCs w:val="32"/>
          <w:lang w:val="zh-CN"/>
        </w:rPr>
        <w:t>项目概况</w:t>
      </w:r>
    </w:p>
    <w:p>
      <w:pPr>
        <w:widowControl/>
        <w:spacing w:line="578" w:lineRule="exact"/>
        <w:ind w:firstLine="643"/>
        <w:contextualSpacing/>
        <w:jc w:val="left"/>
        <w:rPr>
          <w:rFonts w:ascii="Times New Roman" w:hAnsi="Times New Roman" w:eastAsia="楷体_GB2312"/>
          <w:b/>
          <w:sz w:val="32"/>
          <w:szCs w:val="32"/>
          <w:lang w:val="zh-CN"/>
        </w:rPr>
      </w:pPr>
      <w:r>
        <w:rPr>
          <w:rFonts w:ascii="Times New Roman" w:hAnsi="Times New Roman" w:eastAsia="楷体_GB2312"/>
          <w:b/>
          <w:sz w:val="32"/>
          <w:szCs w:val="32"/>
          <w:lang w:val="zh-CN"/>
        </w:rPr>
        <w:t>（一）设立背景及基本情况。</w:t>
      </w:r>
    </w:p>
    <w:p>
      <w:pPr>
        <w:keepNext w:val="0"/>
        <w:keepLines w:val="0"/>
        <w:pageBreakBefore w:val="0"/>
        <w:widowControl w:val="0"/>
        <w:spacing w:before="0" w:beforeAutospacing="0" w:after="0" w:afterAutospacing="0" w:line="560" w:lineRule="exact"/>
        <w:ind w:firstLine="640"/>
        <w:jc w:val="both"/>
        <w:rPr>
          <w:rFonts w:hint="default" w:ascii="Times New Roman" w:hAnsi="Times New Roman" w:eastAsia="仿宋_GB2312" w:cs="Times New Roman"/>
          <w:b w:val="0"/>
          <w:i w:val="0"/>
          <w:caps w:val="0"/>
          <w:color w:val="auto"/>
          <w:spacing w:val="0"/>
          <w:sz w:val="32"/>
          <w:szCs w:val="32"/>
          <w:lang w:val="en-US"/>
        </w:rPr>
      </w:pPr>
      <w:r>
        <w:rPr>
          <w:rFonts w:hint="default" w:ascii="Times New Roman" w:hAnsi="Times New Roman" w:eastAsia="仿宋_GB2312" w:cs="Times New Roman"/>
          <w:b w:val="0"/>
          <w:i w:val="0"/>
          <w:caps w:val="0"/>
          <w:color w:val="auto"/>
          <w:spacing w:val="0"/>
          <w:sz w:val="32"/>
          <w:szCs w:val="32"/>
          <w:lang w:val="en-US" w:eastAsia="zh-CN"/>
        </w:rPr>
        <w:t>按照《四川省文化和旅游厅 四川省财政厅 关于做好全省文化旅游融合示范项目建设暨2022年度申报工作的通知》（川文旅发〔2022〕54号）要求，为发挥盐边县大笮文旅融合园区提升项目建成后的文旅融合发展创新、集聚化、产业化、主客共享示范促进盐边县文化与旅游产业高质量融合发展，实现“以文促旅、以旅彰文”的目标，县文广旅局牵头起草了《盐边县大笮文旅融合园区提升项目实施方案（审议稿）》。</w:t>
      </w:r>
    </w:p>
    <w:p>
      <w:pPr>
        <w:spacing w:line="578" w:lineRule="exact"/>
        <w:ind w:firstLine="640"/>
        <w:rPr>
          <w:rFonts w:hint="default" w:ascii="Times New Roman" w:hAnsi="Times New Roman" w:eastAsia="仿宋_GB2312" w:cs="Times New Roman"/>
          <w:b w:val="0"/>
          <w:i w:val="0"/>
          <w:caps w:val="0"/>
          <w:color w:val="auto"/>
          <w:spacing w:val="0"/>
          <w:sz w:val="32"/>
          <w:szCs w:val="32"/>
          <w:lang w:val="en-US"/>
        </w:rPr>
      </w:pPr>
      <w:r>
        <w:rPr>
          <w:rFonts w:hint="default" w:ascii="Times New Roman" w:hAnsi="Times New Roman" w:eastAsia="仿宋_GB2312" w:cs="Times New Roman"/>
          <w:b w:val="0"/>
          <w:i w:val="0"/>
          <w:caps w:val="0"/>
          <w:color w:val="auto"/>
          <w:spacing w:val="0"/>
          <w:sz w:val="32"/>
          <w:szCs w:val="32"/>
          <w:lang w:val="en-US"/>
        </w:rPr>
        <w:t>2022年12月四川省财政厅 四川省文化和旅游厅印发《关于下达2022年省级公共文化服务体系建设专项资金（文旅</w:t>
      </w:r>
      <w:r>
        <w:rPr>
          <w:rFonts w:hint="eastAsia" w:ascii="Times New Roman" w:hAnsi="Times New Roman" w:eastAsia="仿宋_GB2312" w:cs="Times New Roman"/>
          <w:b w:val="0"/>
          <w:i w:val="0"/>
          <w:caps w:val="0"/>
          <w:color w:val="auto"/>
          <w:spacing w:val="0"/>
          <w:sz w:val="32"/>
          <w:szCs w:val="32"/>
          <w:lang w:val="en-US" w:eastAsia="zh-CN"/>
        </w:rPr>
        <w:t>融合示范</w:t>
      </w:r>
      <w:r>
        <w:rPr>
          <w:rFonts w:hint="default" w:ascii="Times New Roman" w:hAnsi="Times New Roman" w:eastAsia="仿宋_GB2312" w:cs="Times New Roman"/>
          <w:b w:val="0"/>
          <w:i w:val="0"/>
          <w:caps w:val="0"/>
          <w:color w:val="auto"/>
          <w:spacing w:val="0"/>
          <w:sz w:val="32"/>
          <w:szCs w:val="32"/>
          <w:lang w:val="en-US"/>
        </w:rPr>
        <w:t>项目）预算的通知》（川财教〔2022〕165号）文件，下达2022年省级公共文化服务体系建设专项资金（文旅</w:t>
      </w:r>
      <w:r>
        <w:rPr>
          <w:rFonts w:hint="eastAsia" w:ascii="Times New Roman" w:hAnsi="Times New Roman" w:eastAsia="仿宋_GB2312" w:cs="Times New Roman"/>
          <w:b w:val="0"/>
          <w:i w:val="0"/>
          <w:caps w:val="0"/>
          <w:color w:val="auto"/>
          <w:spacing w:val="0"/>
          <w:sz w:val="32"/>
          <w:szCs w:val="32"/>
          <w:lang w:val="en-US" w:eastAsia="zh-CN"/>
        </w:rPr>
        <w:t>融合示范</w:t>
      </w:r>
      <w:r>
        <w:rPr>
          <w:rFonts w:hint="default" w:ascii="Times New Roman" w:hAnsi="Times New Roman" w:eastAsia="仿宋_GB2312" w:cs="Times New Roman"/>
          <w:b w:val="0"/>
          <w:i w:val="0"/>
          <w:caps w:val="0"/>
          <w:color w:val="auto"/>
          <w:spacing w:val="0"/>
          <w:sz w:val="32"/>
          <w:szCs w:val="32"/>
          <w:lang w:val="en-US"/>
        </w:rPr>
        <w:t>项目）1000万元</w:t>
      </w:r>
      <w:r>
        <w:rPr>
          <w:rFonts w:hint="eastAsia" w:ascii="Times New Roman" w:hAnsi="Times New Roman" w:eastAsia="仿宋_GB2312" w:cs="Times New Roman"/>
          <w:b w:val="0"/>
          <w:i w:val="0"/>
          <w:caps w:val="0"/>
          <w:color w:val="auto"/>
          <w:spacing w:val="0"/>
          <w:sz w:val="32"/>
          <w:szCs w:val="32"/>
          <w:lang w:val="en-US" w:eastAsia="zh-CN"/>
        </w:rPr>
        <w:t>用于支持</w:t>
      </w:r>
      <w:r>
        <w:rPr>
          <w:rFonts w:hint="default" w:ascii="Times New Roman" w:hAnsi="Times New Roman" w:eastAsia="仿宋_GB2312" w:cs="Times New Roman"/>
          <w:b w:val="0"/>
          <w:i w:val="0"/>
          <w:caps w:val="0"/>
          <w:color w:val="auto"/>
          <w:spacing w:val="0"/>
          <w:sz w:val="32"/>
          <w:szCs w:val="32"/>
          <w:lang w:val="en-US"/>
        </w:rPr>
        <w:t>盐边县大笮文旅产业融合园区提升项目。</w:t>
      </w:r>
    </w:p>
    <w:p>
      <w:pPr>
        <w:spacing w:line="578" w:lineRule="exact"/>
        <w:ind w:firstLine="643"/>
        <w:rPr>
          <w:rFonts w:ascii="Times New Roman" w:hAnsi="Times New Roman" w:eastAsia="楷体_GB2312"/>
          <w:b/>
          <w:sz w:val="32"/>
          <w:szCs w:val="32"/>
        </w:rPr>
      </w:pPr>
      <w:r>
        <w:rPr>
          <w:rFonts w:ascii="Times New Roman" w:hAnsi="Times New Roman" w:eastAsia="楷体_GB2312"/>
          <w:b/>
          <w:sz w:val="32"/>
          <w:szCs w:val="32"/>
          <w:lang w:val="zh-CN"/>
        </w:rPr>
        <w:t>（二）</w:t>
      </w:r>
      <w:r>
        <w:rPr>
          <w:rFonts w:ascii="Times New Roman" w:hAnsi="Times New Roman" w:eastAsia="楷体_GB2312"/>
          <w:b/>
          <w:sz w:val="32"/>
          <w:szCs w:val="32"/>
        </w:rPr>
        <w:t>实施目的及支持方向。</w:t>
      </w:r>
    </w:p>
    <w:p>
      <w:pPr>
        <w:keepNext w:val="0"/>
        <w:keepLines w:val="0"/>
        <w:pageBreakBefore w:val="0"/>
        <w:widowControl w:val="0"/>
        <w:spacing w:before="0" w:beforeAutospacing="0" w:after="0" w:afterAutospacing="0" w:line="560" w:lineRule="exact"/>
        <w:ind w:firstLine="640"/>
        <w:jc w:val="both"/>
        <w:rPr>
          <w:rFonts w:hint="default" w:ascii="Times New Roman" w:hAnsi="Times New Roman" w:eastAsia="仿宋_GB2312" w:cs="Times New Roman"/>
          <w:b w:val="0"/>
          <w:i w:val="0"/>
          <w:caps w:val="0"/>
          <w:color w:val="auto"/>
          <w:spacing w:val="0"/>
          <w:sz w:val="32"/>
          <w:szCs w:val="32"/>
          <w:lang w:val="en-US"/>
        </w:rPr>
      </w:pPr>
      <w:r>
        <w:rPr>
          <w:rStyle w:val="203"/>
          <w:rFonts w:hint="default" w:ascii="Times New Roman" w:hAnsi="Times New Roman"/>
        </w:rPr>
        <w:t>根据《四川省财政厅关于印发〈四川省公共文化服务体系建设补助资金管理办法〉的通知》（川财教〔2023〕123号）文件精神，资金支持方向用于</w:t>
      </w:r>
      <w:r>
        <w:rPr>
          <w:rStyle w:val="203"/>
          <w:rFonts w:hint="eastAsia" w:ascii="Times New Roman" w:hAnsi="Times New Roman"/>
          <w:lang w:eastAsia="zh-CN"/>
        </w:rPr>
        <w:t>文旅融合项目</w:t>
      </w:r>
      <w:r>
        <w:rPr>
          <w:rStyle w:val="203"/>
          <w:rFonts w:hint="default" w:ascii="Times New Roman" w:hAnsi="Times New Roman"/>
        </w:rPr>
        <w:t>等。</w:t>
      </w:r>
      <w:r>
        <w:rPr>
          <w:rFonts w:hint="eastAsia" w:ascii="Times New Roman" w:hAnsi="Times New Roman" w:eastAsia="仿宋_GB2312" w:cs="Times New Roman"/>
          <w:b w:val="0"/>
          <w:i w:val="0"/>
          <w:caps w:val="0"/>
          <w:color w:val="auto"/>
          <w:spacing w:val="0"/>
          <w:sz w:val="32"/>
          <w:szCs w:val="32"/>
          <w:lang w:val="en-US" w:eastAsia="zh-CN"/>
        </w:rPr>
        <w:t>盐边县文广旅局作为项目主管部门，</w:t>
      </w:r>
      <w:r>
        <w:rPr>
          <w:rFonts w:hint="default" w:ascii="Times New Roman" w:hAnsi="Times New Roman" w:eastAsia="仿宋_GB2312" w:cs="Times New Roman"/>
          <w:b w:val="0"/>
          <w:i w:val="0"/>
          <w:caps w:val="0"/>
          <w:color w:val="auto"/>
          <w:spacing w:val="0"/>
          <w:sz w:val="32"/>
          <w:szCs w:val="32"/>
          <w:lang w:val="en-US" w:eastAsia="zh-CN"/>
        </w:rPr>
        <w:t>为保障资金专款专用，文旅融合示范项目补助资金由盐边县文广旅局和红格镇具体管理，盐边县康养旅游实训基地建设自筹资金由盐边县大笮文化旅游开发有限公司具体管理，对资金按项目单独核算</w:t>
      </w:r>
      <w:r>
        <w:rPr>
          <w:rFonts w:hint="default" w:ascii="Times New Roman" w:hAnsi="Times New Roman" w:eastAsia="仿宋_GB2312" w:cs="Times New Roman"/>
          <w:b w:val="0"/>
          <w:i w:val="0"/>
          <w:caps w:val="0"/>
          <w:color w:val="auto"/>
          <w:spacing w:val="0"/>
          <w:sz w:val="32"/>
          <w:szCs w:val="32"/>
          <w:lang w:val="en-US"/>
        </w:rPr>
        <w:t>。</w:t>
      </w:r>
    </w:p>
    <w:p>
      <w:pPr>
        <w:widowControl/>
        <w:spacing w:line="578" w:lineRule="exact"/>
        <w:ind w:firstLine="643"/>
        <w:contextualSpacing/>
        <w:jc w:val="left"/>
        <w:rPr>
          <w:rFonts w:ascii="Times New Roman" w:hAnsi="Times New Roman" w:eastAsia="楷体_GB2312"/>
          <w:b/>
          <w:sz w:val="32"/>
          <w:szCs w:val="32"/>
          <w:lang w:val="zh-CN"/>
        </w:rPr>
      </w:pPr>
      <w:r>
        <w:rPr>
          <w:rFonts w:ascii="Times New Roman" w:hAnsi="Times New Roman" w:eastAsia="楷体_GB2312"/>
          <w:b/>
          <w:sz w:val="32"/>
          <w:szCs w:val="32"/>
          <w:lang w:val="zh-CN"/>
        </w:rPr>
        <w:t>（三）</w:t>
      </w:r>
      <w:r>
        <w:rPr>
          <w:rFonts w:ascii="Times New Roman" w:hAnsi="Times New Roman" w:eastAsia="楷体_GB2312"/>
          <w:b/>
          <w:sz w:val="32"/>
          <w:szCs w:val="32"/>
        </w:rPr>
        <w:t>预算安排及分配管理</w:t>
      </w:r>
      <w:r>
        <w:rPr>
          <w:rFonts w:ascii="Times New Roman" w:hAnsi="Times New Roman" w:eastAsia="楷体_GB2312"/>
          <w:b/>
          <w:sz w:val="32"/>
          <w:szCs w:val="32"/>
          <w:lang w:val="zh-CN"/>
        </w:rPr>
        <w:t>。</w:t>
      </w:r>
    </w:p>
    <w:p>
      <w:pPr>
        <w:keepNext w:val="0"/>
        <w:keepLines w:val="0"/>
        <w:pageBreakBefore w:val="0"/>
        <w:widowControl w:val="0"/>
        <w:spacing w:before="0" w:beforeAutospacing="0" w:after="0" w:afterAutospacing="0" w:line="560" w:lineRule="exact"/>
        <w:ind w:firstLine="640"/>
        <w:jc w:val="both"/>
        <w:rPr>
          <w:rFonts w:hint="default"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仿宋_GB2312" w:cs="Times New Roman"/>
          <w:b w:val="0"/>
          <w:i w:val="0"/>
          <w:caps w:val="0"/>
          <w:color w:val="auto"/>
          <w:spacing w:val="0"/>
          <w:sz w:val="32"/>
          <w:szCs w:val="32"/>
          <w:lang w:val="en-US" w:eastAsia="zh-CN"/>
        </w:rPr>
        <w:t>自筹资金管理按照国有企业资金管理相关制度严格执行。</w:t>
      </w:r>
      <w:r>
        <w:rPr>
          <w:rFonts w:hint="default" w:ascii="Times New Roman" w:hAnsi="Times New Roman" w:eastAsia="仿宋_GB2312" w:cs="Times New Roman"/>
          <w:b w:val="0"/>
          <w:i w:val="0"/>
          <w:caps w:val="0"/>
          <w:color w:val="auto"/>
          <w:spacing w:val="0"/>
          <w:sz w:val="32"/>
          <w:szCs w:val="32"/>
          <w:lang w:val="en-US"/>
        </w:rPr>
        <w:t>省文旅融合示范项目支持资金1000万元</w:t>
      </w:r>
      <w:r>
        <w:rPr>
          <w:rFonts w:hint="eastAsia" w:ascii="Times New Roman" w:hAnsi="Times New Roman" w:eastAsia="仿宋_GB2312" w:cs="Times New Roman"/>
          <w:b w:val="0"/>
          <w:i w:val="0"/>
          <w:caps w:val="0"/>
          <w:color w:val="auto"/>
          <w:spacing w:val="0"/>
          <w:sz w:val="32"/>
          <w:szCs w:val="32"/>
          <w:lang w:val="en-US" w:eastAsia="zh-CN"/>
        </w:rPr>
        <w:t>使用于：</w:t>
      </w:r>
      <w:r>
        <w:rPr>
          <w:rFonts w:hint="default" w:ascii="Times New Roman" w:hAnsi="Times New Roman" w:eastAsia="仿宋_GB2312" w:cs="Times New Roman"/>
          <w:b w:val="0"/>
          <w:i w:val="0"/>
          <w:caps w:val="0"/>
          <w:color w:val="auto"/>
          <w:spacing w:val="0"/>
          <w:sz w:val="32"/>
          <w:szCs w:val="32"/>
          <w:lang w:val="en-US"/>
        </w:rPr>
        <w:t>一是创作一部大笮文化舞台剧——《雅砻江水天上来》，项目资金400万元；二是在党校（红格校区）改造提升一个可容纳1000人的大笮文化大剧院，项目资金260万元；三是在联合村建设一个大笮文化博物馆，展示盐边两千多年历史文化，项目资金100万元；四是在联合村打造一个美食研创与体验中心，主攻盐边餐饮文化与产业化研发，打造旅游研学特色课堂，项目资金240万元。</w:t>
      </w:r>
    </w:p>
    <w:p>
      <w:pPr>
        <w:spacing w:line="578" w:lineRule="exact"/>
        <w:ind w:firstLine="643"/>
        <w:rPr>
          <w:rFonts w:ascii="Times New Roman" w:hAnsi="Times New Roman" w:eastAsia="楷体_GB2312"/>
          <w:b/>
          <w:sz w:val="32"/>
          <w:szCs w:val="32"/>
          <w:lang w:val="zh-CN"/>
        </w:rPr>
      </w:pPr>
      <w:r>
        <w:rPr>
          <w:rFonts w:ascii="Times New Roman" w:hAnsi="Times New Roman" w:eastAsia="楷体_GB2312"/>
          <w:b/>
          <w:sz w:val="32"/>
          <w:szCs w:val="32"/>
          <w:lang w:val="zh-CN"/>
        </w:rPr>
        <w:t>（四）项目绩效目标设置。</w:t>
      </w:r>
    </w:p>
    <w:p>
      <w:pPr>
        <w:keepNext w:val="0"/>
        <w:keepLines w:val="0"/>
        <w:pageBreakBefore w:val="0"/>
        <w:widowControl w:val="0"/>
        <w:spacing w:before="0" w:beforeAutospacing="0" w:after="0" w:afterAutospacing="0" w:line="560" w:lineRule="exact"/>
        <w:ind w:firstLine="640"/>
        <w:jc w:val="both"/>
        <w:rPr>
          <w:rFonts w:hint="default"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仿宋_GB2312" w:cs="Times New Roman"/>
          <w:b w:val="0"/>
          <w:i w:val="0"/>
          <w:caps w:val="0"/>
          <w:color w:val="auto"/>
          <w:spacing w:val="0"/>
          <w:sz w:val="32"/>
          <w:szCs w:val="32"/>
          <w:lang w:val="en-US" w:eastAsia="zh-CN"/>
        </w:rPr>
        <w:t>通过大笮文旅产业融合园区建设，以大笮文化元素为出发点，全链化、集聚化开发大笮文化文旅融合产品和服务供应，建成四川省文旅融合示范项目，赋能盐边县红格旅游度假区文旅融合发展，加快盐边县文化资源旅游开发和文化创意商业转型，满足游客对盐边县文化娱乐体验与消费的多元化需求，带动周边餐饮、住宿等经济发展，提高盐边县文化旅游发展竞争力。</w:t>
      </w:r>
    </w:p>
    <w:p>
      <w:pPr>
        <w:keepNext w:val="0"/>
        <w:keepLines w:val="0"/>
        <w:pageBreakBefore w:val="0"/>
        <w:widowControl w:val="0"/>
        <w:spacing w:before="0" w:beforeAutospacing="0" w:after="0" w:afterAutospacing="0" w:line="560" w:lineRule="exact"/>
        <w:ind w:firstLine="640"/>
        <w:jc w:val="both"/>
        <w:rPr>
          <w:rFonts w:hint="default" w:ascii="Times New Roman" w:hAnsi="Times New Roman" w:eastAsia="仿宋_GB2312" w:cs="Times New Roman"/>
          <w:b w:val="0"/>
          <w:i w:val="0"/>
          <w:caps w:val="0"/>
          <w:color w:val="auto"/>
          <w:spacing w:val="0"/>
          <w:sz w:val="32"/>
          <w:szCs w:val="32"/>
          <w:lang w:val="en-US" w:eastAsia="zh-CN"/>
        </w:rPr>
      </w:pPr>
      <w:r>
        <w:rPr>
          <w:rStyle w:val="203"/>
          <w:rFonts w:hint="default" w:ascii="Times New Roman" w:hAnsi="Times New Roman"/>
        </w:rPr>
        <w:t>目标：</w:t>
      </w:r>
      <w:r>
        <w:rPr>
          <w:rFonts w:hint="default" w:ascii="Times New Roman" w:hAnsi="Times New Roman" w:eastAsia="仿宋_GB2312" w:cs="Times New Roman"/>
          <w:b w:val="0"/>
          <w:i w:val="0"/>
          <w:caps w:val="0"/>
          <w:color w:val="auto"/>
          <w:spacing w:val="0"/>
          <w:sz w:val="32"/>
          <w:szCs w:val="32"/>
          <w:lang w:val="en-US" w:eastAsia="zh-CN"/>
        </w:rPr>
        <w:t>创作一部大笮文化舞台剧</w:t>
      </w:r>
      <w:r>
        <w:rPr>
          <w:rFonts w:hint="eastAsia" w:ascii="Times New Roman" w:hAnsi="Times New Roman" w:eastAsia="仿宋_GB2312" w:cs="Times New Roman"/>
          <w:b w:val="0"/>
          <w:i w:val="0"/>
          <w:caps w:val="0"/>
          <w:color w:val="auto"/>
          <w:spacing w:val="0"/>
          <w:sz w:val="32"/>
          <w:szCs w:val="32"/>
          <w:lang w:val="en-US" w:eastAsia="zh-CN"/>
        </w:rPr>
        <w:t>：</w:t>
      </w:r>
      <w:r>
        <w:rPr>
          <w:rFonts w:hint="default" w:ascii="Times New Roman" w:hAnsi="Times New Roman" w:eastAsia="仿宋_GB2312" w:cs="Times New Roman"/>
          <w:b w:val="0"/>
          <w:i w:val="0"/>
          <w:caps w:val="0"/>
          <w:color w:val="auto"/>
          <w:spacing w:val="0"/>
          <w:sz w:val="32"/>
          <w:szCs w:val="32"/>
          <w:lang w:val="en-US" w:eastAsia="zh-CN"/>
        </w:rPr>
        <w:t>针对盐边县主题舞台剧较为缺乏的现状，项目以丰富多元的、涵盖衣食住行音乐舞蹈等方面的大笮文化为主要元素，结合当下流行的舞台剧形式进行重新创作，利用现代剧院声光电等技术手段进行现代化的呈现，给游客一场震撼视听的沉浸式体验，舞台剧可进行常态化演出，作为园区的保留项目，打造成为吸引游客的爆点。</w:t>
      </w:r>
    </w:p>
    <w:p>
      <w:pPr>
        <w:keepNext w:val="0"/>
        <w:keepLines w:val="0"/>
        <w:pageBreakBefore w:val="0"/>
        <w:widowControl w:val="0"/>
        <w:spacing w:before="0" w:beforeAutospacing="0" w:after="0" w:afterAutospacing="0" w:line="560" w:lineRule="exact"/>
        <w:ind w:firstLine="640"/>
        <w:jc w:val="both"/>
        <w:rPr>
          <w:rFonts w:hint="eastAsia"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仿宋_GB2312" w:cs="Times New Roman"/>
          <w:b w:val="0"/>
          <w:i w:val="0"/>
          <w:caps w:val="0"/>
          <w:color w:val="auto"/>
          <w:spacing w:val="0"/>
          <w:sz w:val="32"/>
          <w:szCs w:val="32"/>
          <w:lang w:val="en-US" w:eastAsia="zh-CN"/>
        </w:rPr>
        <w:t>提升一个大笮文化大剧院</w:t>
      </w:r>
      <w:r>
        <w:rPr>
          <w:rFonts w:hint="eastAsia" w:ascii="Times New Roman" w:hAnsi="Times New Roman" w:eastAsia="仿宋_GB2312" w:cs="Times New Roman"/>
          <w:b w:val="0"/>
          <w:i w:val="0"/>
          <w:caps w:val="0"/>
          <w:color w:val="auto"/>
          <w:spacing w:val="0"/>
          <w:sz w:val="32"/>
          <w:szCs w:val="32"/>
          <w:lang w:val="en-US" w:eastAsia="zh-CN"/>
        </w:rPr>
        <w:t>：结合大笮文旅融合项目需要，将之升级改造为大笮文化主题大剧院，在满足培训等需要的同时，可作为四川省重点文旅项目、四川省省级旅游度假区——红格温泉旅游度假区的大笮主题舞台剧表演中心，常态化开展大笮文化主题演出，打造为红格温泉旅游度假区乃至攀枝花市的重要的文化中心。</w:t>
      </w:r>
    </w:p>
    <w:p>
      <w:pPr>
        <w:keepNext w:val="0"/>
        <w:keepLines w:val="0"/>
        <w:pageBreakBefore w:val="0"/>
        <w:widowControl w:val="0"/>
        <w:spacing w:before="0" w:beforeAutospacing="0" w:after="0" w:afterAutospacing="0" w:line="560" w:lineRule="exact"/>
        <w:ind w:firstLine="640"/>
        <w:jc w:val="both"/>
        <w:rPr>
          <w:rFonts w:hint="eastAsia"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仿宋_GB2312" w:cs="Times New Roman"/>
          <w:b w:val="0"/>
          <w:i w:val="0"/>
          <w:caps w:val="0"/>
          <w:color w:val="auto"/>
          <w:spacing w:val="0"/>
          <w:sz w:val="32"/>
          <w:szCs w:val="32"/>
          <w:lang w:val="en-US" w:eastAsia="zh-CN"/>
        </w:rPr>
        <w:t>建设一个大笮文化博物馆</w:t>
      </w:r>
      <w:r>
        <w:rPr>
          <w:rFonts w:hint="eastAsia" w:ascii="Times New Roman" w:hAnsi="Times New Roman" w:eastAsia="仿宋_GB2312" w:cs="Times New Roman"/>
          <w:b w:val="0"/>
          <w:i w:val="0"/>
          <w:caps w:val="0"/>
          <w:color w:val="auto"/>
          <w:spacing w:val="0"/>
          <w:sz w:val="32"/>
          <w:szCs w:val="32"/>
          <w:lang w:val="en-US" w:eastAsia="zh-CN"/>
        </w:rPr>
        <w:t>：搜集展示相关大笮文化实物，和极具盐边少数民族特色的音乐，通过多媒体、沉浸式的方式呈现出来，提升其对大笮文化底蕴深厚的认知与认同。定期开展研学活动，依托园区餐饮、住宿等齐全的旅游要素，争取建成四川省研学旅行示范营地。</w:t>
      </w:r>
    </w:p>
    <w:p>
      <w:pPr>
        <w:keepNext w:val="0"/>
        <w:keepLines w:val="0"/>
        <w:pageBreakBefore w:val="0"/>
        <w:widowControl w:val="0"/>
        <w:spacing w:before="0" w:beforeAutospacing="0" w:after="0" w:afterAutospacing="0" w:line="560" w:lineRule="exact"/>
        <w:ind w:firstLine="640"/>
        <w:jc w:val="both"/>
        <w:rPr>
          <w:rFonts w:hint="default"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仿宋_GB2312" w:cs="Times New Roman"/>
          <w:b w:val="0"/>
          <w:i w:val="0"/>
          <w:caps w:val="0"/>
          <w:color w:val="auto"/>
          <w:spacing w:val="0"/>
          <w:sz w:val="32"/>
          <w:szCs w:val="32"/>
          <w:lang w:val="en-US" w:eastAsia="zh-CN"/>
        </w:rPr>
        <w:t>打造一个美食研创与体验中心</w:t>
      </w:r>
      <w:r>
        <w:rPr>
          <w:rFonts w:hint="eastAsia" w:ascii="Times New Roman" w:hAnsi="Times New Roman" w:eastAsia="仿宋_GB2312" w:cs="Times New Roman"/>
          <w:b w:val="0"/>
          <w:i w:val="0"/>
          <w:caps w:val="0"/>
          <w:color w:val="auto"/>
          <w:spacing w:val="0"/>
          <w:sz w:val="32"/>
          <w:szCs w:val="32"/>
          <w:lang w:val="en-US" w:eastAsia="zh-CN"/>
        </w:rPr>
        <w:t>：盐边县大笮文化和美食研究与创作中心，对借助基地的培训优势，对全县乡村文旅能人、非遗传承人、景区文化人员、村文化干部等进行培训，引入现代化的沉浸式体验餐厅理念和技术，设置大笮美食教学、共享厨房等设施，让游客不仅可以动手体验大笮美食的制作技术，同时也是开展大笮美食研学旅行活动的绝佳场所。</w:t>
      </w:r>
    </w:p>
    <w:p>
      <w:pPr>
        <w:spacing w:line="578" w:lineRule="exact"/>
        <w:ind w:firstLine="640"/>
        <w:rPr>
          <w:rFonts w:ascii="Times New Roman" w:hAnsi="Times New Roman" w:eastAsia="黑体"/>
          <w:sz w:val="32"/>
          <w:szCs w:val="32"/>
        </w:rPr>
      </w:pPr>
      <w:r>
        <w:rPr>
          <w:rFonts w:ascii="Times New Roman" w:hAnsi="Times New Roman" w:eastAsia="黑体"/>
          <w:sz w:val="32"/>
          <w:szCs w:val="32"/>
        </w:rPr>
        <w:t>二、评价实施</w:t>
      </w:r>
    </w:p>
    <w:p>
      <w:pPr>
        <w:spacing w:line="578" w:lineRule="exact"/>
        <w:ind w:firstLine="640"/>
        <w:rPr>
          <w:rFonts w:ascii="Times New Roman" w:hAnsi="Times New Roman" w:eastAsia="楷体_GB2312"/>
          <w:b/>
          <w:sz w:val="32"/>
          <w:szCs w:val="32"/>
          <w:lang w:val="zh-CN"/>
        </w:rPr>
      </w:pPr>
      <w:r>
        <w:rPr>
          <w:rFonts w:ascii="Times New Roman" w:hAnsi="Times New Roman" w:eastAsia="楷体_GB2312"/>
          <w:b/>
          <w:sz w:val="32"/>
          <w:szCs w:val="32"/>
          <w:lang w:val="zh-CN"/>
        </w:rPr>
        <w:t>（一）评价目的。</w:t>
      </w:r>
    </w:p>
    <w:p>
      <w:pPr>
        <w:spacing w:line="578" w:lineRule="exact"/>
        <w:ind w:firstLine="640"/>
        <w:rPr>
          <w:rStyle w:val="203"/>
          <w:rFonts w:hint="default" w:ascii="Times New Roman" w:hAnsi="Times New Roman"/>
        </w:rPr>
      </w:pPr>
      <w:r>
        <w:rPr>
          <w:rStyle w:val="203"/>
          <w:rFonts w:hint="default" w:ascii="Times New Roman" w:hAnsi="Times New Roman"/>
        </w:rPr>
        <w:t>1．项目成效评估方面</w:t>
      </w:r>
    </w:p>
    <w:p>
      <w:pPr>
        <w:keepNext w:val="0"/>
        <w:keepLines w:val="0"/>
        <w:pageBreakBefore w:val="0"/>
        <w:widowControl w:val="0"/>
        <w:spacing w:before="0" w:beforeAutospacing="0" w:after="0" w:afterAutospacing="0" w:line="560" w:lineRule="exact"/>
        <w:ind w:firstLine="640"/>
        <w:jc w:val="both"/>
        <w:rPr>
          <w:rFonts w:hint="default" w:ascii="Times New Roman" w:hAnsi="Times New Roman" w:eastAsia="仿宋_GB2312" w:cs="Times New Roman"/>
          <w:b w:val="0"/>
          <w:i w:val="0"/>
          <w:caps w:val="0"/>
          <w:color w:val="auto"/>
          <w:spacing w:val="0"/>
          <w:sz w:val="32"/>
          <w:szCs w:val="32"/>
          <w:lang w:val="en-US" w:eastAsia="zh-CN"/>
        </w:rPr>
      </w:pPr>
      <w:r>
        <w:rPr>
          <w:rStyle w:val="203"/>
          <w:rFonts w:hint="default" w:ascii="Times New Roman" w:hAnsi="Times New Roman"/>
        </w:rPr>
        <w:t xml:space="preserve"> 检验</w:t>
      </w:r>
      <w:r>
        <w:rPr>
          <w:rStyle w:val="203"/>
          <w:rFonts w:hint="eastAsia" w:ascii="Times New Roman" w:hAnsi="Times New Roman" w:eastAsia="仿宋_GB2312"/>
          <w:lang w:eastAsia="zh-CN"/>
        </w:rPr>
        <w:t>项目</w:t>
      </w:r>
      <w:r>
        <w:rPr>
          <w:rStyle w:val="203"/>
          <w:rFonts w:hint="default" w:ascii="Times New Roman" w:hAnsi="Times New Roman"/>
        </w:rPr>
        <w:t>实现程度：</w:t>
      </w:r>
      <w:r>
        <w:rPr>
          <w:rFonts w:hint="default" w:ascii="Times New Roman" w:hAnsi="Times New Roman" w:eastAsia="仿宋_GB2312" w:cs="Times New Roman"/>
          <w:b w:val="0"/>
          <w:i w:val="0"/>
          <w:caps w:val="0"/>
          <w:color w:val="auto"/>
          <w:spacing w:val="0"/>
          <w:sz w:val="32"/>
          <w:szCs w:val="32"/>
          <w:lang w:val="en-US" w:eastAsia="zh-CN"/>
        </w:rPr>
        <w:t>大笮文化大剧院</w:t>
      </w:r>
      <w:r>
        <w:rPr>
          <w:rFonts w:hint="eastAsia" w:ascii="Times New Roman" w:hAnsi="Times New Roman" w:eastAsia="仿宋_GB2312" w:cs="Times New Roman"/>
          <w:b w:val="0"/>
          <w:i w:val="0"/>
          <w:caps w:val="0"/>
          <w:color w:val="auto"/>
          <w:spacing w:val="0"/>
          <w:sz w:val="32"/>
          <w:szCs w:val="32"/>
          <w:lang w:val="en-US" w:eastAsia="zh-CN"/>
        </w:rPr>
        <w:t>的改造提升，是否能满足大笮文化主题演出；</w:t>
      </w:r>
      <w:r>
        <w:rPr>
          <w:rStyle w:val="203"/>
          <w:rFonts w:hint="eastAsia" w:ascii="Times New Roman" w:hAnsi="Times New Roman" w:eastAsia="仿宋_GB2312"/>
          <w:lang w:eastAsia="zh-CN"/>
        </w:rPr>
        <w:t>《雅砻江水天上来》话剧是否是“</w:t>
      </w:r>
      <w:r>
        <w:rPr>
          <w:rFonts w:hint="default" w:ascii="Times New Roman" w:hAnsi="Times New Roman" w:eastAsia="仿宋_GB2312" w:cs="Times New Roman"/>
          <w:b w:val="0"/>
          <w:i w:val="0"/>
          <w:caps w:val="0"/>
          <w:color w:val="auto"/>
          <w:spacing w:val="0"/>
          <w:sz w:val="32"/>
          <w:szCs w:val="32"/>
          <w:lang w:val="en-US" w:eastAsia="zh-CN"/>
        </w:rPr>
        <w:t>一场震撼视听的沉浸式体验</w:t>
      </w:r>
      <w:r>
        <w:rPr>
          <w:rStyle w:val="203"/>
          <w:rFonts w:hint="eastAsia" w:ascii="Times New Roman" w:hAnsi="Times New Roman" w:eastAsia="仿宋_GB2312"/>
          <w:lang w:eastAsia="zh-CN"/>
        </w:rPr>
        <w:t>”的大笮文化剧；</w:t>
      </w:r>
      <w:r>
        <w:rPr>
          <w:rFonts w:hint="default" w:ascii="Times New Roman" w:hAnsi="Times New Roman" w:eastAsia="仿宋_GB2312" w:cs="Times New Roman"/>
          <w:b w:val="0"/>
          <w:i w:val="0"/>
          <w:caps w:val="0"/>
          <w:color w:val="auto"/>
          <w:spacing w:val="0"/>
          <w:sz w:val="32"/>
          <w:szCs w:val="32"/>
          <w:lang w:val="en-US" w:eastAsia="zh-CN"/>
        </w:rPr>
        <w:t>大笮文化博物馆</w:t>
      </w:r>
      <w:r>
        <w:rPr>
          <w:rFonts w:hint="eastAsia" w:ascii="Times New Roman" w:hAnsi="Times New Roman" w:eastAsia="仿宋_GB2312" w:cs="Times New Roman"/>
          <w:b w:val="0"/>
          <w:i w:val="0"/>
          <w:caps w:val="0"/>
          <w:color w:val="auto"/>
          <w:spacing w:val="0"/>
          <w:sz w:val="32"/>
          <w:szCs w:val="32"/>
          <w:lang w:val="en-US" w:eastAsia="zh-CN"/>
        </w:rPr>
        <w:t>是否建成并搜集展示相关大笮文化实物，和极具盐边少数民族特色的音乐；</w:t>
      </w:r>
      <w:r>
        <w:rPr>
          <w:rFonts w:hint="default" w:ascii="Times New Roman" w:hAnsi="Times New Roman" w:eastAsia="仿宋_GB2312" w:cs="Times New Roman"/>
          <w:b w:val="0"/>
          <w:i w:val="0"/>
          <w:caps w:val="0"/>
          <w:color w:val="auto"/>
          <w:spacing w:val="0"/>
          <w:sz w:val="32"/>
          <w:szCs w:val="32"/>
          <w:lang w:val="en-US" w:eastAsia="zh-CN"/>
        </w:rPr>
        <w:t>美食研创与体验中心</w:t>
      </w:r>
      <w:r>
        <w:rPr>
          <w:rFonts w:hint="eastAsia" w:ascii="Times New Roman" w:hAnsi="Times New Roman" w:eastAsia="仿宋_GB2312" w:cs="Times New Roman"/>
          <w:b w:val="0"/>
          <w:i w:val="0"/>
          <w:caps w:val="0"/>
          <w:color w:val="auto"/>
          <w:spacing w:val="0"/>
          <w:sz w:val="32"/>
          <w:szCs w:val="32"/>
          <w:lang w:val="en-US" w:eastAsia="zh-CN"/>
        </w:rPr>
        <w:t>是否开展大笮美食研学旅行活动的绝佳场所。</w:t>
      </w:r>
    </w:p>
    <w:p>
      <w:pPr>
        <w:spacing w:line="578" w:lineRule="exact"/>
        <w:ind w:firstLine="640"/>
        <w:rPr>
          <w:rStyle w:val="203"/>
          <w:rFonts w:hint="default" w:ascii="Times New Roman" w:hAnsi="Times New Roman"/>
        </w:rPr>
      </w:pPr>
      <w:r>
        <w:rPr>
          <w:rStyle w:val="203"/>
          <w:rFonts w:hint="default" w:ascii="Times New Roman" w:hAnsi="Times New Roman"/>
        </w:rPr>
        <w:t xml:space="preserve"> 2．社会影响与服务提升方面</w:t>
      </w:r>
    </w:p>
    <w:p>
      <w:pPr>
        <w:spacing w:line="578" w:lineRule="exact"/>
        <w:ind w:firstLine="640"/>
        <w:rPr>
          <w:rStyle w:val="203"/>
          <w:rFonts w:hint="eastAsia" w:ascii="Times New Roman" w:hAnsi="Times New Roman" w:eastAsia="仿宋_GB2312"/>
          <w:lang w:eastAsia="zh-CN"/>
        </w:rPr>
      </w:pPr>
      <w:r>
        <w:rPr>
          <w:rStyle w:val="203"/>
          <w:rFonts w:hint="default" w:ascii="Times New Roman" w:hAnsi="Times New Roman"/>
        </w:rPr>
        <w:t xml:space="preserve"> 增强公众满意度：调查公众对</w:t>
      </w:r>
      <w:r>
        <w:rPr>
          <w:rStyle w:val="203"/>
          <w:rFonts w:hint="eastAsia" w:ascii="Times New Roman" w:hAnsi="Times New Roman" w:eastAsia="仿宋_GB2312"/>
          <w:lang w:eastAsia="zh-CN"/>
        </w:rPr>
        <w:t>文旅融合项目</w:t>
      </w:r>
      <w:r>
        <w:rPr>
          <w:rStyle w:val="203"/>
          <w:rFonts w:hint="default" w:ascii="Times New Roman" w:hAnsi="Times New Roman"/>
        </w:rPr>
        <w:t>的满意度，包括</w:t>
      </w:r>
      <w:r>
        <w:rPr>
          <w:rStyle w:val="203"/>
          <w:rFonts w:hint="eastAsia" w:ascii="Times New Roman" w:hAnsi="Times New Roman" w:eastAsia="仿宋_GB2312"/>
          <w:lang w:eastAsia="zh-CN"/>
        </w:rPr>
        <w:t>群众对《雅砻江水天上来》话剧演出满意度</w:t>
      </w:r>
      <w:r>
        <w:rPr>
          <w:rStyle w:val="203"/>
          <w:rFonts w:hint="default" w:ascii="Times New Roman" w:hAnsi="Times New Roman"/>
        </w:rPr>
        <w:t>，</w:t>
      </w:r>
      <w:r>
        <w:rPr>
          <w:rStyle w:val="203"/>
          <w:rFonts w:hint="eastAsia" w:ascii="Times New Roman" w:hAnsi="Times New Roman" w:eastAsia="仿宋_GB2312"/>
          <w:lang w:eastAsia="zh-CN"/>
        </w:rPr>
        <w:t>群众对</w:t>
      </w:r>
      <w:r>
        <w:rPr>
          <w:rFonts w:hint="default" w:ascii="Times New Roman" w:hAnsi="Times New Roman" w:eastAsia="仿宋_GB2312" w:cs="Times New Roman"/>
          <w:b w:val="0"/>
          <w:i w:val="0"/>
          <w:caps w:val="0"/>
          <w:color w:val="auto"/>
          <w:spacing w:val="0"/>
          <w:sz w:val="32"/>
          <w:szCs w:val="32"/>
          <w:lang w:val="en-US" w:eastAsia="zh-CN"/>
        </w:rPr>
        <w:t>美食研创与体验中心</w:t>
      </w:r>
      <w:r>
        <w:rPr>
          <w:rStyle w:val="203"/>
          <w:rFonts w:hint="eastAsia" w:ascii="Times New Roman" w:hAnsi="Times New Roman" w:eastAsia="仿宋_GB2312"/>
          <w:lang w:eastAsia="zh-CN"/>
        </w:rPr>
        <w:t>的体验满意度</w:t>
      </w:r>
      <w:r>
        <w:rPr>
          <w:rStyle w:val="203"/>
          <w:rFonts w:hint="default" w:ascii="Times New Roman" w:hAnsi="Times New Roman"/>
        </w:rPr>
        <w:t>，进而提升公共服务水平，增强民众对</w:t>
      </w:r>
      <w:r>
        <w:rPr>
          <w:rStyle w:val="203"/>
          <w:rFonts w:hint="eastAsia" w:ascii="Times New Roman" w:hAnsi="Times New Roman" w:eastAsia="仿宋_GB2312"/>
          <w:lang w:eastAsia="zh-CN"/>
        </w:rPr>
        <w:t>文旅融合项目的满意度。</w:t>
      </w:r>
    </w:p>
    <w:p>
      <w:pPr>
        <w:spacing w:line="578" w:lineRule="exact"/>
        <w:ind w:firstLine="643"/>
        <w:rPr>
          <w:rFonts w:ascii="Times New Roman" w:hAnsi="Times New Roman" w:eastAsia="楷体_GB2312"/>
          <w:b/>
          <w:sz w:val="32"/>
          <w:szCs w:val="32"/>
          <w:lang w:val="zh-CN"/>
        </w:rPr>
      </w:pPr>
      <w:r>
        <w:rPr>
          <w:rFonts w:ascii="Times New Roman" w:hAnsi="Times New Roman" w:eastAsia="楷体_GB2312"/>
          <w:b/>
          <w:sz w:val="32"/>
          <w:szCs w:val="32"/>
          <w:lang w:val="zh-CN"/>
        </w:rPr>
        <w:t xml:space="preserve"> （二）预设问题及评价重点。</w:t>
      </w:r>
    </w:p>
    <w:p>
      <w:pPr>
        <w:spacing w:line="578"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按照绩效评价指标体系，对项目建设、资金使用和实施效果进行综合评价和判断。</w:t>
      </w:r>
    </w:p>
    <w:p>
      <w:pPr>
        <w:spacing w:line="578" w:lineRule="exact"/>
        <w:ind w:firstLine="640"/>
        <w:rPr>
          <w:rStyle w:val="203"/>
          <w:rFonts w:hint="default" w:ascii="Times New Roman" w:hAnsi="Times New Roman"/>
        </w:rPr>
      </w:pPr>
      <w:r>
        <w:rPr>
          <w:rStyle w:val="203"/>
          <w:rFonts w:hint="default" w:ascii="Times New Roman" w:hAnsi="Times New Roman"/>
        </w:rPr>
        <w:t>1．预设问题。</w:t>
      </w:r>
    </w:p>
    <w:p>
      <w:pPr>
        <w:tabs>
          <w:tab w:val="left" w:pos="1911"/>
        </w:tabs>
        <w:ind w:firstLine="707"/>
        <w:jc w:val="left"/>
        <w:rPr>
          <w:rFonts w:ascii="Times New Roman" w:hAnsi="Times New Roman" w:eastAsia="仿宋_GB2312"/>
          <w:sz w:val="32"/>
          <w:szCs w:val="32"/>
        </w:rPr>
      </w:pPr>
      <w:r>
        <w:rPr>
          <w:rFonts w:ascii="Times New Roman" w:hAnsi="Times New Roman" w:eastAsia="仿宋_GB2312"/>
          <w:sz w:val="32"/>
          <w:szCs w:val="32"/>
        </w:rPr>
        <w:t>资金支出以专款专用的方式列支，以</w:t>
      </w:r>
      <w:r>
        <w:rPr>
          <w:rFonts w:hint="eastAsia" w:ascii="Times New Roman" w:hAnsi="Times New Roman" w:eastAsia="仿宋_GB2312"/>
          <w:sz w:val="32"/>
          <w:szCs w:val="32"/>
          <w:lang w:eastAsia="zh-CN"/>
        </w:rPr>
        <w:t>项目实施单位来分配资金。</w:t>
      </w:r>
      <w:r>
        <w:rPr>
          <w:rFonts w:ascii="Times New Roman" w:hAnsi="Times New Roman" w:eastAsia="仿宋_GB2312"/>
          <w:sz w:val="32"/>
          <w:szCs w:val="32"/>
        </w:rPr>
        <w:t>记账进行预、决算的比对，同时与上年度或同期进行分析。</w:t>
      </w:r>
    </w:p>
    <w:p>
      <w:pPr>
        <w:spacing w:line="578" w:lineRule="exact"/>
        <w:ind w:firstLine="643"/>
        <w:rPr>
          <w:rFonts w:ascii="Times New Roman" w:hAnsi="Times New Roman" w:eastAsia="楷体_GB2312"/>
          <w:b/>
          <w:sz w:val="32"/>
          <w:szCs w:val="32"/>
          <w:lang w:val="zh-CN"/>
        </w:rPr>
      </w:pPr>
      <w:r>
        <w:rPr>
          <w:rFonts w:ascii="Times New Roman" w:hAnsi="Times New Roman" w:eastAsia="楷体_GB2312"/>
          <w:b/>
          <w:sz w:val="32"/>
          <w:szCs w:val="32"/>
          <w:lang w:val="zh-CN"/>
        </w:rPr>
        <w:t>（三）评价选点。</w:t>
      </w:r>
    </w:p>
    <w:p>
      <w:pPr>
        <w:spacing w:line="578" w:lineRule="exact"/>
        <w:ind w:firstLine="640"/>
        <w:rPr>
          <w:rFonts w:hint="eastAsia" w:ascii="Times New Roman" w:hAnsi="Times New Roman" w:eastAsia="仿宋_GB2312"/>
          <w:sz w:val="32"/>
          <w:szCs w:val="32"/>
          <w:lang w:val="zh-CN" w:eastAsia="zh-CN"/>
        </w:rPr>
      </w:pPr>
      <w:r>
        <w:rPr>
          <w:rFonts w:ascii="Times New Roman" w:hAnsi="Times New Roman" w:eastAsia="仿宋_GB2312"/>
          <w:sz w:val="32"/>
          <w:szCs w:val="32"/>
          <w:lang w:val="zh-CN"/>
        </w:rPr>
        <w:t>主要针对项目实施及资金使用等方面实施绩效评价。</w:t>
      </w:r>
      <w:r>
        <w:rPr>
          <w:rFonts w:hint="eastAsia" w:ascii="Times New Roman" w:hAnsi="Times New Roman" w:eastAsia="仿宋_GB2312"/>
          <w:sz w:val="32"/>
          <w:szCs w:val="32"/>
          <w:lang w:eastAsia="zh-CN"/>
        </w:rPr>
        <w:t>主要选取大笮文化剧院改造提升和一台舞台剧的打造，来进行项目绩效评价。</w:t>
      </w:r>
      <w:r>
        <w:rPr>
          <w:rFonts w:hint="eastAsia" w:ascii="Times New Roman" w:hAnsi="Times New Roman" w:eastAsia="仿宋_GB2312"/>
          <w:sz w:val="32"/>
          <w:szCs w:val="32"/>
          <w:lang w:val="zh-CN"/>
        </w:rPr>
        <w:t>文旅融合项目</w:t>
      </w:r>
      <w:r>
        <w:rPr>
          <w:rFonts w:ascii="Times New Roman" w:hAnsi="Times New Roman" w:eastAsia="仿宋_GB2312"/>
          <w:sz w:val="32"/>
          <w:szCs w:val="32"/>
          <w:lang w:val="zh-CN"/>
        </w:rPr>
        <w:t>建设进展情况及</w:t>
      </w:r>
      <w:r>
        <w:rPr>
          <w:rFonts w:ascii="Times New Roman" w:hAnsi="Times New Roman" w:eastAsia="仿宋_GB2312"/>
          <w:sz w:val="32"/>
          <w:szCs w:val="32"/>
        </w:rPr>
        <w:t>资金使用均按合同进度执行，资金支付范围、支付标准、支付进度、支付依据等合规合法、与预算相符，无截留、挤占、挪用情况。</w:t>
      </w:r>
    </w:p>
    <w:p>
      <w:pPr>
        <w:spacing w:line="578" w:lineRule="exact"/>
        <w:ind w:firstLine="640"/>
        <w:rPr>
          <w:rFonts w:ascii="Times New Roman" w:hAnsi="Times New Roman" w:eastAsia="楷体_GB2312"/>
          <w:b/>
          <w:sz w:val="32"/>
          <w:szCs w:val="32"/>
          <w:lang w:val="zh-CN"/>
        </w:rPr>
      </w:pPr>
      <w:r>
        <w:rPr>
          <w:rFonts w:ascii="Times New Roman" w:hAnsi="Times New Roman" w:eastAsia="楷体_GB2312"/>
          <w:b/>
          <w:sz w:val="32"/>
          <w:szCs w:val="32"/>
          <w:lang w:val="zh-CN"/>
        </w:rPr>
        <w:t>（四）评价方法。</w:t>
      </w:r>
    </w:p>
    <w:p>
      <w:pPr>
        <w:spacing w:line="578" w:lineRule="exact"/>
        <w:ind w:firstLine="640"/>
        <w:rPr>
          <w:rFonts w:ascii="Times New Roman" w:hAnsi="Times New Roman" w:eastAsia="仿宋_GB2312"/>
          <w:sz w:val="32"/>
          <w:szCs w:val="32"/>
          <w:lang w:val="zh-CN"/>
        </w:rPr>
      </w:pPr>
      <w:r>
        <w:rPr>
          <w:rFonts w:ascii="Times New Roman" w:hAnsi="Times New Roman" w:eastAsia="仿宋_GB2312"/>
          <w:sz w:val="32"/>
          <w:szCs w:val="32"/>
          <w:lang w:val="zh-CN"/>
        </w:rPr>
        <w:t>按照有关规定和工作安排，</w:t>
      </w:r>
      <w:r>
        <w:rPr>
          <w:rFonts w:hint="eastAsia" w:ascii="Times New Roman" w:hAnsi="Times New Roman" w:eastAsia="仿宋_GB2312"/>
          <w:sz w:val="32"/>
          <w:szCs w:val="32"/>
          <w:lang w:val="zh-CN"/>
        </w:rPr>
        <w:t>县</w:t>
      </w:r>
      <w:r>
        <w:rPr>
          <w:rFonts w:ascii="Times New Roman" w:hAnsi="Times New Roman" w:eastAsia="仿宋_GB2312"/>
          <w:sz w:val="32"/>
          <w:szCs w:val="32"/>
          <w:lang w:val="zh-CN"/>
        </w:rPr>
        <w:t>文广旅局开展自行评估，通过自行成立等方式组建评估组，通过收集被评估项目相关基础资料，并查阅资料、收集数据信息等，深入论证分析后，形成绩效评估报告。本项目通过前期调研、现场踏勘、与项目相关人员进行座谈或讨论、聘请相关专业专家论证等方法了解项目情况，收集相关资料，综合分析相关情况后，对项目的立项必要性、投入经济性、目标合理性、方案可行性以及筹资合规性实施评估</w:t>
      </w:r>
      <w:r>
        <w:rPr>
          <w:rFonts w:ascii="Times New Roman" w:hAnsi="Times New Roman"/>
          <w:szCs w:val="32"/>
        </w:rPr>
        <w:t>。</w:t>
      </w:r>
    </w:p>
    <w:p>
      <w:pPr>
        <w:spacing w:line="578" w:lineRule="exact"/>
        <w:ind w:firstLine="640"/>
        <w:rPr>
          <w:rFonts w:ascii="Times New Roman" w:hAnsi="Times New Roman" w:eastAsia="楷体_GB2312"/>
          <w:b/>
          <w:sz w:val="32"/>
          <w:szCs w:val="32"/>
          <w:lang w:val="zh-CN"/>
        </w:rPr>
      </w:pPr>
      <w:r>
        <w:rPr>
          <w:rFonts w:ascii="Times New Roman" w:hAnsi="Times New Roman" w:eastAsia="楷体_GB2312"/>
          <w:b/>
          <w:sz w:val="32"/>
          <w:szCs w:val="32"/>
          <w:lang w:val="zh-CN"/>
        </w:rPr>
        <w:t>（五）评价组织。</w:t>
      </w:r>
    </w:p>
    <w:p>
      <w:pPr>
        <w:tabs>
          <w:tab w:val="left" w:pos="1911"/>
        </w:tabs>
        <w:ind w:firstLine="707"/>
        <w:jc w:val="left"/>
        <w:rPr>
          <w:rFonts w:ascii="Times New Roman" w:hAnsi="Times New Roman" w:eastAsia="仿宋_GB2312"/>
          <w:sz w:val="32"/>
          <w:szCs w:val="32"/>
          <w:lang w:val="zh-CN"/>
        </w:rPr>
      </w:pPr>
      <w:r>
        <w:rPr>
          <w:rFonts w:ascii="Times New Roman" w:hAnsi="Times New Roman" w:eastAsia="仿宋_GB2312"/>
          <w:sz w:val="32"/>
          <w:szCs w:val="32"/>
        </w:rPr>
        <w:t>评价人员主要由我</w:t>
      </w:r>
      <w:r>
        <w:rPr>
          <w:rFonts w:hint="eastAsia" w:ascii="Times New Roman" w:hAnsi="Times New Roman" w:eastAsia="仿宋_GB2312"/>
          <w:sz w:val="32"/>
          <w:szCs w:val="32"/>
          <w:lang w:eastAsia="zh-CN"/>
        </w:rPr>
        <w:t>局</w:t>
      </w:r>
      <w:r>
        <w:rPr>
          <w:rFonts w:ascii="Times New Roman" w:hAnsi="Times New Roman" w:eastAsia="仿宋_GB2312"/>
          <w:sz w:val="32"/>
          <w:szCs w:val="32"/>
        </w:rPr>
        <w:t>领导班子、中层干部、</w:t>
      </w:r>
      <w:r>
        <w:rPr>
          <w:rFonts w:hint="eastAsia" w:ascii="Times New Roman" w:hAnsi="Times New Roman" w:eastAsia="仿宋_GB2312"/>
          <w:sz w:val="32"/>
          <w:szCs w:val="32"/>
          <w:lang w:eastAsia="zh-CN"/>
        </w:rPr>
        <w:t>项目实施科室工作人员。分管项目的领导为组长</w:t>
      </w:r>
      <w:r>
        <w:rPr>
          <w:rFonts w:ascii="Times New Roman" w:hAnsi="Times New Roman" w:eastAsia="仿宋_GB2312"/>
          <w:sz w:val="32"/>
          <w:szCs w:val="32"/>
        </w:rPr>
        <w:t>，</w:t>
      </w:r>
      <w:r>
        <w:rPr>
          <w:rFonts w:hint="eastAsia" w:ascii="Times New Roman" w:hAnsi="Times New Roman" w:eastAsia="仿宋_GB2312"/>
          <w:sz w:val="32"/>
          <w:szCs w:val="32"/>
          <w:lang w:eastAsia="zh-CN"/>
        </w:rPr>
        <w:t>负责</w:t>
      </w:r>
      <w:r>
        <w:rPr>
          <w:rFonts w:ascii="Times New Roman" w:hAnsi="Times New Roman" w:eastAsia="仿宋_GB2312"/>
          <w:sz w:val="32"/>
          <w:szCs w:val="32"/>
        </w:rPr>
        <w:t>对项目具体实施并</w:t>
      </w:r>
      <w:r>
        <w:rPr>
          <w:rFonts w:hint="eastAsia" w:ascii="Times New Roman" w:hAnsi="Times New Roman" w:eastAsia="仿宋_GB2312"/>
          <w:sz w:val="32"/>
          <w:szCs w:val="32"/>
        </w:rPr>
        <w:t>依计</w:t>
      </w:r>
      <w:r>
        <w:rPr>
          <w:rFonts w:ascii="Times New Roman" w:hAnsi="Times New Roman" w:eastAsia="仿宋_GB2312"/>
          <w:sz w:val="32"/>
          <w:szCs w:val="32"/>
        </w:rPr>
        <w:t>划完成项目</w:t>
      </w:r>
      <w:r>
        <w:rPr>
          <w:rFonts w:hint="eastAsia" w:ascii="Times New Roman" w:hAnsi="Times New Roman" w:eastAsia="仿宋_GB2312"/>
          <w:sz w:val="32"/>
          <w:szCs w:val="32"/>
          <w:lang w:eastAsia="zh-CN"/>
        </w:rPr>
        <w:t>及进行自评</w:t>
      </w:r>
      <w:r>
        <w:rPr>
          <w:rFonts w:ascii="Times New Roman" w:hAnsi="Times New Roman" w:eastAsia="仿宋_GB2312"/>
          <w:sz w:val="32"/>
          <w:szCs w:val="32"/>
        </w:rPr>
        <w:t>。</w:t>
      </w:r>
      <w:r>
        <w:rPr>
          <w:rFonts w:ascii="Times New Roman" w:hAnsi="Times New Roman" w:eastAsia="仿宋_GB2312"/>
          <w:sz w:val="32"/>
          <w:szCs w:val="32"/>
          <w:lang w:val="zh-CN"/>
        </w:rPr>
        <w:t>根据工作职责，业务部门负责项目的建设及管理绩效评价工作</w:t>
      </w:r>
      <w:r>
        <w:rPr>
          <w:rFonts w:hint="eastAsia" w:ascii="Times New Roman" w:hAnsi="Times New Roman" w:eastAsia="仿宋_GB2312"/>
          <w:sz w:val="32"/>
          <w:szCs w:val="32"/>
          <w:lang w:val="zh-CN"/>
        </w:rPr>
        <w:t>。</w:t>
      </w:r>
    </w:p>
    <w:p>
      <w:pPr>
        <w:spacing w:line="578" w:lineRule="exact"/>
        <w:ind w:firstLine="640"/>
        <w:rPr>
          <w:rFonts w:ascii="Times New Roman" w:hAnsi="Times New Roman"/>
          <w:sz w:val="32"/>
          <w:szCs w:val="32"/>
          <w:lang w:val="zh-CN"/>
        </w:rPr>
      </w:pPr>
      <w:r>
        <w:rPr>
          <w:rFonts w:ascii="Times New Roman" w:hAnsi="Times New Roman" w:eastAsia="黑体"/>
          <w:sz w:val="32"/>
          <w:szCs w:val="32"/>
        </w:rPr>
        <w:t>三、绩效分析</w:t>
      </w:r>
      <w:r>
        <w:rPr>
          <w:rFonts w:ascii="Times New Roman" w:hAnsi="Times New Roman"/>
          <w:sz w:val="32"/>
          <w:szCs w:val="32"/>
          <w:lang w:val="zh-CN"/>
        </w:rPr>
        <w:tab/>
      </w:r>
    </w:p>
    <w:p>
      <w:pPr>
        <w:spacing w:line="578" w:lineRule="exact"/>
        <w:ind w:firstLine="640"/>
        <w:rPr>
          <w:rFonts w:ascii="Times New Roman" w:hAnsi="Times New Roman" w:eastAsia="楷体_GB2312"/>
          <w:b/>
          <w:sz w:val="32"/>
          <w:szCs w:val="32"/>
        </w:rPr>
      </w:pPr>
      <w:r>
        <w:rPr>
          <w:rFonts w:ascii="Times New Roman" w:hAnsi="Times New Roman" w:eastAsia="楷体_GB2312"/>
          <w:b/>
          <w:sz w:val="32"/>
          <w:szCs w:val="32"/>
          <w:lang w:val="zh-CN"/>
        </w:rPr>
        <w:t>（一）</w:t>
      </w:r>
      <w:r>
        <w:rPr>
          <w:rFonts w:ascii="Times New Roman" w:hAnsi="Times New Roman" w:eastAsia="楷体_GB2312"/>
          <w:b/>
          <w:sz w:val="32"/>
          <w:szCs w:val="32"/>
        </w:rPr>
        <w:t>通用指标</w:t>
      </w:r>
      <w:r>
        <w:rPr>
          <w:rFonts w:ascii="Times New Roman" w:hAnsi="Times New Roman" w:eastAsia="楷体_GB2312"/>
          <w:b/>
          <w:bCs/>
          <w:color w:val="000000"/>
          <w:sz w:val="32"/>
          <w:szCs w:val="32"/>
          <w:shd w:val="clear" w:color="auto" w:fill="FFFFFF"/>
          <w:lang w:val="zh-CN"/>
        </w:rPr>
        <w:t>绩效分析。</w:t>
      </w:r>
    </w:p>
    <w:p>
      <w:pPr>
        <w:spacing w:line="578" w:lineRule="exact"/>
        <w:ind w:firstLine="640"/>
        <w:rPr>
          <w:rFonts w:ascii="Times New Roman" w:hAnsi="Times New Roman" w:eastAsia="楷体_GB2312"/>
          <w:sz w:val="32"/>
          <w:szCs w:val="32"/>
        </w:rPr>
      </w:pPr>
      <w:r>
        <w:rPr>
          <w:rFonts w:ascii="Times New Roman" w:hAnsi="Times New Roman" w:eastAsia="楷体_GB2312"/>
          <w:sz w:val="32"/>
          <w:szCs w:val="32"/>
        </w:rPr>
        <w:t>1</w:t>
      </w:r>
      <w:r>
        <w:rPr>
          <w:rFonts w:ascii="Times New Roman" w:hAnsi="Times New Roman" w:eastAsia="仿宋_GB2312"/>
          <w:sz w:val="32"/>
          <w:szCs w:val="32"/>
        </w:rPr>
        <w:t>．</w:t>
      </w:r>
      <w:r>
        <w:rPr>
          <w:rFonts w:ascii="Times New Roman" w:hAnsi="Times New Roman" w:eastAsia="楷体_GB2312"/>
          <w:sz w:val="32"/>
          <w:szCs w:val="32"/>
        </w:rPr>
        <w:t>项目决策。</w:t>
      </w:r>
    </w:p>
    <w:p>
      <w:pPr>
        <w:spacing w:line="578" w:lineRule="exact"/>
        <w:ind w:firstLine="640"/>
        <w:rPr>
          <w:rFonts w:ascii="Times New Roman" w:hAnsi="Times New Roman" w:eastAsia="仿宋_GB2312"/>
          <w:sz w:val="32"/>
          <w:szCs w:val="32"/>
          <w:lang w:val="zh-CN"/>
        </w:rPr>
      </w:pPr>
      <w:r>
        <w:rPr>
          <w:rFonts w:hint="eastAsia" w:ascii="Times New Roman" w:hAnsi="Times New Roman" w:eastAsia="仿宋_GB2312"/>
          <w:sz w:val="32"/>
          <w:szCs w:val="32"/>
          <w:lang w:val="zh-CN"/>
        </w:rPr>
        <w:t>文旅融合</w:t>
      </w:r>
      <w:r>
        <w:rPr>
          <w:rFonts w:ascii="Times New Roman" w:hAnsi="Times New Roman" w:eastAsia="仿宋_GB2312"/>
          <w:sz w:val="32"/>
          <w:szCs w:val="32"/>
          <w:lang w:val="zh-CN"/>
        </w:rPr>
        <w:t>项目立项依据充分、程序合规、项目资金使用计划可行、审批手续齐全。</w:t>
      </w:r>
      <w:r>
        <w:rPr>
          <w:rFonts w:hint="eastAsia" w:ascii="Times New Roman" w:hAnsi="Times New Roman" w:eastAsia="仿宋_GB2312"/>
          <w:sz w:val="32"/>
          <w:szCs w:val="32"/>
          <w:lang w:val="zh-CN"/>
        </w:rPr>
        <w:t>县</w:t>
      </w:r>
      <w:r>
        <w:rPr>
          <w:rFonts w:ascii="Times New Roman" w:hAnsi="Times New Roman" w:eastAsia="仿宋_GB2312"/>
          <w:sz w:val="32"/>
          <w:szCs w:val="32"/>
          <w:lang w:val="zh-CN"/>
        </w:rPr>
        <w:t>文广旅局在申报和分配</w:t>
      </w:r>
      <w:r>
        <w:rPr>
          <w:rFonts w:hint="eastAsia" w:ascii="Times New Roman" w:hAnsi="Times New Roman" w:eastAsia="仿宋_GB2312"/>
          <w:sz w:val="32"/>
          <w:szCs w:val="32"/>
          <w:lang w:val="zh-CN"/>
        </w:rPr>
        <w:t>文旅融合</w:t>
      </w:r>
      <w:r>
        <w:rPr>
          <w:rFonts w:ascii="Times New Roman" w:hAnsi="Times New Roman" w:eastAsia="仿宋_GB2312"/>
          <w:sz w:val="32"/>
          <w:szCs w:val="32"/>
          <w:lang w:val="zh-CN"/>
        </w:rPr>
        <w:t>经费预算时，严格</w:t>
      </w:r>
      <w:r>
        <w:rPr>
          <w:rStyle w:val="203"/>
          <w:rFonts w:hint="default" w:ascii="Times New Roman" w:hAnsi="Times New Roman"/>
        </w:rPr>
        <w:t>按照《四川省财政厅关于印发〈四川省公共文化服务体系建设补助资金管理办法〉的通知》（川财教〔2023〕123号）等文件要求，</w:t>
      </w:r>
      <w:r>
        <w:rPr>
          <w:rFonts w:ascii="Times New Roman" w:hAnsi="Times New Roman" w:eastAsia="仿宋_GB2312"/>
          <w:sz w:val="32"/>
          <w:szCs w:val="32"/>
          <w:lang w:val="zh-CN"/>
        </w:rPr>
        <w:t>明确了</w:t>
      </w:r>
      <w:r>
        <w:rPr>
          <w:rFonts w:hint="eastAsia" w:ascii="Times New Roman" w:hAnsi="Times New Roman" w:eastAsia="仿宋_GB2312"/>
          <w:sz w:val="32"/>
          <w:szCs w:val="32"/>
          <w:lang w:val="zh-CN"/>
        </w:rPr>
        <w:t>文旅融合</w:t>
      </w:r>
      <w:r>
        <w:rPr>
          <w:rFonts w:ascii="Times New Roman" w:hAnsi="Times New Roman" w:eastAsia="仿宋_GB2312"/>
          <w:sz w:val="32"/>
          <w:szCs w:val="32"/>
          <w:lang w:val="zh-CN"/>
        </w:rPr>
        <w:t>工作任务。</w:t>
      </w:r>
    </w:p>
    <w:p>
      <w:pPr>
        <w:spacing w:line="578" w:lineRule="exact"/>
        <w:ind w:firstLine="640"/>
        <w:rPr>
          <w:rFonts w:ascii="Times New Roman" w:hAnsi="Times New Roman" w:eastAsia="楷体_GB2312"/>
          <w:sz w:val="32"/>
          <w:szCs w:val="32"/>
        </w:rPr>
      </w:pPr>
      <w:r>
        <w:rPr>
          <w:rFonts w:ascii="Times New Roman" w:hAnsi="Times New Roman" w:eastAsia="楷体_GB2312"/>
          <w:sz w:val="32"/>
          <w:szCs w:val="32"/>
        </w:rPr>
        <w:t>2</w:t>
      </w:r>
      <w:r>
        <w:rPr>
          <w:rFonts w:ascii="Times New Roman" w:hAnsi="Times New Roman" w:eastAsia="仿宋_GB2312"/>
          <w:sz w:val="32"/>
          <w:szCs w:val="32"/>
        </w:rPr>
        <w:t>．</w:t>
      </w:r>
      <w:r>
        <w:rPr>
          <w:rFonts w:ascii="Times New Roman" w:hAnsi="Times New Roman" w:eastAsia="楷体_GB2312"/>
          <w:sz w:val="32"/>
          <w:szCs w:val="32"/>
        </w:rPr>
        <w:t>项目管理。</w:t>
      </w:r>
    </w:p>
    <w:p>
      <w:pPr>
        <w:spacing w:line="578" w:lineRule="exact"/>
        <w:ind w:firstLine="640"/>
        <w:rPr>
          <w:rStyle w:val="203"/>
          <w:rFonts w:hint="default" w:ascii="Times New Roman" w:hAnsi="Times New Roman"/>
        </w:rPr>
      </w:pPr>
      <w:r>
        <w:rPr>
          <w:rStyle w:val="203"/>
          <w:rFonts w:hint="default" w:ascii="Times New Roman" w:hAnsi="Times New Roman"/>
        </w:rPr>
        <w:t>项目实施均严格执行相关法律法规及项目管理制度，涉及政府采购、项目公示制等严格按照相关规定执行</w:t>
      </w:r>
    </w:p>
    <w:p>
      <w:pPr>
        <w:spacing w:line="578" w:lineRule="exact"/>
        <w:ind w:firstLine="640"/>
        <w:rPr>
          <w:rFonts w:ascii="Times New Roman" w:hAnsi="Times New Roman" w:eastAsia="楷体_GB2312"/>
          <w:sz w:val="32"/>
          <w:szCs w:val="32"/>
        </w:rPr>
      </w:pPr>
      <w:r>
        <w:rPr>
          <w:rFonts w:ascii="Times New Roman" w:hAnsi="Times New Roman" w:eastAsia="楷体_GB2312"/>
          <w:sz w:val="32"/>
          <w:szCs w:val="32"/>
        </w:rPr>
        <w:t>3</w:t>
      </w:r>
      <w:r>
        <w:rPr>
          <w:rFonts w:ascii="Times New Roman" w:hAnsi="Times New Roman" w:eastAsia="仿宋_GB2312"/>
          <w:sz w:val="32"/>
          <w:szCs w:val="32"/>
        </w:rPr>
        <w:t>．</w:t>
      </w:r>
      <w:r>
        <w:rPr>
          <w:rFonts w:ascii="Times New Roman" w:hAnsi="Times New Roman" w:eastAsia="楷体_GB2312"/>
          <w:sz w:val="32"/>
          <w:szCs w:val="32"/>
        </w:rPr>
        <w:t>项目实施。</w:t>
      </w:r>
    </w:p>
    <w:p>
      <w:pPr>
        <w:keepNext w:val="0"/>
        <w:keepLines w:val="0"/>
        <w:pageBreakBefore w:val="0"/>
        <w:widowControl w:val="0"/>
        <w:spacing w:before="0" w:beforeAutospacing="0" w:after="0" w:afterAutospacing="0" w:line="560" w:lineRule="exact"/>
        <w:ind w:firstLine="640"/>
        <w:jc w:val="both"/>
        <w:rPr>
          <w:rFonts w:hint="default" w:ascii="Times New Roman" w:hAnsi="Times New Roman" w:eastAsia="仿宋_GB2312" w:cs="Times New Roman"/>
          <w:b w:val="0"/>
          <w:i w:val="0"/>
          <w:caps w:val="0"/>
          <w:color w:val="auto"/>
          <w:spacing w:val="0"/>
          <w:sz w:val="32"/>
          <w:szCs w:val="32"/>
          <w:lang w:val="en-US"/>
        </w:rPr>
      </w:pPr>
      <w:r>
        <w:rPr>
          <w:rFonts w:hint="default" w:ascii="Times New Roman" w:hAnsi="Times New Roman" w:eastAsia="仿宋_GB2312" w:cs="Times New Roman"/>
          <w:b w:val="0"/>
          <w:i w:val="0"/>
          <w:caps w:val="0"/>
          <w:color w:val="auto"/>
          <w:spacing w:val="0"/>
          <w:sz w:val="32"/>
          <w:szCs w:val="32"/>
          <w:lang w:val="en-US"/>
        </w:rPr>
        <w:t>省文旅融合示范项目支持资金</w:t>
      </w:r>
      <w:r>
        <w:rPr>
          <w:rFonts w:hint="eastAsia" w:ascii="Times New Roman" w:hAnsi="Times New Roman" w:eastAsia="仿宋_GB2312" w:cs="Times New Roman"/>
          <w:b w:val="0"/>
          <w:i w:val="0"/>
          <w:caps w:val="0"/>
          <w:color w:val="auto"/>
          <w:spacing w:val="0"/>
          <w:sz w:val="32"/>
          <w:szCs w:val="32"/>
          <w:lang w:val="en-US" w:eastAsia="zh-CN"/>
        </w:rPr>
        <w:t>中</w:t>
      </w:r>
      <w:r>
        <w:rPr>
          <w:rFonts w:hint="default" w:ascii="Times New Roman" w:hAnsi="Times New Roman" w:eastAsia="仿宋_GB2312" w:cs="Times New Roman"/>
          <w:b w:val="0"/>
          <w:i w:val="0"/>
          <w:caps w:val="0"/>
          <w:color w:val="auto"/>
          <w:spacing w:val="0"/>
          <w:sz w:val="32"/>
          <w:szCs w:val="32"/>
          <w:lang w:val="en-US"/>
        </w:rPr>
        <w:t>由县文广旅局负责实施话剧《雅砻江水天上来》和文化大剧院提升改造项目。话剧《雅砻江水天上来》项目，项目资金计划400万元，其中列支申报文旅融合示范项目资料编制费用3万元，政府采购计划资金397万元，政府采购成交价392万元，在剩余5万元中列支展演产生费用，已全部完成支付。完成文化大剧院提升改造项目，项目计划资金260万元，政府采购计划资金260万元，政府采购成交价为258.278万元，剩余1.722万元。由红格镇</w:t>
      </w:r>
      <w:r>
        <w:rPr>
          <w:rFonts w:hint="eastAsia" w:ascii="Times New Roman" w:hAnsi="Times New Roman" w:eastAsia="仿宋_GB2312" w:cs="Times New Roman"/>
          <w:b w:val="0"/>
          <w:i w:val="0"/>
          <w:caps w:val="0"/>
          <w:color w:val="auto"/>
          <w:spacing w:val="0"/>
          <w:sz w:val="32"/>
          <w:szCs w:val="32"/>
          <w:lang w:val="en-US" w:eastAsia="zh-CN"/>
        </w:rPr>
        <w:t>政府</w:t>
      </w:r>
      <w:r>
        <w:rPr>
          <w:rFonts w:hint="default" w:ascii="Times New Roman" w:hAnsi="Times New Roman" w:eastAsia="仿宋_GB2312" w:cs="Times New Roman"/>
          <w:b w:val="0"/>
          <w:i w:val="0"/>
          <w:caps w:val="0"/>
          <w:color w:val="auto"/>
          <w:spacing w:val="0"/>
          <w:sz w:val="32"/>
          <w:szCs w:val="32"/>
          <w:lang w:val="en-US"/>
        </w:rPr>
        <w:t>负责实施大笮文化博物馆、美食研创和体验中心建设。</w:t>
      </w:r>
      <w:r>
        <w:rPr>
          <w:rFonts w:hint="eastAsia" w:ascii="Times New Roman" w:hAnsi="Times New Roman" w:eastAsia="仿宋_GB2312" w:cs="Times New Roman"/>
          <w:b w:val="0"/>
          <w:i w:val="0"/>
          <w:caps w:val="0"/>
          <w:color w:val="auto"/>
          <w:spacing w:val="0"/>
          <w:sz w:val="32"/>
          <w:szCs w:val="32"/>
          <w:lang w:val="en-US" w:eastAsia="zh-CN"/>
        </w:rPr>
        <w:t>项目计划资金340万，</w:t>
      </w:r>
      <w:r>
        <w:rPr>
          <w:rFonts w:hint="default" w:ascii="Times New Roman" w:hAnsi="Times New Roman" w:eastAsia="仿宋_GB2312" w:cs="Times New Roman"/>
          <w:b w:val="0"/>
          <w:i w:val="0"/>
          <w:caps w:val="0"/>
          <w:color w:val="auto"/>
          <w:spacing w:val="0"/>
          <w:sz w:val="32"/>
          <w:szCs w:val="32"/>
          <w:lang w:val="en-US"/>
        </w:rPr>
        <w:t>目前已支付进度款291</w:t>
      </w:r>
      <w:r>
        <w:rPr>
          <w:rFonts w:hint="eastAsia" w:ascii="Times New Roman" w:hAnsi="Times New Roman" w:eastAsia="仿宋_GB2312" w:cs="Times New Roman"/>
          <w:b w:val="0"/>
          <w:i w:val="0"/>
          <w:caps w:val="0"/>
          <w:color w:val="auto"/>
          <w:spacing w:val="0"/>
          <w:sz w:val="32"/>
          <w:szCs w:val="32"/>
          <w:lang w:val="en-US" w:eastAsia="zh-CN"/>
        </w:rPr>
        <w:t>.</w:t>
      </w:r>
      <w:r>
        <w:rPr>
          <w:rFonts w:hint="default" w:ascii="Times New Roman" w:hAnsi="Times New Roman" w:eastAsia="仿宋_GB2312" w:cs="Times New Roman"/>
          <w:b w:val="0"/>
          <w:i w:val="0"/>
          <w:caps w:val="0"/>
          <w:color w:val="auto"/>
          <w:spacing w:val="0"/>
          <w:sz w:val="32"/>
          <w:szCs w:val="32"/>
          <w:lang w:val="en-US"/>
        </w:rPr>
        <w:t>95104万</w:t>
      </w:r>
      <w:r>
        <w:rPr>
          <w:rFonts w:hint="eastAsia" w:ascii="Times New Roman" w:hAnsi="Times New Roman" w:eastAsia="仿宋_GB2312" w:cs="Times New Roman"/>
          <w:b w:val="0"/>
          <w:i w:val="0"/>
          <w:caps w:val="0"/>
          <w:color w:val="auto"/>
          <w:spacing w:val="0"/>
          <w:sz w:val="32"/>
          <w:szCs w:val="32"/>
          <w:lang w:val="en-US" w:eastAsia="zh-CN"/>
        </w:rPr>
        <w:t>元</w:t>
      </w:r>
      <w:r>
        <w:rPr>
          <w:rFonts w:hint="default" w:ascii="Times New Roman" w:hAnsi="Times New Roman" w:eastAsia="仿宋_GB2312" w:cs="Times New Roman"/>
          <w:b w:val="0"/>
          <w:i w:val="0"/>
          <w:caps w:val="0"/>
          <w:color w:val="auto"/>
          <w:spacing w:val="0"/>
          <w:sz w:val="32"/>
          <w:szCs w:val="32"/>
          <w:lang w:val="en-US"/>
        </w:rPr>
        <w:t>，剩余480489.6元</w:t>
      </w:r>
      <w:r>
        <w:rPr>
          <w:rFonts w:hint="eastAsia" w:ascii="Times New Roman" w:hAnsi="Times New Roman" w:eastAsia="仿宋_GB2312" w:cs="Times New Roman"/>
          <w:b w:val="0"/>
          <w:i w:val="0"/>
          <w:caps w:val="0"/>
          <w:color w:val="auto"/>
          <w:spacing w:val="0"/>
          <w:sz w:val="32"/>
          <w:szCs w:val="32"/>
          <w:lang w:val="en-US" w:eastAsia="zh-CN"/>
        </w:rPr>
        <w:t>将按程序进行支付</w:t>
      </w:r>
      <w:r>
        <w:rPr>
          <w:rFonts w:hint="default" w:ascii="Times New Roman" w:hAnsi="Times New Roman" w:eastAsia="仿宋_GB2312" w:cs="Times New Roman"/>
          <w:b w:val="0"/>
          <w:i w:val="0"/>
          <w:caps w:val="0"/>
          <w:color w:val="auto"/>
          <w:spacing w:val="0"/>
          <w:sz w:val="32"/>
          <w:szCs w:val="32"/>
          <w:lang w:val="en-US"/>
        </w:rPr>
        <w:t>。</w:t>
      </w:r>
    </w:p>
    <w:p>
      <w:pPr>
        <w:spacing w:line="578" w:lineRule="exact"/>
        <w:ind w:firstLine="640"/>
        <w:rPr>
          <w:rFonts w:ascii="Times New Roman" w:hAnsi="Times New Roman" w:eastAsia="楷体_GB2312"/>
          <w:sz w:val="32"/>
          <w:szCs w:val="32"/>
        </w:rPr>
      </w:pPr>
      <w:r>
        <w:rPr>
          <w:rFonts w:ascii="Times New Roman" w:hAnsi="Times New Roman" w:eastAsia="楷体_GB2312"/>
          <w:sz w:val="32"/>
          <w:szCs w:val="32"/>
        </w:rPr>
        <w:t>4</w:t>
      </w:r>
      <w:r>
        <w:rPr>
          <w:rFonts w:ascii="Times New Roman" w:hAnsi="Times New Roman" w:eastAsia="仿宋_GB2312"/>
          <w:sz w:val="32"/>
          <w:szCs w:val="32"/>
        </w:rPr>
        <w:t>．</w:t>
      </w:r>
      <w:r>
        <w:rPr>
          <w:rFonts w:ascii="Times New Roman" w:hAnsi="Times New Roman" w:eastAsia="楷体_GB2312"/>
          <w:sz w:val="32"/>
          <w:szCs w:val="32"/>
        </w:rPr>
        <w:t>项目结果。</w:t>
      </w:r>
    </w:p>
    <w:p>
      <w:pPr>
        <w:spacing w:line="578" w:lineRule="exact"/>
        <w:ind w:firstLine="640"/>
        <w:rPr>
          <w:rFonts w:ascii="Times New Roman" w:hAnsi="Times New Roman" w:eastAsia="仿宋_GB2312"/>
          <w:sz w:val="32"/>
          <w:szCs w:val="32"/>
          <w:lang w:val="zh-CN"/>
        </w:rPr>
      </w:pPr>
      <w:r>
        <w:rPr>
          <w:rStyle w:val="203"/>
          <w:rFonts w:hint="eastAsia" w:ascii="Times New Roman" w:hAnsi="Times New Roman" w:eastAsia="仿宋_GB2312"/>
          <w:lang w:eastAsia="zh-CN"/>
        </w:rPr>
        <w:t>根据资金下达的绩效目标进行</w:t>
      </w:r>
      <w:r>
        <w:rPr>
          <w:rStyle w:val="203"/>
          <w:rFonts w:hint="default" w:ascii="Times New Roman" w:hAnsi="Times New Roman"/>
        </w:rPr>
        <w:t>编制项目实施方案，</w:t>
      </w:r>
      <w:r>
        <w:rPr>
          <w:rStyle w:val="203"/>
          <w:rFonts w:hint="eastAsia" w:ascii="Times New Roman" w:hAnsi="Times New Roman" w:eastAsia="仿宋_GB2312"/>
          <w:lang w:eastAsia="zh-CN"/>
        </w:rPr>
        <w:t>根据实施方案进行项目实施</w:t>
      </w:r>
      <w:r>
        <w:rPr>
          <w:rStyle w:val="203"/>
          <w:rFonts w:hint="default" w:ascii="Times New Roman" w:hAnsi="Times New Roman"/>
        </w:rPr>
        <w:t>，实现预期绩效目标。</w:t>
      </w:r>
    </w:p>
    <w:p>
      <w:pPr>
        <w:spacing w:line="578" w:lineRule="exact"/>
        <w:ind w:firstLine="643"/>
        <w:rPr>
          <w:rFonts w:ascii="Times New Roman" w:hAnsi="Times New Roman" w:eastAsia="仿宋_GB2312"/>
          <w:sz w:val="32"/>
          <w:szCs w:val="32"/>
          <w:lang w:val="zh-CN"/>
        </w:rPr>
      </w:pPr>
      <w:r>
        <w:rPr>
          <w:rFonts w:ascii="Times New Roman" w:hAnsi="Times New Roman" w:eastAsia="楷体_GB2312"/>
          <w:b/>
          <w:sz w:val="32"/>
          <w:szCs w:val="32"/>
          <w:lang w:val="zh-CN"/>
        </w:rPr>
        <w:t>（二）</w:t>
      </w:r>
      <w:r>
        <w:rPr>
          <w:rFonts w:ascii="Times New Roman" w:hAnsi="Times New Roman" w:eastAsia="楷体_GB2312"/>
          <w:b/>
          <w:sz w:val="32"/>
          <w:szCs w:val="32"/>
        </w:rPr>
        <w:t>专用指标</w:t>
      </w:r>
      <w:r>
        <w:rPr>
          <w:rFonts w:ascii="Times New Roman" w:hAnsi="Times New Roman" w:eastAsia="楷体_GB2312"/>
          <w:b/>
          <w:bCs/>
          <w:color w:val="000000"/>
          <w:sz w:val="32"/>
          <w:szCs w:val="32"/>
          <w:shd w:val="clear" w:color="auto" w:fill="FFFFFF"/>
          <w:lang w:val="zh-CN"/>
        </w:rPr>
        <w:t>绩效分析。</w:t>
      </w:r>
    </w:p>
    <w:p>
      <w:pPr>
        <w:spacing w:line="578" w:lineRule="exact"/>
        <w:ind w:firstLine="640"/>
        <w:rPr>
          <w:rFonts w:ascii="Times New Roman" w:hAnsi="Times New Roman" w:eastAsia="楷体_GB2312"/>
          <w:sz w:val="32"/>
          <w:szCs w:val="32"/>
        </w:rPr>
      </w:pPr>
      <w:r>
        <w:rPr>
          <w:rFonts w:ascii="Times New Roman" w:hAnsi="Times New Roman" w:eastAsia="楷体_GB2312"/>
          <w:sz w:val="32"/>
          <w:szCs w:val="32"/>
        </w:rPr>
        <w:t>1</w:t>
      </w:r>
      <w:r>
        <w:rPr>
          <w:rFonts w:ascii="Times New Roman" w:hAnsi="Times New Roman" w:eastAsia="仿宋_GB2312"/>
          <w:sz w:val="32"/>
          <w:szCs w:val="32"/>
        </w:rPr>
        <w:t>．</w:t>
      </w:r>
      <w:r>
        <w:rPr>
          <w:rFonts w:ascii="Times New Roman" w:hAnsi="Times New Roman" w:eastAsia="楷体_GB2312"/>
          <w:sz w:val="32"/>
          <w:szCs w:val="32"/>
        </w:rPr>
        <w:t>产业发展。</w:t>
      </w:r>
    </w:p>
    <w:p>
      <w:pPr>
        <w:keepNext w:val="0"/>
        <w:keepLines w:val="0"/>
        <w:pageBreakBefore w:val="0"/>
        <w:widowControl w:val="0"/>
        <w:spacing w:before="0" w:beforeAutospacing="0" w:after="0" w:afterAutospacing="0" w:line="560" w:lineRule="exact"/>
        <w:ind w:firstLine="640"/>
        <w:jc w:val="both"/>
        <w:rPr>
          <w:rFonts w:hint="default" w:ascii="Times New Roman" w:hAnsi="Times New Roman" w:eastAsia="仿宋_GB2312" w:cs="Times New Roman"/>
          <w:b w:val="0"/>
          <w:i w:val="0"/>
          <w:caps w:val="0"/>
          <w:color w:val="auto"/>
          <w:spacing w:val="0"/>
          <w:sz w:val="32"/>
          <w:szCs w:val="32"/>
          <w:lang w:val="en-US" w:eastAsia="zh-CN"/>
        </w:rPr>
      </w:pPr>
      <w:r>
        <w:rPr>
          <w:rFonts w:ascii="Times New Roman" w:hAnsi="Times New Roman" w:eastAsia="仿宋_GB2312"/>
          <w:sz w:val="32"/>
          <w:szCs w:val="32"/>
        </w:rPr>
        <w:t>带动相关产业：</w:t>
      </w:r>
      <w:r>
        <w:rPr>
          <w:rFonts w:hint="eastAsia" w:ascii="Times New Roman" w:hAnsi="Times New Roman" w:eastAsia="仿宋_GB2312" w:cs="Times New Roman"/>
          <w:b w:val="0"/>
          <w:i w:val="0"/>
          <w:caps w:val="0"/>
          <w:color w:val="auto"/>
          <w:spacing w:val="0"/>
          <w:sz w:val="32"/>
          <w:szCs w:val="32"/>
          <w:lang w:val="en-US" w:eastAsia="zh-CN"/>
        </w:rPr>
        <w:t>通过</w:t>
      </w:r>
      <w:r>
        <w:rPr>
          <w:rFonts w:hint="default" w:ascii="Times New Roman" w:hAnsi="Times New Roman" w:eastAsia="仿宋_GB2312" w:cs="Times New Roman"/>
          <w:b w:val="0"/>
          <w:i w:val="0"/>
          <w:caps w:val="0"/>
          <w:color w:val="auto"/>
          <w:spacing w:val="0"/>
          <w:sz w:val="32"/>
          <w:szCs w:val="32"/>
          <w:lang w:val="en-US"/>
        </w:rPr>
        <w:t>盐边县大笮文旅产业融合园区提升项</w:t>
      </w:r>
      <w:r>
        <w:rPr>
          <w:rFonts w:hint="eastAsia" w:ascii="Times New Roman" w:hAnsi="Times New Roman" w:eastAsia="仿宋_GB2312" w:cs="Times New Roman"/>
          <w:b w:val="0"/>
          <w:i w:val="0"/>
          <w:caps w:val="0"/>
          <w:color w:val="auto"/>
          <w:spacing w:val="0"/>
          <w:sz w:val="32"/>
          <w:szCs w:val="32"/>
          <w:lang w:val="en-US" w:eastAsia="zh-CN"/>
        </w:rPr>
        <w:t>目的</w:t>
      </w:r>
      <w:r>
        <w:rPr>
          <w:rFonts w:hint="default" w:ascii="Times New Roman" w:hAnsi="Times New Roman" w:eastAsia="仿宋_GB2312" w:cs="Times New Roman"/>
          <w:b w:val="0"/>
          <w:i w:val="0"/>
          <w:caps w:val="0"/>
          <w:color w:val="auto"/>
          <w:spacing w:val="0"/>
          <w:sz w:val="32"/>
          <w:szCs w:val="32"/>
          <w:lang w:val="en-US"/>
        </w:rPr>
        <w:t>建设</w:t>
      </w:r>
      <w:r>
        <w:rPr>
          <w:rFonts w:hint="eastAsia" w:ascii="Times New Roman" w:hAnsi="Times New Roman" w:eastAsia="仿宋_GB2312" w:cs="Times New Roman"/>
          <w:b w:val="0"/>
          <w:i w:val="0"/>
          <w:caps w:val="0"/>
          <w:color w:val="auto"/>
          <w:spacing w:val="0"/>
          <w:sz w:val="32"/>
          <w:szCs w:val="32"/>
          <w:lang w:val="en-US" w:eastAsia="zh-CN"/>
        </w:rPr>
        <w:t>吸引了游客进入联合村和红格温泉旅游度假区，丰富了度假区文旅业态，产生了更多旅游收入，也带动项目地及周边地区接待收入，增加就业岗位。</w:t>
      </w:r>
    </w:p>
    <w:p>
      <w:pPr>
        <w:spacing w:line="578" w:lineRule="exact"/>
        <w:ind w:firstLine="640"/>
        <w:rPr>
          <w:rFonts w:hint="eastAsia" w:ascii="Times New Roman" w:hAnsi="Times New Roman" w:eastAsia="仿宋_GB2312" w:cs="Times New Roman"/>
          <w:b w:val="0"/>
          <w:i w:val="0"/>
          <w:caps w:val="0"/>
          <w:color w:val="auto"/>
          <w:spacing w:val="0"/>
          <w:sz w:val="32"/>
          <w:szCs w:val="32"/>
          <w:lang w:val="en-US" w:eastAsia="zh-CN"/>
        </w:rPr>
      </w:pPr>
      <w:r>
        <w:rPr>
          <w:rFonts w:ascii="Times New Roman" w:hAnsi="Times New Roman" w:eastAsia="仿宋_GB2312"/>
          <w:sz w:val="32"/>
          <w:szCs w:val="32"/>
        </w:rPr>
        <w:t>产业升级促进：</w:t>
      </w:r>
      <w:r>
        <w:rPr>
          <w:rFonts w:hint="eastAsia" w:ascii="Times New Roman" w:hAnsi="Times New Roman" w:eastAsia="仿宋_GB2312" w:cs="Times New Roman"/>
          <w:b w:val="0"/>
          <w:i w:val="0"/>
          <w:caps w:val="0"/>
          <w:color w:val="auto"/>
          <w:spacing w:val="0"/>
          <w:sz w:val="32"/>
          <w:szCs w:val="32"/>
          <w:lang w:val="en-US" w:eastAsia="zh-CN"/>
        </w:rPr>
        <w:t>通过集聚大笮文旅产业链的研发、展示、体验、培训和接待等环节，增强了大笮文化的的认可认同度，把“钒钛首县，滋味盐边”擦得更亮，有效增强城市软实力。建设和完善体现独特文化底蕴的博物馆、体验设施等，大幅促进盐边县公共服务水平的完善。</w:t>
      </w:r>
    </w:p>
    <w:p>
      <w:pPr>
        <w:spacing w:line="578" w:lineRule="exact"/>
        <w:ind w:firstLine="640"/>
        <w:rPr>
          <w:rFonts w:ascii="Times New Roman" w:hAnsi="Times New Roman" w:eastAsia="楷体_GB2312"/>
          <w:sz w:val="32"/>
          <w:szCs w:val="32"/>
          <w:lang w:val="zh-CN"/>
        </w:rPr>
      </w:pPr>
      <w:r>
        <w:rPr>
          <w:rFonts w:ascii="Times New Roman" w:hAnsi="Times New Roman" w:eastAsia="楷体_GB2312"/>
          <w:sz w:val="32"/>
          <w:szCs w:val="32"/>
        </w:rPr>
        <w:t>2</w:t>
      </w:r>
      <w:r>
        <w:rPr>
          <w:rFonts w:ascii="Times New Roman" w:hAnsi="Times New Roman" w:eastAsia="仿宋_GB2312"/>
          <w:sz w:val="32"/>
          <w:szCs w:val="32"/>
        </w:rPr>
        <w:t>．</w:t>
      </w:r>
      <w:r>
        <w:rPr>
          <w:rFonts w:ascii="Times New Roman" w:hAnsi="Times New Roman" w:eastAsia="楷体_GB2312"/>
          <w:sz w:val="32"/>
          <w:szCs w:val="32"/>
          <w:lang w:val="zh-CN"/>
        </w:rPr>
        <w:t>民生保障。</w:t>
      </w:r>
    </w:p>
    <w:p>
      <w:pPr>
        <w:spacing w:line="578" w:lineRule="exact"/>
        <w:ind w:firstLine="64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提高文化自信，传承本土文化：</w:t>
      </w:r>
      <w:r>
        <w:rPr>
          <w:rFonts w:hint="default" w:ascii="Times New Roman" w:hAnsi="Times New Roman" w:eastAsia="仿宋_GB2312" w:cs="Times New Roman"/>
          <w:color w:val="auto"/>
          <w:sz w:val="32"/>
          <w:szCs w:val="32"/>
          <w:lang w:val="en-US" w:eastAsia="zh-CN"/>
        </w:rPr>
        <w:t>大型原创话剧《雅砻江水天上来》艺术还原盐边和大笮文化的前世今生，强化了对大笮文化认同感，更吸引了游客对大笮文化的浓厚兴趣。在联合村完成大笮文化博物馆、美食研创和体验中心，以独特的体验形式呈现大笮特色文化，不定期开展研学课程，激发了人们的探索兴趣，使大笮文化资源得到更好的保护利用。</w:t>
      </w:r>
    </w:p>
    <w:p>
      <w:pPr>
        <w:spacing w:line="578" w:lineRule="exact"/>
        <w:ind w:firstLine="640"/>
        <w:rPr>
          <w:rFonts w:ascii="Times New Roman" w:hAnsi="Times New Roman" w:eastAsia="楷体_GB2312"/>
          <w:sz w:val="32"/>
          <w:szCs w:val="32"/>
        </w:rPr>
      </w:pPr>
      <w:r>
        <w:rPr>
          <w:rFonts w:ascii="Times New Roman" w:hAnsi="Times New Roman" w:eastAsia="楷体_GB2312"/>
          <w:sz w:val="32"/>
          <w:szCs w:val="32"/>
        </w:rPr>
        <w:t>3</w:t>
      </w:r>
      <w:r>
        <w:rPr>
          <w:rFonts w:ascii="Times New Roman" w:hAnsi="Times New Roman" w:eastAsia="仿宋_GB2312"/>
          <w:sz w:val="32"/>
          <w:szCs w:val="32"/>
        </w:rPr>
        <w:t>．</w:t>
      </w:r>
      <w:r>
        <w:rPr>
          <w:rFonts w:ascii="Times New Roman" w:hAnsi="Times New Roman" w:eastAsia="楷体_GB2312"/>
          <w:sz w:val="32"/>
          <w:szCs w:val="32"/>
        </w:rPr>
        <w:t>基础设施。</w:t>
      </w:r>
    </w:p>
    <w:p>
      <w:pPr>
        <w:keepNext w:val="0"/>
        <w:keepLines w:val="0"/>
        <w:pageBreakBefore w:val="0"/>
        <w:widowControl w:val="0"/>
        <w:spacing w:line="560" w:lineRule="exact"/>
        <w:ind w:firstLine="64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sz w:val="32"/>
          <w:szCs w:val="32"/>
          <w:lang w:eastAsia="zh-CN"/>
        </w:rPr>
        <w:t>改造提升基础设施建设</w:t>
      </w:r>
      <w:r>
        <w:rPr>
          <w:rFonts w:ascii="Times New Roman" w:hAnsi="Times New Roman" w:eastAsia="仿宋_GB2312"/>
          <w:sz w:val="32"/>
          <w:szCs w:val="32"/>
        </w:rPr>
        <w:t>：</w:t>
      </w:r>
      <w:r>
        <w:rPr>
          <w:rFonts w:hint="default" w:ascii="Times New Roman" w:hAnsi="Times New Roman" w:eastAsia="仿宋_GB2312" w:cs="Times New Roman"/>
          <w:color w:val="auto"/>
          <w:sz w:val="32"/>
          <w:szCs w:val="32"/>
          <w:lang w:val="en-US" w:eastAsia="zh-CN"/>
        </w:rPr>
        <w:t>引入麗枫酒店进行营业装修客房118间，成为盐边县综合性最强、配套最完善的酒店。将康养旅游实训基地会场改造为可以进行舞台剧表演的剧院，</w:t>
      </w:r>
      <w:r>
        <w:rPr>
          <w:rFonts w:hint="eastAsia" w:ascii="Times New Roman" w:hAnsi="Times New Roman" w:eastAsia="仿宋_GB2312" w:cs="Times New Roman"/>
          <w:color w:val="auto"/>
          <w:sz w:val="32"/>
          <w:szCs w:val="32"/>
          <w:lang w:val="en-US" w:eastAsia="zh-CN"/>
        </w:rPr>
        <w:t>使之能进行</w:t>
      </w:r>
      <w:r>
        <w:rPr>
          <w:rFonts w:hint="default" w:ascii="Times New Roman" w:hAnsi="Times New Roman" w:eastAsia="仿宋_GB2312" w:cs="Times New Roman"/>
          <w:color w:val="auto"/>
          <w:sz w:val="32"/>
          <w:szCs w:val="32"/>
          <w:lang w:val="en-US" w:eastAsia="zh-CN"/>
        </w:rPr>
        <w:t>常态化展演大笮文化主题演出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在联合村完成大笮文化博物馆、美食研创和体验中心，有效提升盐边县公共服务水平，带动周边餐饮、住宿等经济发展，提高盐边县文化旅游发展竞争力。</w:t>
      </w:r>
    </w:p>
    <w:p>
      <w:pPr>
        <w:spacing w:line="578" w:lineRule="exact"/>
        <w:ind w:firstLine="640"/>
        <w:rPr>
          <w:rFonts w:ascii="Times New Roman" w:hAnsi="Times New Roman" w:eastAsia="楷体_GB2312"/>
          <w:sz w:val="32"/>
          <w:szCs w:val="32"/>
          <w:lang w:val="zh-CN"/>
        </w:rPr>
      </w:pPr>
      <w:r>
        <w:rPr>
          <w:rFonts w:ascii="Times New Roman" w:hAnsi="Times New Roman" w:eastAsia="楷体_GB2312"/>
          <w:sz w:val="32"/>
          <w:szCs w:val="32"/>
        </w:rPr>
        <w:t>4</w:t>
      </w:r>
      <w:r>
        <w:rPr>
          <w:rFonts w:ascii="Times New Roman" w:hAnsi="Times New Roman" w:eastAsia="仿宋_GB2312"/>
          <w:sz w:val="32"/>
          <w:szCs w:val="32"/>
        </w:rPr>
        <w:t>．</w:t>
      </w:r>
      <w:r>
        <w:rPr>
          <w:rFonts w:ascii="Times New Roman" w:hAnsi="Times New Roman" w:eastAsia="楷体_GB2312"/>
          <w:sz w:val="32"/>
          <w:szCs w:val="32"/>
          <w:lang w:val="zh-CN"/>
        </w:rPr>
        <w:t>行政运转。</w:t>
      </w:r>
    </w:p>
    <w:p>
      <w:pPr>
        <w:tabs>
          <w:tab w:val="left" w:pos="1911"/>
        </w:tabs>
        <w:ind w:firstLine="707"/>
        <w:jc w:val="left"/>
        <w:rPr>
          <w:rFonts w:hint="eastAsia" w:ascii="Times New Roman" w:hAnsi="Times New Roman" w:eastAsia="仿宋_GB2312"/>
          <w:sz w:val="32"/>
          <w:szCs w:val="32"/>
          <w:lang w:eastAsia="zh-CN"/>
        </w:rPr>
      </w:pPr>
      <w:r>
        <w:rPr>
          <w:rFonts w:ascii="Times New Roman" w:hAnsi="Times New Roman" w:eastAsia="仿宋_GB2312"/>
          <w:sz w:val="32"/>
          <w:szCs w:val="32"/>
        </w:rPr>
        <w:t>行政运转</w:t>
      </w:r>
      <w:r>
        <w:rPr>
          <w:rFonts w:hint="eastAsia" w:ascii="Times New Roman" w:hAnsi="Times New Roman" w:eastAsia="仿宋_GB2312"/>
          <w:sz w:val="32"/>
          <w:szCs w:val="32"/>
        </w:rPr>
        <w:t>良好，实现</w:t>
      </w:r>
      <w:r>
        <w:rPr>
          <w:rFonts w:hint="eastAsia" w:ascii="Times New Roman" w:hAnsi="Times New Roman" w:eastAsia="仿宋_GB2312"/>
          <w:sz w:val="32"/>
          <w:szCs w:val="32"/>
          <w:lang w:eastAsia="zh-CN"/>
        </w:rPr>
        <w:t>大笮</w:t>
      </w:r>
      <w:r>
        <w:rPr>
          <w:rFonts w:hint="default" w:ascii="Times New Roman" w:hAnsi="Times New Roman" w:eastAsia="仿宋_GB2312" w:cs="Times New Roman"/>
          <w:b w:val="0"/>
          <w:i w:val="0"/>
          <w:caps w:val="0"/>
          <w:color w:val="auto"/>
          <w:spacing w:val="0"/>
          <w:sz w:val="32"/>
          <w:szCs w:val="32"/>
          <w:lang w:val="en-US"/>
        </w:rPr>
        <w:t>文化大剧院提升改造项目</w:t>
      </w:r>
      <w:r>
        <w:rPr>
          <w:rFonts w:hint="eastAsia" w:ascii="Times New Roman" w:hAnsi="Times New Roman" w:eastAsia="仿宋_GB2312" w:cs="Times New Roman"/>
          <w:b w:val="0"/>
          <w:i w:val="0"/>
          <w:caps w:val="0"/>
          <w:color w:val="auto"/>
          <w:spacing w:val="0"/>
          <w:sz w:val="32"/>
          <w:szCs w:val="32"/>
          <w:lang w:val="en-US" w:eastAsia="zh-CN"/>
        </w:rPr>
        <w:t>如期完成，</w:t>
      </w:r>
      <w:r>
        <w:rPr>
          <w:rFonts w:hint="default" w:ascii="Times New Roman" w:hAnsi="Times New Roman" w:eastAsia="仿宋_GB2312" w:cs="Times New Roman"/>
          <w:b w:val="0"/>
          <w:i w:val="0"/>
          <w:caps w:val="0"/>
          <w:color w:val="auto"/>
          <w:spacing w:val="0"/>
          <w:sz w:val="32"/>
          <w:szCs w:val="32"/>
          <w:lang w:val="en-US"/>
        </w:rPr>
        <w:t>《雅砻江水天上来》</w:t>
      </w:r>
      <w:r>
        <w:rPr>
          <w:rFonts w:hint="eastAsia" w:ascii="Times New Roman" w:hAnsi="Times New Roman" w:eastAsia="仿宋_GB2312" w:cs="Times New Roman"/>
          <w:b w:val="0"/>
          <w:i w:val="0"/>
          <w:caps w:val="0"/>
          <w:color w:val="auto"/>
          <w:spacing w:val="0"/>
          <w:sz w:val="32"/>
          <w:szCs w:val="32"/>
          <w:lang w:val="en-US" w:eastAsia="zh-CN"/>
        </w:rPr>
        <w:t>话剧如期展演。</w:t>
      </w:r>
    </w:p>
    <w:p>
      <w:pPr>
        <w:spacing w:line="578" w:lineRule="exact"/>
        <w:ind w:firstLine="640"/>
        <w:rPr>
          <w:rFonts w:ascii="Times New Roman" w:hAnsi="Times New Roman" w:eastAsia="仿宋_GB2312"/>
          <w:sz w:val="32"/>
          <w:szCs w:val="32"/>
        </w:rPr>
      </w:pPr>
      <w:r>
        <w:rPr>
          <w:rFonts w:ascii="Times New Roman" w:hAnsi="Times New Roman" w:eastAsia="仿宋_GB2312"/>
          <w:sz w:val="32"/>
          <w:szCs w:val="32"/>
          <w:lang w:val="zh-CN"/>
        </w:rPr>
        <w:t>政策执行力度：资金投入到位、</w:t>
      </w:r>
      <w:r>
        <w:rPr>
          <w:rFonts w:hint="eastAsia" w:ascii="Times New Roman" w:hAnsi="Times New Roman" w:eastAsia="仿宋_GB2312"/>
          <w:sz w:val="32"/>
          <w:szCs w:val="32"/>
          <w:lang w:val="zh-CN"/>
        </w:rPr>
        <w:t>项目按</w:t>
      </w:r>
      <w:r>
        <w:rPr>
          <w:rFonts w:ascii="Times New Roman" w:hAnsi="Times New Roman" w:eastAsia="仿宋_GB2312"/>
          <w:sz w:val="32"/>
          <w:szCs w:val="32"/>
          <w:lang w:val="zh-CN"/>
        </w:rPr>
        <w:t>计划推进。</w:t>
      </w:r>
    </w:p>
    <w:p>
      <w:pPr>
        <w:spacing w:line="578" w:lineRule="exact"/>
        <w:ind w:firstLine="643"/>
        <w:rPr>
          <w:rFonts w:ascii="Times New Roman" w:hAnsi="Times New Roman" w:eastAsia="楷体_GB2312"/>
          <w:b/>
          <w:bCs/>
          <w:color w:val="000000"/>
          <w:sz w:val="32"/>
          <w:szCs w:val="32"/>
          <w:shd w:val="clear" w:color="auto" w:fill="FFFFFF"/>
          <w:lang w:val="zh-CN"/>
        </w:rPr>
      </w:pPr>
      <w:r>
        <w:rPr>
          <w:rFonts w:ascii="Times New Roman" w:hAnsi="Times New Roman" w:eastAsia="楷体_GB2312"/>
          <w:b/>
          <w:sz w:val="32"/>
          <w:szCs w:val="32"/>
          <w:lang w:val="zh-CN"/>
        </w:rPr>
        <w:t>（三）</w:t>
      </w:r>
      <w:r>
        <w:rPr>
          <w:rFonts w:ascii="Times New Roman" w:hAnsi="Times New Roman" w:eastAsia="楷体_GB2312"/>
          <w:b/>
          <w:sz w:val="32"/>
          <w:szCs w:val="32"/>
        </w:rPr>
        <w:t>个性指标</w:t>
      </w:r>
      <w:r>
        <w:rPr>
          <w:rFonts w:ascii="Times New Roman" w:hAnsi="Times New Roman" w:eastAsia="楷体_GB2312"/>
          <w:b/>
          <w:bCs/>
          <w:color w:val="000000"/>
          <w:sz w:val="32"/>
          <w:szCs w:val="32"/>
          <w:shd w:val="clear" w:color="auto" w:fill="FFFFFF"/>
          <w:lang w:val="zh-CN"/>
        </w:rPr>
        <w:t>绩效分析。</w:t>
      </w:r>
    </w:p>
    <w:p>
      <w:pPr>
        <w:keepNext w:val="0"/>
        <w:keepLines w:val="0"/>
        <w:pageBreakBefore w:val="0"/>
        <w:widowControl w:val="0"/>
        <w:spacing w:before="0" w:beforeAutospacing="0" w:after="0" w:afterAutospacing="0" w:line="560" w:lineRule="exact"/>
        <w:ind w:firstLine="640"/>
        <w:jc w:val="both"/>
        <w:rPr>
          <w:rFonts w:hint="default" w:ascii="Times New Roman" w:hAnsi="Times New Roman" w:eastAsia="仿宋_GB2312" w:cs="Times New Roman"/>
          <w:b w:val="0"/>
          <w:i w:val="0"/>
          <w:caps w:val="0"/>
          <w:color w:val="auto"/>
          <w:spacing w:val="0"/>
          <w:sz w:val="32"/>
          <w:szCs w:val="32"/>
          <w:lang w:val="en-US" w:eastAsia="zh-CN"/>
        </w:rPr>
      </w:pPr>
      <w:r>
        <w:rPr>
          <w:rFonts w:ascii="Times New Roman" w:hAnsi="Times New Roman" w:eastAsia="仿宋_GB2312"/>
          <w:sz w:val="32"/>
          <w:szCs w:val="32"/>
        </w:rPr>
        <w:t>1．经济效益。</w:t>
      </w:r>
      <w:r>
        <w:rPr>
          <w:rFonts w:hint="eastAsia" w:ascii="Times New Roman" w:hAnsi="Times New Roman" w:eastAsia="仿宋_GB2312" w:cs="Times New Roman"/>
          <w:b w:val="0"/>
          <w:i w:val="0"/>
          <w:caps w:val="0"/>
          <w:color w:val="auto"/>
          <w:spacing w:val="0"/>
          <w:sz w:val="32"/>
          <w:szCs w:val="32"/>
          <w:lang w:val="en-US" w:eastAsia="zh-CN"/>
        </w:rPr>
        <w:t>通过</w:t>
      </w:r>
      <w:r>
        <w:rPr>
          <w:rFonts w:hint="default" w:ascii="Times New Roman" w:hAnsi="Times New Roman" w:eastAsia="仿宋_GB2312" w:cs="Times New Roman"/>
          <w:b w:val="0"/>
          <w:i w:val="0"/>
          <w:caps w:val="0"/>
          <w:color w:val="auto"/>
          <w:spacing w:val="0"/>
          <w:sz w:val="32"/>
          <w:szCs w:val="32"/>
          <w:lang w:val="en-US"/>
        </w:rPr>
        <w:t>盐边县大笮文旅产业融合园区提升项</w:t>
      </w:r>
      <w:r>
        <w:rPr>
          <w:rFonts w:hint="eastAsia" w:ascii="Times New Roman" w:hAnsi="Times New Roman" w:eastAsia="仿宋_GB2312" w:cs="Times New Roman"/>
          <w:b w:val="0"/>
          <w:i w:val="0"/>
          <w:caps w:val="0"/>
          <w:color w:val="auto"/>
          <w:spacing w:val="0"/>
          <w:sz w:val="32"/>
          <w:szCs w:val="32"/>
          <w:lang w:val="en-US" w:eastAsia="zh-CN"/>
        </w:rPr>
        <w:t>目的</w:t>
      </w:r>
      <w:r>
        <w:rPr>
          <w:rFonts w:hint="default" w:ascii="Times New Roman" w:hAnsi="Times New Roman" w:eastAsia="仿宋_GB2312" w:cs="Times New Roman"/>
          <w:b w:val="0"/>
          <w:i w:val="0"/>
          <w:caps w:val="0"/>
          <w:color w:val="auto"/>
          <w:spacing w:val="0"/>
          <w:sz w:val="32"/>
          <w:szCs w:val="32"/>
          <w:lang w:val="en-US"/>
        </w:rPr>
        <w:t>建设</w:t>
      </w:r>
      <w:r>
        <w:rPr>
          <w:rFonts w:hint="eastAsia" w:ascii="Times New Roman" w:hAnsi="Times New Roman" w:eastAsia="仿宋_GB2312" w:cs="Times New Roman"/>
          <w:b w:val="0"/>
          <w:i w:val="0"/>
          <w:caps w:val="0"/>
          <w:color w:val="auto"/>
          <w:spacing w:val="0"/>
          <w:sz w:val="32"/>
          <w:szCs w:val="32"/>
          <w:lang w:val="en-US" w:eastAsia="zh-CN"/>
        </w:rPr>
        <w:t>吸引了游客进入联合村和红格温泉旅游度假区，丰富了度假区文旅业态，产生了更多旅游收入，也带动项目地及周边地区接待收入，增加就业岗位。</w:t>
      </w:r>
    </w:p>
    <w:p>
      <w:pPr>
        <w:keepNext w:val="0"/>
        <w:keepLines w:val="0"/>
        <w:pageBreakBefore w:val="0"/>
        <w:widowControl w:val="0"/>
        <w:spacing w:before="0" w:beforeAutospacing="0" w:after="0" w:afterAutospacing="0" w:line="560" w:lineRule="exact"/>
        <w:ind w:firstLine="640"/>
        <w:jc w:val="both"/>
        <w:rPr>
          <w:rFonts w:hint="eastAsia" w:ascii="Times New Roman" w:hAnsi="Times New Roman" w:eastAsia="仿宋_GB2312" w:cs="Times New Roman"/>
          <w:b w:val="0"/>
          <w:i w:val="0"/>
          <w:caps w:val="0"/>
          <w:color w:val="auto"/>
          <w:spacing w:val="0"/>
          <w:sz w:val="32"/>
          <w:szCs w:val="32"/>
          <w:lang w:val="en-US" w:eastAsia="zh-CN"/>
        </w:rPr>
      </w:pPr>
      <w:r>
        <w:rPr>
          <w:rFonts w:ascii="Times New Roman" w:hAnsi="Times New Roman" w:eastAsia="仿宋_GB2312"/>
          <w:sz w:val="32"/>
          <w:szCs w:val="32"/>
        </w:rPr>
        <w:t>2．社会效益。</w:t>
      </w:r>
      <w:r>
        <w:rPr>
          <w:rFonts w:hint="eastAsia" w:ascii="Times New Roman" w:hAnsi="Times New Roman" w:eastAsia="仿宋_GB2312" w:cs="Times New Roman"/>
          <w:b w:val="0"/>
          <w:i w:val="0"/>
          <w:caps w:val="0"/>
          <w:color w:val="auto"/>
          <w:spacing w:val="0"/>
          <w:sz w:val="32"/>
          <w:szCs w:val="32"/>
          <w:lang w:val="en-US" w:eastAsia="zh-CN"/>
        </w:rPr>
        <w:t>通过集聚大笮文旅产业链的研发、展示、体验、培训和接待等环节，增强了大笮文化的的认可认同度，把“钒钛首县，滋味盐边”擦得更亮，有效增强城市软实力。建设和完善体现独特文化底蕴的博物馆、体验设施等，大幅促进盐边县公共服务水平的完善。</w:t>
      </w:r>
    </w:p>
    <w:p>
      <w:pPr>
        <w:keepNext w:val="0"/>
        <w:keepLines w:val="0"/>
        <w:pageBreakBefore w:val="0"/>
        <w:widowControl w:val="0"/>
        <w:spacing w:line="560" w:lineRule="exact"/>
        <w:ind w:firstLine="640"/>
        <w:rPr>
          <w:rFonts w:hint="default" w:ascii="Times New Roman" w:hAnsi="Times New Roman" w:eastAsia="仿宋_GB2312" w:cs="Times New Roman"/>
          <w:color w:val="auto"/>
          <w:sz w:val="32"/>
          <w:szCs w:val="32"/>
          <w:lang w:val="en-US" w:eastAsia="zh-CN"/>
        </w:rPr>
      </w:pPr>
      <w:r>
        <w:rPr>
          <w:rFonts w:ascii="Times New Roman" w:hAnsi="Times New Roman" w:eastAsia="仿宋_GB2312"/>
          <w:sz w:val="32"/>
          <w:szCs w:val="32"/>
        </w:rPr>
        <w:t>3．可持续影响指标。</w:t>
      </w:r>
      <w:r>
        <w:rPr>
          <w:rFonts w:hint="default" w:ascii="Times New Roman" w:hAnsi="Times New Roman" w:eastAsia="仿宋_GB2312" w:cs="Times New Roman"/>
          <w:color w:val="auto"/>
          <w:sz w:val="32"/>
          <w:szCs w:val="32"/>
          <w:lang w:val="en-US" w:eastAsia="zh-CN"/>
        </w:rPr>
        <w:t>引入麗枫酒店进行营业装修客房118间，成为盐边县综合性最强、配套最完善的酒店。将康养旅游实训基地会场改造为可以进行舞台剧表演的剧院，常态化展演大笮文化主题演出，大型原创话剧《雅砻江水天上来》艺术还原盐边和大笮文化的前世今生，强化了对大笮文化认同感，更吸引了游客对大笮文化的浓厚兴趣。在联合村完成大笮文化博物馆、美食研创和体验中心，集聚大笮文旅产业链的研发、展示、体验，以独特的体验形式呈现大笮特色文化，不定期开展研学课程，激发了人们的探索兴趣，使大笮文化资源得到更好的保护利用。有效提升盐边县公共服务水平，带动周边餐饮、住宿等经济发展，提高盐边县文化旅游发展竞争力。</w:t>
      </w:r>
    </w:p>
    <w:p>
      <w:pPr>
        <w:spacing w:line="578" w:lineRule="exact"/>
        <w:ind w:firstLine="640"/>
        <w:rPr>
          <w:rFonts w:ascii="Times New Roman" w:hAnsi="Times New Roman" w:eastAsia="仿宋_GB2312"/>
          <w:sz w:val="32"/>
          <w:szCs w:val="32"/>
        </w:rPr>
      </w:pPr>
      <w:r>
        <w:rPr>
          <w:rFonts w:ascii="Times New Roman" w:hAnsi="Times New Roman" w:eastAsia="仿宋_GB2312"/>
          <w:sz w:val="32"/>
          <w:szCs w:val="32"/>
        </w:rPr>
        <w:t>4．满意度指标。通过项目实施，群众满意度显著提高。</w:t>
      </w:r>
    </w:p>
    <w:p>
      <w:pPr>
        <w:pStyle w:val="14"/>
        <w:tabs>
          <w:tab w:val="left" w:pos="2160"/>
        </w:tabs>
        <w:spacing w:line="600" w:lineRule="exact"/>
        <w:ind w:firstLine="640"/>
        <w:rPr>
          <w:rFonts w:ascii="Times New Roman" w:hAnsi="Times New Roman" w:eastAsia="黑体"/>
          <w:sz w:val="32"/>
          <w:szCs w:val="32"/>
        </w:rPr>
      </w:pPr>
      <w:r>
        <w:rPr>
          <w:rFonts w:ascii="Times New Roman" w:hAnsi="Times New Roman" w:eastAsia="黑体"/>
          <w:sz w:val="32"/>
          <w:szCs w:val="32"/>
        </w:rPr>
        <w:t>四、评价结论</w:t>
      </w:r>
    </w:p>
    <w:p>
      <w:pPr>
        <w:keepNext w:val="0"/>
        <w:keepLines w:val="0"/>
        <w:pageBreakBefore w:val="0"/>
        <w:widowControl w:val="0"/>
        <w:numPr>
          <w:ilvl w:val="0"/>
          <w:numId w:val="0"/>
        </w:numPr>
        <w:spacing w:line="560" w:lineRule="exact"/>
        <w:ind w:firstLine="640"/>
        <w:jc w:val="both"/>
        <w:rPr>
          <w:rFonts w:hint="eastAsia" w:ascii="Times New Roman" w:hAnsi="Times New Roman" w:eastAsia="仿宋_GB2312"/>
          <w:sz w:val="32"/>
          <w:szCs w:val="32"/>
          <w:lang w:eastAsia="zh-CN"/>
        </w:rPr>
      </w:pPr>
      <w:r>
        <w:rPr>
          <w:rFonts w:ascii="Times New Roman" w:hAnsi="Times New Roman" w:eastAsia="仿宋_GB2312"/>
          <w:sz w:val="32"/>
          <w:szCs w:val="32"/>
        </w:rPr>
        <w:t>2023年，</w:t>
      </w:r>
      <w:r>
        <w:rPr>
          <w:rFonts w:hint="default" w:ascii="Times New Roman" w:hAnsi="Times New Roman" w:eastAsia="仿宋" w:cs="Times New Roman"/>
          <w:color w:val="auto"/>
          <w:sz w:val="32"/>
          <w:szCs w:val="32"/>
          <w:lang w:val="en-US" w:eastAsia="zh-CN"/>
        </w:rPr>
        <w:t>按照项目实施周期完成建设任务，达到预期效果</w:t>
      </w:r>
      <w:r>
        <w:rPr>
          <w:rFonts w:hint="eastAsia" w:ascii="Times New Roman" w:hAnsi="Times New Roman" w:eastAsia="仿宋" w:cs="Times New Roman"/>
          <w:color w:val="auto"/>
          <w:sz w:val="32"/>
          <w:szCs w:val="32"/>
          <w:lang w:val="en-US" w:eastAsia="zh-CN"/>
        </w:rPr>
        <w:t>，</w:t>
      </w:r>
      <w:r>
        <w:rPr>
          <w:rFonts w:ascii="Times New Roman" w:hAnsi="Times New Roman" w:eastAsia="仿宋_GB2312"/>
          <w:sz w:val="32"/>
          <w:szCs w:val="32"/>
        </w:rPr>
        <w:t>绩效目标完成较好</w:t>
      </w:r>
      <w:r>
        <w:rPr>
          <w:rFonts w:hint="eastAsia" w:ascii="Times New Roman" w:hAnsi="Times New Roman" w:eastAsia="仿宋_GB2312"/>
          <w:sz w:val="32"/>
          <w:szCs w:val="32"/>
          <w:lang w:eastAsia="zh-CN"/>
        </w:rPr>
        <w:t>。</w:t>
      </w:r>
    </w:p>
    <w:p>
      <w:pPr>
        <w:pStyle w:val="14"/>
        <w:tabs>
          <w:tab w:val="left" w:pos="2160"/>
        </w:tabs>
        <w:spacing w:line="600" w:lineRule="exact"/>
        <w:ind w:firstLine="640"/>
        <w:rPr>
          <w:rFonts w:ascii="Times New Roman" w:hAnsi="Times New Roman" w:eastAsia="黑体"/>
          <w:sz w:val="32"/>
          <w:szCs w:val="32"/>
        </w:rPr>
      </w:pPr>
      <w:r>
        <w:rPr>
          <w:rFonts w:ascii="Times New Roman" w:hAnsi="Times New Roman" w:eastAsia="黑体"/>
          <w:sz w:val="32"/>
          <w:szCs w:val="32"/>
        </w:rPr>
        <w:t>五、存在主要问题</w:t>
      </w:r>
    </w:p>
    <w:p>
      <w:pPr>
        <w:keepNext w:val="0"/>
        <w:keepLines w:val="0"/>
        <w:pageBreakBefore w:val="0"/>
        <w:widowControl w:val="0"/>
        <w:spacing w:before="0" w:beforeAutospacing="0" w:after="0" w:afterAutospacing="0" w:line="560" w:lineRule="exact"/>
        <w:ind w:firstLine="640"/>
        <w:jc w:val="both"/>
        <w:rPr>
          <w:rFonts w:hint="eastAsia" w:ascii="Times New Roman" w:hAnsi="Times New Roman" w:eastAsia="仿宋_GB2312" w:cs="Times New Roman"/>
          <w:b w:val="0"/>
          <w:i w:val="0"/>
          <w:caps w:val="0"/>
          <w:color w:val="auto"/>
          <w:spacing w:val="0"/>
          <w:sz w:val="32"/>
          <w:szCs w:val="32"/>
          <w:lang w:val="en-US" w:eastAsia="zh-CN"/>
        </w:rPr>
      </w:pPr>
      <w:r>
        <w:rPr>
          <w:rFonts w:hint="default" w:ascii="Times New Roman" w:hAnsi="Times New Roman" w:eastAsia="仿宋_GB2312" w:cs="Times New Roman"/>
          <w:b w:val="0"/>
          <w:i w:val="0"/>
          <w:caps w:val="0"/>
          <w:color w:val="auto"/>
          <w:spacing w:val="0"/>
          <w:sz w:val="32"/>
          <w:szCs w:val="32"/>
          <w:lang w:val="en-US"/>
        </w:rPr>
        <w:t>结合自评情况，</w:t>
      </w:r>
      <w:r>
        <w:rPr>
          <w:rFonts w:hint="eastAsia" w:ascii="Times New Roman" w:hAnsi="Times New Roman" w:eastAsia="仿宋_GB2312" w:cs="Times New Roman"/>
          <w:b w:val="0"/>
          <w:i w:val="0"/>
          <w:caps w:val="0"/>
          <w:color w:val="auto"/>
          <w:spacing w:val="0"/>
          <w:sz w:val="32"/>
          <w:szCs w:val="32"/>
          <w:lang w:val="en-US" w:eastAsia="zh-CN"/>
        </w:rPr>
        <w:t>发现部分项目实施过程中实施单位在项目实施过程中存在资料保存不善的情况，原因在于实施单位对项目管理过程不重视，项目管理不规范，且项目主管单位缺乏有效监督。</w:t>
      </w:r>
      <w:r>
        <w:rPr>
          <w:rFonts w:hint="default" w:ascii="Times New Roman" w:hAnsi="Times New Roman" w:eastAsia="仿宋_GB2312" w:cs="Times New Roman"/>
          <w:b w:val="0"/>
          <w:i w:val="0"/>
          <w:caps w:val="0"/>
          <w:color w:val="auto"/>
          <w:spacing w:val="0"/>
          <w:sz w:val="32"/>
          <w:szCs w:val="32"/>
          <w:lang w:val="en-US"/>
        </w:rPr>
        <w:t>由红格镇</w:t>
      </w:r>
      <w:r>
        <w:rPr>
          <w:rFonts w:hint="eastAsia" w:ascii="Times New Roman" w:hAnsi="Times New Roman" w:eastAsia="仿宋_GB2312" w:cs="Times New Roman"/>
          <w:b w:val="0"/>
          <w:i w:val="0"/>
          <w:caps w:val="0"/>
          <w:color w:val="auto"/>
          <w:spacing w:val="0"/>
          <w:sz w:val="32"/>
          <w:szCs w:val="32"/>
          <w:lang w:val="en-US" w:eastAsia="zh-CN"/>
        </w:rPr>
        <w:t>政府</w:t>
      </w:r>
      <w:r>
        <w:rPr>
          <w:rFonts w:hint="default" w:ascii="Times New Roman" w:hAnsi="Times New Roman" w:eastAsia="仿宋_GB2312" w:cs="Times New Roman"/>
          <w:b w:val="0"/>
          <w:i w:val="0"/>
          <w:caps w:val="0"/>
          <w:color w:val="auto"/>
          <w:spacing w:val="0"/>
          <w:sz w:val="32"/>
          <w:szCs w:val="32"/>
          <w:lang w:val="en-US"/>
        </w:rPr>
        <w:t>负责实施大笮文化博物馆、美食研创和体验中心建设</w:t>
      </w:r>
      <w:r>
        <w:rPr>
          <w:rFonts w:hint="eastAsia" w:ascii="Times New Roman" w:hAnsi="Times New Roman" w:eastAsia="仿宋_GB2312" w:cs="Times New Roman"/>
          <w:b w:val="0"/>
          <w:i w:val="0"/>
          <w:caps w:val="0"/>
          <w:color w:val="auto"/>
          <w:spacing w:val="0"/>
          <w:sz w:val="32"/>
          <w:szCs w:val="32"/>
          <w:lang w:val="en-US" w:eastAsia="zh-CN"/>
        </w:rPr>
        <w:t>项目计划资金340万，</w:t>
      </w:r>
      <w:r>
        <w:rPr>
          <w:rFonts w:hint="default" w:ascii="Times New Roman" w:hAnsi="Times New Roman" w:eastAsia="仿宋_GB2312" w:cs="Times New Roman"/>
          <w:b w:val="0"/>
          <w:i w:val="0"/>
          <w:caps w:val="0"/>
          <w:color w:val="auto"/>
          <w:spacing w:val="0"/>
          <w:sz w:val="32"/>
          <w:szCs w:val="32"/>
          <w:lang w:val="en-US"/>
        </w:rPr>
        <w:t>目前已支付进度款291</w:t>
      </w:r>
      <w:r>
        <w:rPr>
          <w:rFonts w:hint="eastAsia" w:ascii="Times New Roman" w:hAnsi="Times New Roman" w:eastAsia="仿宋_GB2312" w:cs="Times New Roman"/>
          <w:b w:val="0"/>
          <w:i w:val="0"/>
          <w:caps w:val="0"/>
          <w:color w:val="auto"/>
          <w:spacing w:val="0"/>
          <w:sz w:val="32"/>
          <w:szCs w:val="32"/>
          <w:lang w:val="en-US" w:eastAsia="zh-CN"/>
        </w:rPr>
        <w:t>.</w:t>
      </w:r>
      <w:r>
        <w:rPr>
          <w:rFonts w:hint="default" w:ascii="Times New Roman" w:hAnsi="Times New Roman" w:eastAsia="仿宋_GB2312" w:cs="Times New Roman"/>
          <w:b w:val="0"/>
          <w:i w:val="0"/>
          <w:caps w:val="0"/>
          <w:color w:val="auto"/>
          <w:spacing w:val="0"/>
          <w:sz w:val="32"/>
          <w:szCs w:val="32"/>
          <w:lang w:val="en-US"/>
        </w:rPr>
        <w:t>95104万</w:t>
      </w:r>
      <w:r>
        <w:rPr>
          <w:rFonts w:hint="eastAsia" w:ascii="Times New Roman" w:hAnsi="Times New Roman" w:eastAsia="仿宋_GB2312" w:cs="Times New Roman"/>
          <w:b w:val="0"/>
          <w:i w:val="0"/>
          <w:caps w:val="0"/>
          <w:color w:val="auto"/>
          <w:spacing w:val="0"/>
          <w:sz w:val="32"/>
          <w:szCs w:val="32"/>
          <w:lang w:val="en-US" w:eastAsia="zh-CN"/>
        </w:rPr>
        <w:t>元</w:t>
      </w:r>
      <w:r>
        <w:rPr>
          <w:rFonts w:hint="default" w:ascii="Times New Roman" w:hAnsi="Times New Roman" w:eastAsia="仿宋_GB2312" w:cs="Times New Roman"/>
          <w:b w:val="0"/>
          <w:i w:val="0"/>
          <w:caps w:val="0"/>
          <w:color w:val="auto"/>
          <w:spacing w:val="0"/>
          <w:sz w:val="32"/>
          <w:szCs w:val="32"/>
          <w:lang w:val="en-US"/>
        </w:rPr>
        <w:t>，剩余480489.6元</w:t>
      </w:r>
      <w:r>
        <w:rPr>
          <w:rFonts w:hint="eastAsia" w:ascii="Times New Roman" w:hAnsi="Times New Roman" w:eastAsia="仿宋_GB2312" w:cs="Times New Roman"/>
          <w:b w:val="0"/>
          <w:i w:val="0"/>
          <w:caps w:val="0"/>
          <w:color w:val="auto"/>
          <w:spacing w:val="0"/>
          <w:sz w:val="32"/>
          <w:szCs w:val="32"/>
          <w:lang w:val="en-US" w:eastAsia="zh-CN"/>
        </w:rPr>
        <w:t>，项目进度迟缓。</w:t>
      </w:r>
    </w:p>
    <w:p>
      <w:pPr>
        <w:pStyle w:val="14"/>
        <w:tabs>
          <w:tab w:val="left" w:pos="2160"/>
        </w:tabs>
        <w:spacing w:line="600" w:lineRule="exact"/>
        <w:ind w:firstLine="640"/>
        <w:rPr>
          <w:rFonts w:ascii="Times New Roman" w:hAnsi="Times New Roman" w:eastAsia="黑体"/>
          <w:position w:val="3"/>
          <w:sz w:val="32"/>
          <w:szCs w:val="32"/>
          <w:lang w:val="zh-CN"/>
        </w:rPr>
      </w:pPr>
      <w:r>
        <w:rPr>
          <w:rStyle w:val="203"/>
          <w:rFonts w:hint="default" w:ascii="Times New Roman" w:hAnsi="Times New Roman" w:eastAsia="黑体"/>
        </w:rPr>
        <w:t>六、</w:t>
      </w:r>
      <w:r>
        <w:rPr>
          <w:rFonts w:ascii="Times New Roman" w:hAnsi="Times New Roman" w:eastAsia="黑体"/>
          <w:position w:val="3"/>
          <w:sz w:val="32"/>
          <w:szCs w:val="32"/>
          <w:lang w:val="zh-CN"/>
        </w:rPr>
        <w:t>改进建议</w:t>
      </w:r>
    </w:p>
    <w:p>
      <w:pPr>
        <w:pStyle w:val="14"/>
        <w:tabs>
          <w:tab w:val="left" w:pos="2160"/>
        </w:tabs>
        <w:spacing w:line="600" w:lineRule="exact"/>
        <w:ind w:firstLine="640"/>
        <w:rPr>
          <w:rFonts w:hint="eastAsia" w:ascii="Times New Roman" w:hAnsi="Times New Roman" w:eastAsia="仿宋_GB2312"/>
          <w:sz w:val="32"/>
          <w:szCs w:val="32"/>
          <w:lang w:val="en" w:eastAsia="zh-CN"/>
        </w:rPr>
      </w:pPr>
      <w:r>
        <w:rPr>
          <w:rFonts w:ascii="Times New Roman" w:hAnsi="Times New Roman" w:eastAsia="仿宋_GB2312"/>
          <w:sz w:val="32"/>
          <w:szCs w:val="32"/>
        </w:rPr>
        <w:t>一方面加快项目建设进度，确保按要求完成项目建设</w:t>
      </w:r>
      <w:r>
        <w:rPr>
          <w:rFonts w:hint="eastAsia" w:ascii="Times New Roman"/>
          <w:sz w:val="32"/>
          <w:szCs w:val="32"/>
          <w:lang w:eastAsia="zh-CN"/>
        </w:rPr>
        <w:t>。</w:t>
      </w:r>
    </w:p>
    <w:p>
      <w:pPr>
        <w:spacing w:line="578" w:lineRule="exact"/>
        <w:ind w:firstLine="420"/>
        <w:rPr>
          <w:rFonts w:ascii="Times New Roman" w:hAnsi="Times New Roman"/>
          <w:color w:val="000000"/>
          <w:szCs w:val="32"/>
          <w:shd w:val="clear" w:color="auto" w:fill="FFFFFF"/>
          <w:lang w:val="zh-CN"/>
        </w:rPr>
      </w:pPr>
    </w:p>
    <w:p>
      <w:pPr>
        <w:spacing w:line="600" w:lineRule="exact"/>
        <w:ind w:firstLine="643"/>
        <w:rPr>
          <w:rFonts w:ascii="Times New Roman" w:hAnsi="Times New Roman" w:eastAsia="仿宋"/>
          <w:b/>
          <w:sz w:val="32"/>
          <w:szCs w:val="32"/>
        </w:rPr>
      </w:pPr>
    </w:p>
    <w:p>
      <w:pPr>
        <w:spacing w:line="578" w:lineRule="exact"/>
        <w:ind w:firstLine="880"/>
        <w:rPr>
          <w:rFonts w:ascii="Times New Roman" w:hAnsi="Times New Roman"/>
          <w:color w:val="000000"/>
          <w:szCs w:val="32"/>
          <w:shd w:val="clear" w:color="auto" w:fill="FFFFFF"/>
          <w:lang w:val="zh-CN"/>
        </w:rPr>
      </w:pPr>
      <w:r>
        <w:rPr>
          <w:rStyle w:val="196"/>
          <w:rFonts w:ascii="Times New Roman" w:hAnsi="Times New Roman" w:eastAsia="黑体"/>
          <w:b w:val="0"/>
        </w:rPr>
        <w:br w:type="page" w:clear="all"/>
      </w:r>
    </w:p>
    <w:bookmarkEnd w:id="62"/>
    <w:p>
      <w:pPr>
        <w:spacing w:line="600" w:lineRule="exact"/>
        <w:ind w:firstLine="643"/>
        <w:rPr>
          <w:rFonts w:ascii="Times New Roman" w:hAnsi="Times New Roman" w:eastAsia="仿宋"/>
          <w:b/>
          <w:sz w:val="32"/>
          <w:szCs w:val="32"/>
        </w:rPr>
      </w:pPr>
    </w:p>
    <w:p>
      <w:pPr>
        <w:pStyle w:val="14"/>
        <w:rPr>
          <w:rFonts w:eastAsia="仿宋_GB2312"/>
          <w:sz w:val="32"/>
          <w:szCs w:val="32"/>
          <w:lang w:val="zh-CN"/>
        </w:rPr>
      </w:pPr>
    </w:p>
    <w:p>
      <w:pPr>
        <w:spacing w:line="560" w:lineRule="exact"/>
        <w:rPr>
          <w:rFonts w:hint="eastAsia" w:ascii="Times New Roman" w:hAnsi="Times New Roman" w:eastAsia="黑体"/>
          <w:sz w:val="32"/>
          <w:szCs w:val="32"/>
          <w:lang w:eastAsia="zh-CN"/>
        </w:rPr>
      </w:pPr>
      <w:r>
        <w:rPr>
          <w:rFonts w:ascii="Times New Roman" w:hAnsi="Times New Roman" w:eastAsia="黑体"/>
          <w:sz w:val="32"/>
          <w:szCs w:val="28"/>
        </w:rPr>
        <w:t>附件2-</w:t>
      </w:r>
      <w:r>
        <w:rPr>
          <w:rFonts w:hint="eastAsia" w:eastAsia="黑体"/>
          <w:sz w:val="32"/>
          <w:szCs w:val="28"/>
          <w:lang w:val="en-US" w:eastAsia="zh-CN"/>
        </w:rPr>
        <w:t>1</w:t>
      </w:r>
    </w:p>
    <w:p>
      <w:pPr>
        <w:spacing w:line="560" w:lineRule="exact"/>
        <w:rPr>
          <w:rFonts w:ascii="Times New Roman" w:hAnsi="Times New Roman" w:eastAsia="仿宋_GB2312"/>
          <w:sz w:val="32"/>
          <w:szCs w:val="32"/>
        </w:rPr>
      </w:pPr>
    </w:p>
    <w:p>
      <w:pPr>
        <w:pStyle w:val="3"/>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orient="landscape"/>
      <w:pgMar w:top="1440" w:right="1800" w:bottom="1440" w:left="1800" w:header="851" w:footer="992" w:gutter="0"/>
      <w:pgNumType w:start="1"/>
      <w:cols w:space="425"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Vijaya"/>
    <w:panose1 w:val="020B0604020202020204"/>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1"/>
    <w:family w:val="auto"/>
    <w:pitch w:val="default"/>
    <w:sig w:usb0="E00002FF" w:usb1="4000ACFF" w:usb2="00000001" w:usb3="00000000" w:csb0="2000019F" w:csb1="00000000"/>
  </w:font>
  <w:font w:name="等线">
    <w:altName w:val="微软雅黑"/>
    <w:panose1 w:val="00000000000000000000"/>
    <w:charset w:val="01"/>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_GB2312">
    <w:altName w:val="Vijaya"/>
    <w:panose1 w:val="020B0604020202020204"/>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3"/>
          <w:jc w:val="center"/>
        </w:pPr>
        <w:r>
          <w:fldChar w:fldCharType="begin"/>
        </w:r>
        <w:r>
          <w:instrText xml:space="preserve">PAGE   \* MERGEFORMAT</w:instrText>
        </w:r>
        <w:r>
          <w:fldChar w:fldCharType="separate"/>
        </w:r>
        <w:r>
          <w:rPr>
            <w:lang w:val="zh-CN"/>
          </w:rPr>
          <w:t>23</w:t>
        </w:r>
        <w:r>
          <w:fldChar w:fldCharType="end"/>
        </w:r>
      </w:p>
    </w:sdtContent>
  </w:sdt>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japaneseCounting"/>
      <w:suff w:val="space"/>
      <w:lvlText w:val="%1、"/>
      <w:lvlJc w:val="left"/>
      <w:pPr>
        <w:ind w:left="1360" w:hanging="720"/>
      </w:pPr>
      <w:rPr>
        <w:rFonts w:hint="default"/>
        <w:b w:val="0"/>
      </w:rPr>
    </w:lvl>
    <w:lvl w:ilvl="1" w:tentative="0">
      <w:start w:val="1"/>
      <w:numFmt w:val="lowerLetter"/>
      <w:suff w:val="space"/>
      <w:lvlText w:val="%2)"/>
      <w:lvlJc w:val="left"/>
      <w:pPr>
        <w:ind w:left="1480" w:hanging="420"/>
      </w:pPr>
    </w:lvl>
    <w:lvl w:ilvl="2" w:tentative="0">
      <w:start w:val="1"/>
      <w:numFmt w:val="lowerRoman"/>
      <w:suff w:val="space"/>
      <w:lvlText w:val="%3."/>
      <w:lvlJc w:val="right"/>
      <w:pPr>
        <w:ind w:left="1900" w:hanging="420"/>
      </w:pPr>
    </w:lvl>
    <w:lvl w:ilvl="3" w:tentative="0">
      <w:start w:val="1"/>
      <w:numFmt w:val="decimal"/>
      <w:suff w:val="space"/>
      <w:lvlText w:val="%4."/>
      <w:lvlJc w:val="left"/>
      <w:pPr>
        <w:ind w:left="2320" w:hanging="420"/>
      </w:pPr>
    </w:lvl>
    <w:lvl w:ilvl="4" w:tentative="0">
      <w:start w:val="1"/>
      <w:numFmt w:val="lowerLetter"/>
      <w:suff w:val="space"/>
      <w:lvlText w:val="%5)"/>
      <w:lvlJc w:val="left"/>
      <w:pPr>
        <w:ind w:left="2740" w:hanging="420"/>
      </w:pPr>
    </w:lvl>
    <w:lvl w:ilvl="5" w:tentative="0">
      <w:start w:val="1"/>
      <w:numFmt w:val="lowerRoman"/>
      <w:suff w:val="space"/>
      <w:lvlText w:val="%6."/>
      <w:lvlJc w:val="right"/>
      <w:pPr>
        <w:ind w:left="3160" w:hanging="420"/>
      </w:pPr>
    </w:lvl>
    <w:lvl w:ilvl="6" w:tentative="0">
      <w:start w:val="1"/>
      <w:numFmt w:val="decimal"/>
      <w:suff w:val="space"/>
      <w:lvlText w:val="%7."/>
      <w:lvlJc w:val="left"/>
      <w:pPr>
        <w:ind w:left="3580" w:hanging="420"/>
      </w:pPr>
    </w:lvl>
    <w:lvl w:ilvl="7" w:tentative="0">
      <w:start w:val="1"/>
      <w:numFmt w:val="lowerLetter"/>
      <w:suff w:val="space"/>
      <w:lvlText w:val="%8)"/>
      <w:lvlJc w:val="left"/>
      <w:pPr>
        <w:ind w:left="4000" w:hanging="420"/>
      </w:pPr>
    </w:lvl>
    <w:lvl w:ilvl="8" w:tentative="0">
      <w:start w:val="1"/>
      <w:numFmt w:val="lowerRoman"/>
      <w:suff w:val="space"/>
      <w:lvlText w:val="%9."/>
      <w:lvlJc w:val="right"/>
      <w:pPr>
        <w:ind w:left="4420" w:hanging="420"/>
      </w:pPr>
    </w:lvl>
  </w:abstractNum>
  <w:abstractNum w:abstractNumId="1">
    <w:nsid w:val="0053208E"/>
    <w:multiLevelType w:val="multilevel"/>
    <w:tmpl w:val="0053208E"/>
    <w:lvl w:ilvl="0" w:tentative="0">
      <w:start w:val="1"/>
      <w:numFmt w:val="decimal"/>
      <w:suff w:val="space"/>
      <w:lvlText w:val="%1."/>
      <w:lvlJc w:val="left"/>
      <w:pPr>
        <w:ind w:left="1152" w:hanging="480"/>
      </w:pPr>
      <w:rPr>
        <w:rFonts w:hint="default"/>
      </w:rPr>
    </w:lvl>
    <w:lvl w:ilvl="1" w:tentative="0">
      <w:start w:val="1"/>
      <w:numFmt w:val="lowerLetter"/>
      <w:suff w:val="space"/>
      <w:lvlText w:val="%2)"/>
      <w:lvlJc w:val="left"/>
      <w:pPr>
        <w:ind w:left="1512" w:hanging="420"/>
      </w:pPr>
    </w:lvl>
    <w:lvl w:ilvl="2" w:tentative="0">
      <w:start w:val="1"/>
      <w:numFmt w:val="lowerRoman"/>
      <w:suff w:val="space"/>
      <w:lvlText w:val="%3."/>
      <w:lvlJc w:val="right"/>
      <w:pPr>
        <w:ind w:left="1932" w:hanging="420"/>
      </w:pPr>
    </w:lvl>
    <w:lvl w:ilvl="3" w:tentative="0">
      <w:start w:val="1"/>
      <w:numFmt w:val="decimal"/>
      <w:suff w:val="space"/>
      <w:lvlText w:val="%4."/>
      <w:lvlJc w:val="left"/>
      <w:pPr>
        <w:ind w:left="2352" w:hanging="420"/>
      </w:pPr>
    </w:lvl>
    <w:lvl w:ilvl="4" w:tentative="0">
      <w:start w:val="1"/>
      <w:numFmt w:val="lowerLetter"/>
      <w:suff w:val="space"/>
      <w:lvlText w:val="%5)"/>
      <w:lvlJc w:val="left"/>
      <w:pPr>
        <w:ind w:left="2772" w:hanging="420"/>
      </w:pPr>
    </w:lvl>
    <w:lvl w:ilvl="5" w:tentative="0">
      <w:start w:val="1"/>
      <w:numFmt w:val="lowerRoman"/>
      <w:suff w:val="space"/>
      <w:lvlText w:val="%6."/>
      <w:lvlJc w:val="right"/>
      <w:pPr>
        <w:ind w:left="3192" w:hanging="420"/>
      </w:pPr>
    </w:lvl>
    <w:lvl w:ilvl="6" w:tentative="0">
      <w:start w:val="1"/>
      <w:numFmt w:val="decimal"/>
      <w:suff w:val="space"/>
      <w:lvlText w:val="%7."/>
      <w:lvlJc w:val="left"/>
      <w:pPr>
        <w:ind w:left="3612" w:hanging="420"/>
      </w:pPr>
    </w:lvl>
    <w:lvl w:ilvl="7" w:tentative="0">
      <w:start w:val="1"/>
      <w:numFmt w:val="lowerLetter"/>
      <w:suff w:val="space"/>
      <w:lvlText w:val="%8)"/>
      <w:lvlJc w:val="left"/>
      <w:pPr>
        <w:ind w:left="4032" w:hanging="420"/>
      </w:pPr>
    </w:lvl>
    <w:lvl w:ilvl="8" w:tentative="0">
      <w:start w:val="1"/>
      <w:numFmt w:val="lowerRoman"/>
      <w:suff w:val="space"/>
      <w:lvlText w:val="%9."/>
      <w:lvlJc w:val="right"/>
      <w:pPr>
        <w:ind w:left="44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23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196"/>
    <w:qFormat/>
    <w:uiPriority w:val="9"/>
    <w:pPr>
      <w:keepNext/>
      <w:keepLines/>
      <w:spacing w:before="340" w:after="330" w:line="578" w:lineRule="auto"/>
      <w:outlineLvl w:val="0"/>
    </w:pPr>
    <w:rPr>
      <w:b/>
      <w:bCs/>
      <w:sz w:val="44"/>
      <w:szCs w:val="44"/>
    </w:rPr>
  </w:style>
  <w:style w:type="paragraph" w:styleId="4">
    <w:name w:val="heading 2"/>
    <w:basedOn w:val="1"/>
    <w:next w:val="1"/>
    <w:link w:val="19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0"/>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5"/>
    <w:unhideWhenUsed/>
    <w:qFormat/>
    <w:uiPriority w:val="9"/>
    <w:pPr>
      <w:keepNext/>
      <w:keepLines/>
      <w:spacing w:before="320" w:after="200"/>
      <w:outlineLvl w:val="3"/>
    </w:pPr>
    <w:rPr>
      <w:rFonts w:ascii="等线" w:hAnsi="等线" w:eastAsia="等线" w:cs="等线"/>
      <w:b/>
      <w:bCs/>
      <w:sz w:val="26"/>
      <w:szCs w:val="26"/>
    </w:rPr>
  </w:style>
  <w:style w:type="paragraph" w:styleId="7">
    <w:name w:val="heading 5"/>
    <w:basedOn w:val="1"/>
    <w:next w:val="1"/>
    <w:link w:val="46"/>
    <w:unhideWhenUsed/>
    <w:qFormat/>
    <w:uiPriority w:val="9"/>
    <w:pPr>
      <w:keepNext/>
      <w:keepLines/>
      <w:spacing w:before="320" w:after="200"/>
      <w:outlineLvl w:val="4"/>
    </w:pPr>
    <w:rPr>
      <w:rFonts w:ascii="等线" w:hAnsi="等线" w:eastAsia="等线" w:cs="等线"/>
      <w:b/>
      <w:bCs/>
      <w:sz w:val="24"/>
      <w:szCs w:val="24"/>
    </w:rPr>
  </w:style>
  <w:style w:type="paragraph" w:styleId="8">
    <w:name w:val="heading 6"/>
    <w:basedOn w:val="1"/>
    <w:next w:val="1"/>
    <w:link w:val="47"/>
    <w:unhideWhenUsed/>
    <w:qFormat/>
    <w:uiPriority w:val="9"/>
    <w:pPr>
      <w:keepNext/>
      <w:keepLines/>
      <w:spacing w:before="320" w:after="200"/>
      <w:outlineLvl w:val="5"/>
    </w:pPr>
    <w:rPr>
      <w:rFonts w:ascii="等线" w:hAnsi="等线" w:eastAsia="等线" w:cs="等线"/>
      <w:b/>
      <w:bCs/>
      <w:sz w:val="22"/>
      <w:szCs w:val="22"/>
    </w:rPr>
  </w:style>
  <w:style w:type="paragraph" w:styleId="9">
    <w:name w:val="heading 7"/>
    <w:basedOn w:val="1"/>
    <w:next w:val="1"/>
    <w:link w:val="48"/>
    <w:unhideWhenUsed/>
    <w:qFormat/>
    <w:uiPriority w:val="9"/>
    <w:pPr>
      <w:keepNext/>
      <w:keepLines/>
      <w:spacing w:before="320" w:after="200"/>
      <w:outlineLvl w:val="6"/>
    </w:pPr>
    <w:rPr>
      <w:rFonts w:ascii="等线" w:hAnsi="等线" w:eastAsia="等线" w:cs="等线"/>
      <w:b/>
      <w:bCs/>
      <w:i/>
      <w:iCs/>
      <w:sz w:val="22"/>
      <w:szCs w:val="22"/>
    </w:rPr>
  </w:style>
  <w:style w:type="paragraph" w:styleId="10">
    <w:name w:val="heading 8"/>
    <w:basedOn w:val="1"/>
    <w:next w:val="1"/>
    <w:link w:val="49"/>
    <w:unhideWhenUsed/>
    <w:qFormat/>
    <w:uiPriority w:val="9"/>
    <w:pPr>
      <w:keepNext/>
      <w:keepLines/>
      <w:spacing w:before="320" w:after="200"/>
      <w:outlineLvl w:val="7"/>
    </w:pPr>
    <w:rPr>
      <w:rFonts w:ascii="等线" w:hAnsi="等线" w:eastAsia="等线" w:cs="等线"/>
      <w:i/>
      <w:iCs/>
      <w:sz w:val="22"/>
      <w:szCs w:val="22"/>
    </w:rPr>
  </w:style>
  <w:style w:type="paragraph" w:styleId="11">
    <w:name w:val="heading 9"/>
    <w:basedOn w:val="1"/>
    <w:next w:val="1"/>
    <w:link w:val="50"/>
    <w:unhideWhenUsed/>
    <w:qFormat/>
    <w:uiPriority w:val="9"/>
    <w:pPr>
      <w:keepNext/>
      <w:keepLines/>
      <w:spacing w:before="320" w:after="200"/>
      <w:outlineLvl w:val="8"/>
    </w:pPr>
    <w:rPr>
      <w:rFonts w:ascii="等线" w:hAnsi="等线" w:eastAsia="等线" w:cs="等线"/>
      <w:i/>
      <w:iCs/>
      <w:sz w:val="21"/>
      <w:szCs w:val="21"/>
    </w:rPr>
  </w:style>
  <w:style w:type="character" w:default="1" w:styleId="35">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paragraph" w:styleId="2">
    <w:name w:val="Salutation"/>
    <w:basedOn w:val="1"/>
    <w:next w:val="1"/>
    <w:qFormat/>
    <w:uiPriority w:val="99"/>
  </w:style>
  <w:style w:type="paragraph" w:styleId="12">
    <w:name w:val="toc 7"/>
    <w:basedOn w:val="1"/>
    <w:next w:val="1"/>
    <w:unhideWhenUsed/>
    <w:qFormat/>
    <w:uiPriority w:val="39"/>
    <w:pPr>
      <w:spacing w:after="57"/>
      <w:ind w:left="1701" w:right="0" w:firstLine="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next w:val="1"/>
    <w:link w:val="193"/>
    <w:qFormat/>
    <w:uiPriority w:val="99"/>
    <w:rPr>
      <w:rFonts w:ascii="仿宋_GB2312" w:eastAsia="仿宋_GB2312"/>
      <w:sz w:val="30"/>
    </w:rPr>
  </w:style>
  <w:style w:type="paragraph" w:styleId="15">
    <w:name w:val="Body Text Indent"/>
    <w:basedOn w:val="1"/>
    <w:next w:val="16"/>
    <w:qFormat/>
    <w:uiPriority w:val="0"/>
    <w:pPr>
      <w:spacing w:after="120"/>
      <w:ind w:left="200"/>
    </w:pPr>
    <w:rPr>
      <w:rFonts w:ascii="仿宋_GB2312"/>
      <w:szCs w:val="32"/>
    </w:rPr>
  </w:style>
  <w:style w:type="paragraph" w:styleId="16">
    <w:name w:val="Body Text First Indent 2"/>
    <w:basedOn w:val="15"/>
    <w:unhideWhenUsed/>
    <w:qFormat/>
    <w:uiPriority w:val="99"/>
    <w:pPr>
      <w:ind w:firstLine="420"/>
    </w:pPr>
  </w:style>
  <w:style w:type="paragraph" w:styleId="17">
    <w:name w:val="toc 5"/>
    <w:basedOn w:val="1"/>
    <w:next w:val="1"/>
    <w:unhideWhenUsed/>
    <w:qFormat/>
    <w:uiPriority w:val="39"/>
    <w:pPr>
      <w:spacing w:after="57"/>
      <w:ind w:left="1134" w:right="0" w:firstLine="0"/>
    </w:pPr>
  </w:style>
  <w:style w:type="paragraph" w:styleId="18">
    <w:name w:val="toc 3"/>
    <w:basedOn w:val="1"/>
    <w:next w:val="1"/>
    <w:unhideWhenUsed/>
    <w:qFormat/>
    <w:uiPriority w:val="39"/>
    <w:pPr>
      <w:tabs>
        <w:tab w:val="right" w:leader="dot" w:pos="8296"/>
      </w:tabs>
      <w:ind w:left="840"/>
    </w:pPr>
  </w:style>
  <w:style w:type="paragraph" w:styleId="19">
    <w:name w:val="Plain Text"/>
    <w:basedOn w:val="1"/>
    <w:qFormat/>
    <w:uiPriority w:val="0"/>
    <w:rPr>
      <w:rFonts w:ascii="宋体" w:hAnsi="Times New Roman"/>
    </w:rPr>
  </w:style>
  <w:style w:type="paragraph" w:styleId="20">
    <w:name w:val="toc 8"/>
    <w:basedOn w:val="1"/>
    <w:next w:val="1"/>
    <w:unhideWhenUsed/>
    <w:uiPriority w:val="39"/>
    <w:pPr>
      <w:spacing w:after="57"/>
      <w:ind w:left="1984" w:right="0" w:firstLine="0"/>
    </w:pPr>
  </w:style>
  <w:style w:type="paragraph" w:styleId="21">
    <w:name w:val="endnote text"/>
    <w:basedOn w:val="1"/>
    <w:link w:val="185"/>
    <w:semiHidden/>
    <w:unhideWhenUsed/>
    <w:uiPriority w:val="99"/>
    <w:pPr>
      <w:spacing w:after="0" w:line="240" w:lineRule="auto"/>
    </w:pPr>
    <w:rPr>
      <w:sz w:val="20"/>
    </w:rPr>
  </w:style>
  <w:style w:type="paragraph" w:styleId="22">
    <w:name w:val="Balloon Text"/>
    <w:basedOn w:val="1"/>
    <w:link w:val="199"/>
    <w:semiHidden/>
    <w:unhideWhenUsed/>
    <w:qFormat/>
    <w:uiPriority w:val="99"/>
    <w:rPr>
      <w:sz w:val="18"/>
      <w:szCs w:val="18"/>
    </w:rPr>
  </w:style>
  <w:style w:type="paragraph" w:styleId="23">
    <w:name w:val="footer"/>
    <w:basedOn w:val="1"/>
    <w:link w:val="191"/>
    <w:qFormat/>
    <w:uiPriority w:val="99"/>
    <w:pPr>
      <w:tabs>
        <w:tab w:val="center" w:pos="4153"/>
        <w:tab w:val="right" w:pos="8306"/>
      </w:tabs>
      <w:jc w:val="left"/>
    </w:pPr>
    <w:rPr>
      <w:rFonts w:ascii="Calibri" w:hAnsi="Calibri"/>
      <w:sz w:val="18"/>
      <w:szCs w:val="18"/>
    </w:rPr>
  </w:style>
  <w:style w:type="paragraph" w:styleId="24">
    <w:name w:val="header"/>
    <w:basedOn w:val="1"/>
    <w:link w:val="189"/>
    <w:semiHidden/>
    <w:qFormat/>
    <w:uiPriority w:val="99"/>
    <w:pPr>
      <w:pBdr>
        <w:bottom w:val="single" w:color="000000" w:sz="6" w:space="1"/>
      </w:pBdr>
      <w:tabs>
        <w:tab w:val="center" w:pos="4153"/>
        <w:tab w:val="right" w:pos="8306"/>
      </w:tabs>
      <w:jc w:val="center"/>
    </w:pPr>
    <w:rPr>
      <w:rFonts w:ascii="Calibri" w:hAnsi="Calibri"/>
      <w:sz w:val="18"/>
      <w:szCs w:val="18"/>
    </w:rPr>
  </w:style>
  <w:style w:type="paragraph" w:styleId="2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26">
    <w:name w:val="toc 4"/>
    <w:basedOn w:val="1"/>
    <w:next w:val="1"/>
    <w:unhideWhenUsed/>
    <w:uiPriority w:val="39"/>
    <w:pPr>
      <w:spacing w:after="57"/>
      <w:ind w:left="850" w:right="0" w:firstLine="0"/>
    </w:pPr>
  </w:style>
  <w:style w:type="paragraph" w:styleId="27">
    <w:name w:val="Subtitle"/>
    <w:basedOn w:val="1"/>
    <w:next w:val="1"/>
    <w:link w:val="53"/>
    <w:qFormat/>
    <w:uiPriority w:val="11"/>
    <w:pPr>
      <w:spacing w:before="200" w:after="200"/>
    </w:pPr>
    <w:rPr>
      <w:sz w:val="24"/>
      <w:szCs w:val="24"/>
    </w:rPr>
  </w:style>
  <w:style w:type="paragraph" w:styleId="28">
    <w:name w:val="footnote text"/>
    <w:basedOn w:val="1"/>
    <w:next w:val="16"/>
    <w:semiHidden/>
    <w:qFormat/>
    <w:uiPriority w:val="0"/>
    <w:pPr>
      <w:jc w:val="left"/>
    </w:pPr>
    <w:rPr>
      <w:sz w:val="18"/>
      <w:szCs w:val="18"/>
    </w:rPr>
  </w:style>
  <w:style w:type="paragraph" w:styleId="29">
    <w:name w:val="toc 6"/>
    <w:basedOn w:val="1"/>
    <w:next w:val="1"/>
    <w:unhideWhenUsed/>
    <w:qFormat/>
    <w:uiPriority w:val="39"/>
    <w:pPr>
      <w:spacing w:after="57"/>
      <w:ind w:left="1417" w:right="0" w:firstLine="0"/>
    </w:pPr>
  </w:style>
  <w:style w:type="paragraph" w:styleId="30">
    <w:name w:val="table of figures"/>
    <w:basedOn w:val="1"/>
    <w:next w:val="1"/>
    <w:unhideWhenUsed/>
    <w:uiPriority w:val="99"/>
    <w:pPr>
      <w:spacing w:after="0" w:afterAutospacing="0"/>
    </w:pPr>
  </w:style>
  <w:style w:type="paragraph" w:styleId="31">
    <w:name w:val="toc 2"/>
    <w:basedOn w:val="1"/>
    <w:next w:val="1"/>
    <w:unhideWhenUsed/>
    <w:qFormat/>
    <w:uiPriority w:val="39"/>
    <w:pPr>
      <w:tabs>
        <w:tab w:val="right" w:leader="dot" w:pos="8296"/>
      </w:tabs>
      <w:ind w:left="420"/>
    </w:pPr>
  </w:style>
  <w:style w:type="paragraph" w:styleId="32">
    <w:name w:val="toc 9"/>
    <w:basedOn w:val="1"/>
    <w:next w:val="1"/>
    <w:unhideWhenUsed/>
    <w:qFormat/>
    <w:uiPriority w:val="39"/>
    <w:pPr>
      <w:spacing w:after="57"/>
      <w:ind w:left="2268" w:right="0" w:firstLine="0"/>
    </w:pPr>
  </w:style>
  <w:style w:type="paragraph" w:styleId="33">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4">
    <w:name w:val="Title"/>
    <w:basedOn w:val="1"/>
    <w:next w:val="1"/>
    <w:link w:val="52"/>
    <w:qFormat/>
    <w:uiPriority w:val="10"/>
    <w:pPr>
      <w:spacing w:before="300" w:after="200"/>
      <w:contextualSpacing/>
    </w:pPr>
    <w:rPr>
      <w:sz w:val="48"/>
      <w:szCs w:val="48"/>
    </w:rPr>
  </w:style>
  <w:style w:type="character" w:styleId="36">
    <w:name w:val="Strong"/>
    <w:basedOn w:val="35"/>
    <w:qFormat/>
    <w:uiPriority w:val="99"/>
    <w:rPr>
      <w:b/>
    </w:rPr>
  </w:style>
  <w:style w:type="character" w:styleId="37">
    <w:name w:val="endnote reference"/>
    <w:basedOn w:val="35"/>
    <w:semiHidden/>
    <w:unhideWhenUsed/>
    <w:uiPriority w:val="99"/>
    <w:rPr>
      <w:vertAlign w:val="superscript"/>
    </w:rPr>
  </w:style>
  <w:style w:type="character" w:styleId="38">
    <w:name w:val="Hyperlink"/>
    <w:basedOn w:val="35"/>
    <w:unhideWhenUsed/>
    <w:qFormat/>
    <w:uiPriority w:val="99"/>
    <w:rPr>
      <w:color w:val="0000FF" w:themeColor="hyperlink"/>
      <w:u w:val="single"/>
      <w14:textFill>
        <w14:solidFill>
          <w14:schemeClr w14:val="hlink"/>
        </w14:solidFill>
      </w14:textFill>
    </w:rPr>
  </w:style>
  <w:style w:type="character" w:styleId="39">
    <w:name w:val="footnote reference"/>
    <w:basedOn w:val="35"/>
    <w:unhideWhenUsed/>
    <w:uiPriority w:val="99"/>
    <w:rPr>
      <w:vertAlign w:val="superscript"/>
    </w:rPr>
  </w:style>
  <w:style w:type="table" w:styleId="41">
    <w:name w:val="Table Grid"/>
    <w:basedOn w:val="40"/>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42">
    <w:name w:val="Heading 1 Char"/>
    <w:basedOn w:val="35"/>
    <w:qFormat/>
    <w:uiPriority w:val="9"/>
    <w:rPr>
      <w:rFonts w:ascii="等线" w:hAnsi="等线" w:eastAsia="等线" w:cs="等线"/>
      <w:sz w:val="40"/>
      <w:szCs w:val="40"/>
    </w:rPr>
  </w:style>
  <w:style w:type="character" w:customStyle="1" w:styleId="43">
    <w:name w:val="Heading 2 Char"/>
    <w:basedOn w:val="35"/>
    <w:qFormat/>
    <w:uiPriority w:val="9"/>
    <w:rPr>
      <w:rFonts w:ascii="等线" w:hAnsi="等线" w:eastAsia="等线" w:cs="等线"/>
      <w:sz w:val="34"/>
    </w:rPr>
  </w:style>
  <w:style w:type="character" w:customStyle="1" w:styleId="44">
    <w:name w:val="Heading 3 Char"/>
    <w:basedOn w:val="35"/>
    <w:qFormat/>
    <w:uiPriority w:val="9"/>
    <w:rPr>
      <w:rFonts w:ascii="等线" w:hAnsi="等线" w:eastAsia="等线" w:cs="等线"/>
      <w:sz w:val="30"/>
      <w:szCs w:val="30"/>
    </w:rPr>
  </w:style>
  <w:style w:type="character" w:customStyle="1" w:styleId="45">
    <w:name w:val="Heading 4 Char"/>
    <w:basedOn w:val="35"/>
    <w:link w:val="6"/>
    <w:qFormat/>
    <w:uiPriority w:val="9"/>
    <w:rPr>
      <w:rFonts w:ascii="等线" w:hAnsi="等线" w:eastAsia="等线" w:cs="等线"/>
      <w:b/>
      <w:bCs/>
      <w:sz w:val="26"/>
      <w:szCs w:val="26"/>
    </w:rPr>
  </w:style>
  <w:style w:type="character" w:customStyle="1" w:styleId="46">
    <w:name w:val="Heading 5 Char"/>
    <w:basedOn w:val="35"/>
    <w:link w:val="7"/>
    <w:qFormat/>
    <w:uiPriority w:val="9"/>
    <w:rPr>
      <w:rFonts w:ascii="等线" w:hAnsi="等线" w:eastAsia="等线" w:cs="等线"/>
      <w:b/>
      <w:bCs/>
      <w:sz w:val="24"/>
      <w:szCs w:val="24"/>
    </w:rPr>
  </w:style>
  <w:style w:type="character" w:customStyle="1" w:styleId="47">
    <w:name w:val="Heading 6 Char"/>
    <w:basedOn w:val="35"/>
    <w:link w:val="8"/>
    <w:qFormat/>
    <w:uiPriority w:val="9"/>
    <w:rPr>
      <w:rFonts w:ascii="等线" w:hAnsi="等线" w:eastAsia="等线" w:cs="等线"/>
      <w:b/>
      <w:bCs/>
      <w:sz w:val="22"/>
      <w:szCs w:val="22"/>
    </w:rPr>
  </w:style>
  <w:style w:type="character" w:customStyle="1" w:styleId="48">
    <w:name w:val="Heading 7 Char"/>
    <w:basedOn w:val="35"/>
    <w:link w:val="9"/>
    <w:uiPriority w:val="9"/>
    <w:rPr>
      <w:rFonts w:ascii="等线" w:hAnsi="等线" w:eastAsia="等线" w:cs="等线"/>
      <w:b/>
      <w:bCs/>
      <w:i/>
      <w:iCs/>
      <w:sz w:val="22"/>
      <w:szCs w:val="22"/>
    </w:rPr>
  </w:style>
  <w:style w:type="character" w:customStyle="1" w:styleId="49">
    <w:name w:val="Heading 8 Char"/>
    <w:basedOn w:val="35"/>
    <w:link w:val="10"/>
    <w:uiPriority w:val="9"/>
    <w:rPr>
      <w:rFonts w:ascii="等线" w:hAnsi="等线" w:eastAsia="等线" w:cs="等线"/>
      <w:i/>
      <w:iCs/>
      <w:sz w:val="22"/>
      <w:szCs w:val="22"/>
    </w:rPr>
  </w:style>
  <w:style w:type="character" w:customStyle="1" w:styleId="50">
    <w:name w:val="Heading 9 Char"/>
    <w:basedOn w:val="35"/>
    <w:link w:val="11"/>
    <w:uiPriority w:val="9"/>
    <w:rPr>
      <w:rFonts w:ascii="等线" w:hAnsi="等线" w:eastAsia="等线" w:cs="等线"/>
      <w:i/>
      <w:iCs/>
      <w:sz w:val="21"/>
      <w:szCs w:val="21"/>
    </w:rPr>
  </w:style>
  <w:style w:type="paragraph" w:styleId="51">
    <w:name w:val="No Spacing"/>
    <w:qFormat/>
    <w:uiPriority w:val="1"/>
    <w:pPr>
      <w:spacing w:before="0" w:after="0" w:line="240" w:lineRule="auto"/>
    </w:pPr>
    <w:rPr>
      <w:rFonts w:hint="default" w:ascii="Calibri" w:hAnsi="Calibri" w:eastAsia="宋体" w:cs="Times New Roman"/>
    </w:rPr>
  </w:style>
  <w:style w:type="character" w:customStyle="1" w:styleId="52">
    <w:name w:val="Title Char"/>
    <w:basedOn w:val="35"/>
    <w:link w:val="34"/>
    <w:uiPriority w:val="10"/>
    <w:rPr>
      <w:sz w:val="48"/>
      <w:szCs w:val="48"/>
    </w:rPr>
  </w:style>
  <w:style w:type="character" w:customStyle="1" w:styleId="53">
    <w:name w:val="Subtitle Char"/>
    <w:basedOn w:val="35"/>
    <w:link w:val="27"/>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Quote Char"/>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7">
    <w:name w:val="Intense Quote Char"/>
    <w:link w:val="56"/>
    <w:qFormat/>
    <w:uiPriority w:val="30"/>
    <w:rPr>
      <w:i/>
    </w:rPr>
  </w:style>
  <w:style w:type="character" w:customStyle="1" w:styleId="58">
    <w:name w:val="Caption Char"/>
    <w:qFormat/>
    <w:uiPriority w:val="99"/>
  </w:style>
  <w:style w:type="table" w:customStyle="1" w:styleId="59">
    <w:name w:val="Table Grid Light"/>
    <w:basedOn w:val="4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0">
    <w:name w:val="Plain Table 1"/>
    <w:basedOn w:val="4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1">
    <w:name w:val="Plain Table 2"/>
    <w:basedOn w:val="4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tcBorders>
          <w:left w:val="single" w:color="000000" w:themeColor="text1" w:sz="4" w:space="0"/>
          <w:right w:val="single" w:color="000000" w:themeColor="text1" w:sz="4" w:space="0"/>
        </w:tcBorders>
      </w:tcPr>
    </w:tblStylePr>
    <w:tblStylePr w:type="band2Vert">
      <w:tblPr>
        <w:tblLayout w:type="fixed"/>
      </w:tblPr>
      <w:tcPr>
        <w:tcBorders>
          <w:left w:val="single" w:color="000000" w:themeColor="text1" w:sz="4" w:space="0"/>
          <w:right w:val="single" w:color="000000" w:themeColor="text1" w:sz="4" w:space="0"/>
        </w:tcBorders>
      </w:tcPr>
    </w:tblStylePr>
    <w:tblStylePr w:type="band1Horz">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2">
    <w:name w:val="Plain Table 3"/>
    <w:basedOn w:val="40"/>
    <w:qFormat/>
    <w:uiPriority w:val="99"/>
    <w:pPr>
      <w:spacing w:after="0" w:line="240" w:lineRule="auto"/>
    </w:pPr>
    <w:tblPr>
      <w:tblLayout w:type="fixed"/>
    </w:tblPr>
    <w:tblStylePr w:type="firstRow">
      <w:rPr>
        <w:b/>
        <w:caps/>
        <w:color w:val="404040"/>
      </w:rPr>
      <w:tblPr>
        <w:tblLayout w:type="fixed"/>
      </w:tblPr>
      <w:tcPr>
        <w:tcBorders>
          <w:top w:val="nil"/>
          <w:left w:val="nil"/>
          <w:bottom w:val="single" w:color="404040" w:sz="4" w:space="0"/>
          <w:right w:val="nil"/>
        </w:tcBorders>
      </w:tcPr>
    </w:tblStylePr>
    <w:tblStylePr w:type="lastRow">
      <w:rPr>
        <w:b/>
        <w:caps/>
        <w:color w:val="404040"/>
      </w:rPr>
      <w:tblPr>
        <w:tblLayout w:type="fixed"/>
      </w:tblPr>
    </w:tblStylePr>
    <w:tblStylePr w:type="firstCol">
      <w:rPr>
        <w:b/>
        <w:caps/>
        <w:color w:val="404040"/>
      </w:rPr>
      <w:tblPr>
        <w:tblLayout w:type="fixed"/>
      </w:tblPr>
      <w:tcPr>
        <w:tcBorders>
          <w:top w:val="nil"/>
          <w:left w:val="nil"/>
          <w:bottom w:val="nil"/>
          <w:right w:val="single" w:color="404040" w:sz="4" w:space="0"/>
        </w:tcBorders>
      </w:tcPr>
    </w:tblStylePr>
    <w:tblStylePr w:type="lastCol">
      <w:rPr>
        <w:b/>
        <w:caps/>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3">
    <w:name w:val="Plain Table 4"/>
    <w:basedOn w:val="40"/>
    <w:qFormat/>
    <w:uiPriority w:val="99"/>
    <w:pPr>
      <w:spacing w:after="0" w:line="240" w:lineRule="auto"/>
    </w:pPr>
    <w:tblPr>
      <w:tblLayout w:type="fixed"/>
    </w:tblPr>
    <w:tblStylePr w:type="firstRow">
      <w:rPr>
        <w:b/>
        <w:color w:val="404040"/>
      </w:rPr>
      <w:tblPr>
        <w:tblLayout w:type="fixed"/>
      </w:tbl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4">
    <w:name w:val="Plain Table 5"/>
    <w:basedOn w:val="40"/>
    <w:qFormat/>
    <w:uiPriority w:val="99"/>
    <w:pPr>
      <w:spacing w:after="0" w:line="240" w:lineRule="auto"/>
    </w:pPr>
    <w:tblPr>
      <w:tblLayout w:type="fixed"/>
    </w:tblPr>
    <w:tblStylePr w:type="firstRow">
      <w:rPr>
        <w:i/>
        <w:color w:val="404040"/>
      </w:rPr>
      <w:tblPr>
        <w:tblLayout w:type="fixed"/>
      </w:tblPr>
      <w:tcPr>
        <w:tcBorders>
          <w:left w:val="nil"/>
          <w:bottom w:val="single" w:color="404040" w:sz="4" w:space="0"/>
          <w:right w:val="nil"/>
        </w:tcBorders>
        <w:shd w:val="clear" w:color="FFFFFF" w:fill="auto"/>
      </w:tcPr>
    </w:tblStylePr>
    <w:tblStylePr w:type="lastRow">
      <w:rPr>
        <w:i/>
        <w:color w:val="404040"/>
      </w:rPr>
      <w:tblPr>
        <w:tblLayout w:type="fixed"/>
      </w:tblPr>
      <w:tcPr>
        <w:tcBorders>
          <w:top w:val="single" w:color="404040" w:sz="4" w:space="0"/>
          <w:left w:val="nil"/>
          <w:right w:val="nil"/>
        </w:tcBorders>
        <w:shd w:val="clear" w:color="FFFFFF" w:fill="auto"/>
      </w:tcPr>
    </w:tblStylePr>
    <w:tblStylePr w:type="firstCol">
      <w:pPr>
        <w:jc w:val="right"/>
      </w:pPr>
      <w:rPr>
        <w:i/>
        <w:color w:val="404040"/>
      </w:rPr>
      <w:tblPr>
        <w:tblLayout w:type="fixed"/>
      </w:tblPr>
      <w:tcPr>
        <w:tcBorders>
          <w:right w:val="single" w:color="404040" w:sz="4" w:space="0"/>
        </w:tcBorders>
        <w:shd w:val="clear" w:color="FFFFFF" w:fill="auto"/>
      </w:tcPr>
    </w:tblStylePr>
    <w:tblStylePr w:type="lastCol">
      <w:rPr>
        <w:i/>
        <w:color w:val="404040"/>
      </w:rPr>
      <w:tblPr>
        <w:tblLayout w:type="fixed"/>
      </w:tblPr>
      <w:tcPr>
        <w:tcBorders>
          <w:left w:val="single" w:color="404040" w:sz="4" w:space="0"/>
        </w:tcBorders>
        <w:shd w:val="clear" w:color="FFFFFF" w:fill="auto"/>
      </w:tc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5">
    <w:name w:val="Grid Table 1 Light"/>
    <w:basedOn w:val="40"/>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blPr>
        <w:tblLayout w:type="fixed"/>
      </w:tblPr>
      <w:tcPr>
        <w:tcBorders>
          <w:bottom w:val="single" w:color="696969" w:themeColor="tex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6">
    <w:name w:val="Grid Table 1 Light - Accent 1"/>
    <w:basedOn w:val="40"/>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blPr>
        <w:tblLayout w:type="fixed"/>
      </w:tblPr>
      <w:tcPr>
        <w:tcBorders>
          <w:bottom w:val="single" w:color="98B5D8" w:themeColor="accen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7">
    <w:name w:val="Grid Table 1 Light - Accent 2"/>
    <w:basedOn w:val="40"/>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blPr>
        <w:tblLayout w:type="fixed"/>
      </w:tblPr>
      <w:tcPr>
        <w:tcBorders>
          <w:bottom w:val="single" w:color="DA9896" w:themeColor="accent2"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8">
    <w:name w:val="Grid Table 1 Light - Accent 3"/>
    <w:basedOn w:val="40"/>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blPr>
        <w:tblLayout w:type="fixed"/>
      </w:tblPr>
      <w:tcPr>
        <w:tcBorders>
          <w:bottom w:val="single" w:color="C4D79E" w:themeColor="accent3"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9">
    <w:name w:val="Grid Table 1 Light - Accent 4"/>
    <w:basedOn w:val="40"/>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blPr>
        <w:tblLayout w:type="fixed"/>
      </w:tblPr>
      <w:tcPr>
        <w:tcBorders>
          <w:bottom w:val="single" w:color="B4A4C8" w:themeColor="accent4"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0">
    <w:name w:val="Grid Table 1 Light - Accent 5"/>
    <w:basedOn w:val="40"/>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blPr>
        <w:tblLayout w:type="fixed"/>
      </w:tblPr>
      <w:tcPr>
        <w:tcBorders>
          <w:bottom w:val="single" w:color="95CEDD" w:themeColor="accent5"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1">
    <w:name w:val="Grid Table 1 Light - Accent 6"/>
    <w:basedOn w:val="40"/>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blPr>
        <w:tblLayout w:type="fixed"/>
      </w:tblPr>
      <w:tcPr>
        <w:tcBorders>
          <w:bottom w:val="single" w:color="FAC192" w:themeColor="accent6"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2">
    <w:name w:val="Grid Table 2"/>
    <w:basedOn w:val="4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single" w:color="696969" w:themeColor="text1" w:themeTint="95" w:sz="12" w:space="0"/>
          <w:right w:val="nil"/>
        </w:tcBorders>
        <w:shd w:val="clear" w:color="FFFFFF" w:fill="auto"/>
      </w:tcPr>
    </w:tblStylePr>
    <w:tblStylePr w:type="lastRow">
      <w:rPr>
        <w:b/>
        <w:color w:val="404040"/>
      </w:rPr>
      <w:tblPr>
        <w:tblLayout w:type="fixed"/>
      </w:tblPr>
      <w:tcPr>
        <w:tcBorders>
          <w:top w:val="single" w:color="696969" w:themeColor="text1" w:themeTint="9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3">
    <w:name w:val="Grid Table 2 - Accent 1"/>
    <w:basedOn w:val="40"/>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blPr>
        <w:tblLayout w:type="fixed"/>
      </w:tblPr>
      <w:tcPr>
        <w:tcBorders>
          <w:top w:val="nil"/>
          <w:left w:val="nil"/>
          <w:bottom w:val="single" w:color="5D8BC2" w:themeColor="accent1" w:themeTint="EA" w:sz="12" w:space="0"/>
          <w:right w:val="nil"/>
        </w:tcBorders>
        <w:shd w:val="clear" w:color="FFFFFF" w:fill="auto"/>
      </w:tcPr>
    </w:tblStylePr>
    <w:tblStylePr w:type="lastRow">
      <w:rPr>
        <w:b/>
        <w:color w:val="404040"/>
      </w:rPr>
      <w:tblPr>
        <w:tblLayout w:type="fixed"/>
      </w:tblPr>
      <w:tcPr>
        <w:tcBorders>
          <w:top w:val="single" w:color="5D8BC2" w:themeColor="accent1" w:themeTint="E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BE5F1" w:themeColor="accent1" w:themeTint="34" w:fill="DBE5F1"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4">
    <w:name w:val="Grid Table 2 - Accent 2"/>
    <w:basedOn w:val="40"/>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blPr>
        <w:tblLayout w:type="fixed"/>
      </w:tblPr>
      <w:tcPr>
        <w:tcBorders>
          <w:top w:val="nil"/>
          <w:left w:val="nil"/>
          <w:bottom w:val="single" w:color="D99795" w:themeColor="accent2" w:themeTint="97" w:sz="12" w:space="0"/>
          <w:right w:val="nil"/>
        </w:tcBorders>
        <w:shd w:val="clear" w:color="FFFFFF" w:fill="auto"/>
      </w:tcPr>
    </w:tblStylePr>
    <w:tblStylePr w:type="lastRow">
      <w:rPr>
        <w:b/>
        <w:color w:val="404040"/>
      </w:rPr>
      <w:tblPr>
        <w:tblLayout w:type="fixed"/>
      </w:tblPr>
      <w:tcPr>
        <w:tcBorders>
          <w:top w:val="single" w:color="D99795" w:themeColor="accent2" w:themeTint="97"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5">
    <w:name w:val="Grid Table 2 - Accent 3"/>
    <w:basedOn w:val="40"/>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blPr>
        <w:tblLayout w:type="fixed"/>
      </w:tblPr>
      <w:tcPr>
        <w:tcBorders>
          <w:top w:val="nil"/>
          <w:left w:val="nil"/>
          <w:bottom w:val="single" w:color="9BBB59" w:themeColor="accent3" w:themeTint="FE" w:sz="12" w:space="0"/>
          <w:right w:val="nil"/>
        </w:tcBorders>
        <w:shd w:val="clear" w:color="FFFFFF" w:fill="auto"/>
      </w:tcPr>
    </w:tblStylePr>
    <w:tblStylePr w:type="lastRow">
      <w:rPr>
        <w:b/>
        <w:color w:val="404040"/>
      </w:rPr>
      <w:tblPr>
        <w:tblLayout w:type="fixed"/>
      </w:tblPr>
      <w:tcPr>
        <w:tcBorders>
          <w:top w:val="single" w:color="9BBB59" w:themeColor="accent3" w:themeTint="FE"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6">
    <w:name w:val="Grid Table 2 - Accent 4"/>
    <w:basedOn w:val="40"/>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blPr>
        <w:tblLayout w:type="fixed"/>
      </w:tblPr>
      <w:tcPr>
        <w:tcBorders>
          <w:top w:val="nil"/>
          <w:left w:val="nil"/>
          <w:bottom w:val="single" w:color="B2A1C6" w:themeColor="accent4" w:themeTint="9A" w:sz="12" w:space="0"/>
          <w:right w:val="nil"/>
        </w:tcBorders>
        <w:shd w:val="clear" w:color="FFFFFF" w:fill="auto"/>
      </w:tcPr>
    </w:tblStylePr>
    <w:tblStylePr w:type="lastRow">
      <w:rPr>
        <w:b/>
        <w:color w:val="404040"/>
      </w:rPr>
      <w:tblPr>
        <w:tblLayout w:type="fixed"/>
      </w:tblPr>
      <w:tcPr>
        <w:tcBorders>
          <w:top w:val="single" w:color="B2A1C6" w:themeColor="accent4" w:themeTint="9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7">
    <w:name w:val="Grid Table 2 - Accent 5"/>
    <w:basedOn w:val="40"/>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blPr>
        <w:tblLayout w:type="fixed"/>
      </w:tblPr>
      <w:tcPr>
        <w:tcBorders>
          <w:top w:val="nil"/>
          <w:left w:val="nil"/>
          <w:bottom w:val="single" w:color="4BACC6" w:themeColor="accent5" w:sz="12" w:space="0"/>
          <w:right w:val="nil"/>
        </w:tcBorders>
        <w:shd w:val="clear" w:color="FFFFFF" w:fill="auto"/>
      </w:tcPr>
    </w:tblStylePr>
    <w:tblStylePr w:type="lastRow">
      <w:rPr>
        <w:b/>
        <w:color w:val="404040"/>
      </w:rPr>
      <w:tblPr>
        <w:tblLayout w:type="fixed"/>
      </w:tblPr>
      <w:tcPr>
        <w:tcBorders>
          <w:top w:val="single" w:color="4BACC6" w:themeColor="accent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8">
    <w:name w:val="Grid Table 2 - Accent 6"/>
    <w:basedOn w:val="40"/>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blPr>
        <w:tblLayout w:type="fixed"/>
      </w:tblPr>
      <w:tcPr>
        <w:tcBorders>
          <w:top w:val="nil"/>
          <w:left w:val="nil"/>
          <w:bottom w:val="single" w:color="F79646" w:themeColor="accent6" w:sz="12" w:space="0"/>
          <w:right w:val="nil"/>
        </w:tcBorders>
        <w:shd w:val="clear" w:color="FFFFFF" w:fill="auto"/>
      </w:tcPr>
    </w:tblStylePr>
    <w:tblStylePr w:type="lastRow">
      <w:rPr>
        <w:b/>
        <w:color w:val="404040"/>
      </w:rPr>
      <w:tblPr>
        <w:tblLayout w:type="fixed"/>
      </w:tblPr>
      <w:tcPr>
        <w:tcBorders>
          <w:top w:val="single" w:color="F79646" w:themeColor="accent6"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9">
    <w:name w:val="Grid Table 3"/>
    <w:basedOn w:val="40"/>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0">
    <w:name w:val="Grid Table 3 - Accent 1"/>
    <w:basedOn w:val="40"/>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BE5F1" w:themeColor="accent1" w:themeTint="34" w:fill="DBE5F1"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1">
    <w:name w:val="Grid Table 3 - Accent 2"/>
    <w:basedOn w:val="40"/>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2">
    <w:name w:val="Grid Table 3 - Accent 3"/>
    <w:basedOn w:val="40"/>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3">
    <w:name w:val="Grid Table 3 - Accent 4"/>
    <w:basedOn w:val="40"/>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4">
    <w:name w:val="Grid Table 3 - Accent 5"/>
    <w:basedOn w:val="40"/>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5">
    <w:name w:val="Grid Table 3 - Accent 6"/>
    <w:basedOn w:val="40"/>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6">
    <w:name w:val="Grid Table 4"/>
    <w:basedOn w:val="4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blLayout w:type="fixed"/>
      </w:tblPr>
      <w:tcPr>
        <w:tcBorders>
          <w:top w:val="single" w:color="000000" w:themeColor="text1"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7">
    <w:name w:val="Grid Table 4 - Accent 1"/>
    <w:basedOn w:val="40"/>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blPr>
        <w:tblLayout w:type="fixed"/>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blLayout w:type="fixed"/>
      </w:tblPr>
      <w:tcPr>
        <w:tcBorders>
          <w:top w:val="single" w:color="5D8BC2" w:themeColor="accent1" w:themeTint="E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CE6F2" w:themeColor="accent1" w:themeTint="32" w:fill="DCE6F2" w:themeFill="accent1" w:themeFillTint="32"/>
      </w:tcPr>
    </w:tblStylePr>
    <w:tblStylePr w:type="band2Vert">
      <w:tblPr>
        <w:tblLayout w:type="fixed"/>
      </w:tblPr>
    </w:tblStylePr>
    <w:tblStylePr w:type="band1Horz">
      <w:rPr>
        <w:rFonts w:ascii="Arial" w:hAnsi="Arial"/>
        <w:color w:val="404040"/>
        <w:sz w:val="22"/>
      </w:rPr>
      <w:tblPr>
        <w:tblLayout w:type="fixed"/>
      </w:tblPr>
      <w:tcPr>
        <w:shd w:val="clear" w:color="DCE6F2" w:themeColor="accent1" w:themeTint="32" w:fill="DCE6F2" w:themeFill="accent1"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8">
    <w:name w:val="Grid Table 4 - Accent 2"/>
    <w:basedOn w:val="40"/>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blPr>
        <w:tblLayout w:type="fixed"/>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blLayout w:type="fixed"/>
      </w:tblPr>
      <w:tcPr>
        <w:tcBorders>
          <w:top w:val="single" w:color="D99795" w:themeColor="accent2" w:themeTint="97"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2DCDC" w:themeColor="accent2" w:themeTint="32" w:fill="F2DCDC"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9">
    <w:name w:val="Grid Table 4 - Accent 3"/>
    <w:basedOn w:val="40"/>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blPr>
        <w:tblLayout w:type="fixed"/>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blLayout w:type="fixed"/>
      </w:tblPr>
      <w:tcPr>
        <w:tcBorders>
          <w:top w:val="single" w:color="9BBB59" w:themeColor="accent3" w:themeTint="FE"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AF1DD" w:themeColor="accent3" w:themeTint="34" w:fill="EAF1DD"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0">
    <w:name w:val="Grid Table 4 - Accent 4"/>
    <w:basedOn w:val="40"/>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blPr>
        <w:tblLayout w:type="fixed"/>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blLayout w:type="fixed"/>
      </w:tblPr>
      <w:tcPr>
        <w:tcBorders>
          <w:top w:val="single" w:color="B2A1C6" w:themeColor="accent4" w:themeTint="9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E5DFEC" w:themeColor="accent4" w:themeTint="34" w:fill="E5DFEC"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1">
    <w:name w:val="Grid Table 4 - Accent 5"/>
    <w:basedOn w:val="40"/>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blPr>
        <w:tblLayout w:type="fixed"/>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blLayout w:type="fixed"/>
      </w:tblPr>
      <w:tcPr>
        <w:tcBorders>
          <w:top w:val="single" w:color="4BACC6" w:themeColor="accent5"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AEEF3" w:themeColor="accent5" w:themeTint="34" w:fill="DAEEF3"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2">
    <w:name w:val="Grid Table 4 - Accent 6"/>
    <w:basedOn w:val="40"/>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blPr>
        <w:tblLayout w:type="fixed"/>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blLayout w:type="fixed"/>
      </w:tblPr>
      <w:tcPr>
        <w:tcBorders>
          <w:top w:val="single" w:color="F79646" w:themeColor="accent6"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FDE9D9" w:themeColor="accent6" w:themeTint="34" w:fill="FDE9D9"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3">
    <w:name w:val="Grid Table 5 Dark"/>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rFonts w:ascii="Arial" w:hAnsi="Arial"/>
        <w:b/>
        <w:color w:val="FFFFFF"/>
        <w:sz w:val="22"/>
      </w:rPr>
      <w:tblPr>
        <w:tblLayout w:type="fixed"/>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blLayout w:type="fixed"/>
      </w:tblPr>
      <w:tcPr>
        <w:shd w:val="clear" w:color="000000" w:themeColor="text1" w:fill="000000" w:themeFill="text1"/>
      </w:tcPr>
    </w:tblStylePr>
    <w:tblStylePr w:type="lastCol">
      <w:rPr>
        <w:rFonts w:ascii="Arial" w:hAnsi="Arial"/>
        <w:b/>
        <w:color w:val="FFFFFF"/>
        <w:sz w:val="22"/>
      </w:rPr>
      <w:tblPr>
        <w:tblLayout w:type="fixed"/>
      </w:tblPr>
      <w:tcPr>
        <w:shd w:val="clear" w:color="000000" w:themeColor="text1" w:fill="000000" w:themeFill="text1"/>
      </w:tcPr>
    </w:tblStylePr>
    <w:tblStylePr w:type="band1Vert">
      <w:tblPr>
        <w:tblLayout w:type="fixed"/>
      </w:tblPr>
      <w:tcPr>
        <w:shd w:val="clear" w:color="898989" w:themeColor="text1" w:themeTint="75" w:fill="898989" w:themeFill="text1" w:themeFillTint="75"/>
      </w:tcPr>
    </w:tblStylePr>
    <w:tblStylePr w:type="band2Vert">
      <w:tblPr>
        <w:tblLayout w:type="fixed"/>
      </w:tblPr>
    </w:tblStylePr>
    <w:tblStylePr w:type="band1Horz">
      <w:tblPr>
        <w:tblLayout w:type="fixed"/>
      </w:tblPr>
      <w:tcPr>
        <w:shd w:val="clear" w:color="898989" w:themeColor="text1" w:themeTint="75" w:fill="898989" w:themeFill="tex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4">
    <w:name w:val="Grid Table 5 Dark- Accent 1"/>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rFonts w:ascii="Arial" w:hAnsi="Arial"/>
        <w:b/>
        <w:color w:val="FFFFFF"/>
        <w:sz w:val="22"/>
      </w:rPr>
      <w:tblPr>
        <w:tblLayout w:type="fixed"/>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blLayout w:type="fixed"/>
      </w:tblPr>
      <w:tcPr>
        <w:shd w:val="clear" w:color="4F81BD" w:themeColor="accent1" w:fill="4F81BD" w:themeFill="accent1"/>
      </w:tcPr>
    </w:tblStylePr>
    <w:tblStylePr w:type="lastCol">
      <w:rPr>
        <w:rFonts w:ascii="Arial" w:hAnsi="Arial"/>
        <w:b/>
        <w:color w:val="FFFFFF"/>
        <w:sz w:val="22"/>
      </w:rPr>
      <w:tblPr>
        <w:tblLayout w:type="fixed"/>
      </w:tblPr>
      <w:tcPr>
        <w:shd w:val="clear" w:color="4F81BD" w:themeColor="accent1" w:fill="4F81BD" w:themeFill="accent1"/>
      </w:tcPr>
    </w:tblStylePr>
    <w:tblStylePr w:type="band1Vert">
      <w:tblPr>
        <w:tblLayout w:type="fixed"/>
      </w:tblPr>
      <w:tcPr>
        <w:shd w:val="clear" w:color="AEC5E0" w:themeColor="accent1" w:themeTint="75" w:fill="AEC5E0" w:themeFill="accent1" w:themeFillTint="75"/>
      </w:tcPr>
    </w:tblStylePr>
    <w:tblStylePr w:type="band2Vert">
      <w:tblPr>
        <w:tblLayout w:type="fixed"/>
      </w:tblPr>
    </w:tblStylePr>
    <w:tblStylePr w:type="band1Horz">
      <w:tblPr>
        <w:tblLayout w:type="fixed"/>
      </w:tblPr>
      <w:tcPr>
        <w:shd w:val="clear" w:color="AEC5E0" w:themeColor="accent1" w:themeTint="75" w:fill="AEC5E0" w:themeFill="accen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5">
    <w:name w:val="Grid Table 5 Dark - Accent 2"/>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C0504D" w:themeColor="accent2" w:fill="C0504D" w:themeFill="accent2"/>
      </w:tcPr>
    </w:tblStylePr>
    <w:tblStylePr w:type="lastRow">
      <w:rPr>
        <w:rFonts w:ascii="Arial" w:hAnsi="Arial"/>
        <w:b/>
        <w:color w:val="FFFFFF"/>
        <w:sz w:val="22"/>
      </w:rPr>
      <w:tblPr>
        <w:tblLayout w:type="fixed"/>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blLayout w:type="fixed"/>
      </w:tblPr>
      <w:tcPr>
        <w:shd w:val="clear" w:color="C0504D" w:themeColor="accent2" w:fill="C0504D" w:themeFill="accent2"/>
      </w:tcPr>
    </w:tblStylePr>
    <w:tblStylePr w:type="lastCol">
      <w:rPr>
        <w:rFonts w:ascii="Arial" w:hAnsi="Arial"/>
        <w:b/>
        <w:color w:val="FFFFFF"/>
        <w:sz w:val="22"/>
      </w:rPr>
      <w:tblPr>
        <w:tblLayout w:type="fixed"/>
      </w:tblPr>
      <w:tcPr>
        <w:shd w:val="clear" w:color="C0504D" w:themeColor="accent2" w:fill="C0504D" w:themeFill="accent2"/>
      </w:tcPr>
    </w:tblStylePr>
    <w:tblStylePr w:type="band1Vert">
      <w:tblPr>
        <w:tblLayout w:type="fixed"/>
      </w:tblPr>
      <w:tcPr>
        <w:shd w:val="clear" w:color="E2AEAD" w:themeColor="accent2" w:themeTint="75" w:fill="E2AEAD" w:themeFill="accent2" w:themeFillTint="75"/>
      </w:tcPr>
    </w:tblStylePr>
    <w:tblStylePr w:type="band2Vert">
      <w:tblPr>
        <w:tblLayout w:type="fixed"/>
      </w:tblPr>
    </w:tblStylePr>
    <w:tblStylePr w:type="band1Horz">
      <w:tblPr>
        <w:tblLayout w:type="fixed"/>
      </w:tblPr>
      <w:tcPr>
        <w:shd w:val="clear" w:color="E2AEAD" w:themeColor="accent2" w:themeTint="75" w:fill="E2AEAD" w:themeFill="accent2"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6">
    <w:name w:val="Grid Table 5 Dark - Accent 3"/>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9BBB59" w:themeColor="accent3" w:fill="9BBB59" w:themeFill="accent3"/>
      </w:tcPr>
    </w:tblStylePr>
    <w:tblStylePr w:type="lastRow">
      <w:rPr>
        <w:rFonts w:ascii="Arial" w:hAnsi="Arial"/>
        <w:b/>
        <w:color w:val="FFFFFF"/>
        <w:sz w:val="22"/>
      </w:rPr>
      <w:tblPr>
        <w:tblLayout w:type="fixed"/>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blLayout w:type="fixed"/>
      </w:tblPr>
      <w:tcPr>
        <w:shd w:val="clear" w:color="9BBB59" w:themeColor="accent3" w:fill="9BBB59" w:themeFill="accent3"/>
      </w:tcPr>
    </w:tblStylePr>
    <w:tblStylePr w:type="lastCol">
      <w:rPr>
        <w:rFonts w:ascii="Arial" w:hAnsi="Arial"/>
        <w:b/>
        <w:color w:val="FFFFFF"/>
        <w:sz w:val="22"/>
      </w:rPr>
      <w:tblPr>
        <w:tblLayout w:type="fixed"/>
      </w:tblPr>
      <w:tcPr>
        <w:shd w:val="clear" w:color="9BBB59" w:themeColor="accent3" w:fill="9BBB59" w:themeFill="accent3"/>
      </w:tcPr>
    </w:tblStylePr>
    <w:tblStylePr w:type="band1Vert">
      <w:tblPr>
        <w:tblLayout w:type="fixed"/>
      </w:tblPr>
      <w:tcPr>
        <w:shd w:val="clear" w:color="D1DFB2" w:themeColor="accent3" w:themeTint="75" w:fill="D1DFB2" w:themeFill="accent3" w:themeFillTint="75"/>
      </w:tcPr>
    </w:tblStylePr>
    <w:tblStylePr w:type="band2Vert">
      <w:tblPr>
        <w:tblLayout w:type="fixed"/>
      </w:tblPr>
    </w:tblStylePr>
    <w:tblStylePr w:type="band1Horz">
      <w:tblPr>
        <w:tblLayout w:type="fixed"/>
      </w:tblPr>
      <w:tcPr>
        <w:shd w:val="clear" w:color="D1DFB2" w:themeColor="accent3" w:themeTint="75" w:fill="D1DFB2" w:themeFill="accent3"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7">
    <w:name w:val="Grid Table 5 Dark- Accent 4"/>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8064A2" w:themeColor="accent4" w:fill="8064A2" w:themeFill="accent4"/>
      </w:tcPr>
    </w:tblStylePr>
    <w:tblStylePr w:type="lastRow">
      <w:rPr>
        <w:rFonts w:ascii="Arial" w:hAnsi="Arial"/>
        <w:b/>
        <w:color w:val="FFFFFF"/>
        <w:sz w:val="22"/>
      </w:rPr>
      <w:tblPr>
        <w:tblLayout w:type="fixed"/>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blLayout w:type="fixed"/>
      </w:tblPr>
      <w:tcPr>
        <w:shd w:val="clear" w:color="8064A2" w:themeColor="accent4" w:fill="8064A2" w:themeFill="accent4"/>
      </w:tcPr>
    </w:tblStylePr>
    <w:tblStylePr w:type="lastCol">
      <w:rPr>
        <w:rFonts w:ascii="Arial" w:hAnsi="Arial"/>
        <w:b/>
        <w:color w:val="FFFFFF"/>
        <w:sz w:val="22"/>
      </w:rPr>
      <w:tblPr>
        <w:tblLayout w:type="fixed"/>
      </w:tblPr>
      <w:tcPr>
        <w:shd w:val="clear" w:color="8064A2" w:themeColor="accent4" w:fill="8064A2" w:themeFill="accent4"/>
      </w:tcPr>
    </w:tblStylePr>
    <w:tblStylePr w:type="band1Vert">
      <w:tblPr>
        <w:tblLayout w:type="fixed"/>
      </w:tblPr>
      <w:tcPr>
        <w:shd w:val="clear" w:color="C4B7D4" w:themeColor="accent4" w:themeTint="75" w:fill="C4B7D4" w:themeFill="accent4" w:themeFillTint="75"/>
      </w:tcPr>
    </w:tblStylePr>
    <w:tblStylePr w:type="band2Vert">
      <w:tblPr>
        <w:tblLayout w:type="fixed"/>
      </w:tblPr>
    </w:tblStylePr>
    <w:tblStylePr w:type="band1Horz">
      <w:tblPr>
        <w:tblLayout w:type="fixed"/>
      </w:tblPr>
      <w:tcPr>
        <w:shd w:val="clear" w:color="C4B7D4" w:themeColor="accent4" w:themeTint="75" w:fill="C4B7D4" w:themeFill="accent4"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8">
    <w:name w:val="Grid Table 5 Dark - Accent 5"/>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BACC6" w:themeColor="accent5" w:fill="4BACC6" w:themeFill="accent5"/>
      </w:tcPr>
    </w:tblStylePr>
    <w:tblStylePr w:type="lastRow">
      <w:rPr>
        <w:rFonts w:ascii="Arial" w:hAnsi="Arial"/>
        <w:b/>
        <w:color w:val="FFFFFF"/>
        <w:sz w:val="22"/>
      </w:rPr>
      <w:tblPr>
        <w:tblLayout w:type="fixed"/>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blLayout w:type="fixed"/>
      </w:tblPr>
      <w:tcPr>
        <w:shd w:val="clear" w:color="4BACC6" w:themeColor="accent5" w:fill="4BACC6" w:themeFill="accent5"/>
      </w:tcPr>
    </w:tblStylePr>
    <w:tblStylePr w:type="lastCol">
      <w:rPr>
        <w:rFonts w:ascii="Arial" w:hAnsi="Arial"/>
        <w:b/>
        <w:color w:val="FFFFFF"/>
        <w:sz w:val="22"/>
      </w:rPr>
      <w:tblPr>
        <w:tblLayout w:type="fixed"/>
      </w:tblPr>
      <w:tcPr>
        <w:shd w:val="clear" w:color="4BACC6" w:themeColor="accent5" w:fill="4BACC6" w:themeFill="accent5"/>
      </w:tcPr>
    </w:tblStylePr>
    <w:tblStylePr w:type="band1Vert">
      <w:tblPr>
        <w:tblLayout w:type="fixed"/>
      </w:tblPr>
      <w:tcPr>
        <w:shd w:val="clear" w:color="ACD8E4" w:themeColor="accent5" w:themeTint="75" w:fill="ACD8E4" w:themeFill="accent5" w:themeFillTint="75"/>
      </w:tcPr>
    </w:tblStylePr>
    <w:tblStylePr w:type="band2Vert">
      <w:tblPr>
        <w:tblLayout w:type="fixed"/>
      </w:tblPr>
    </w:tblStylePr>
    <w:tblStylePr w:type="band1Horz">
      <w:tblPr>
        <w:tblLayout w:type="fixed"/>
      </w:tblPr>
      <w:tcPr>
        <w:shd w:val="clear" w:color="ACD8E4" w:themeColor="accent5" w:themeTint="75" w:fill="ACD8E4" w:themeFill="accent5"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9">
    <w:name w:val="Grid Table 5 Dark - Accent 6"/>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F79646" w:themeColor="accent6" w:fill="F79646" w:themeFill="accent6"/>
      </w:tcPr>
    </w:tblStylePr>
    <w:tblStylePr w:type="lastRow">
      <w:rPr>
        <w:rFonts w:ascii="Arial" w:hAnsi="Arial"/>
        <w:b/>
        <w:color w:val="FFFFFF"/>
        <w:sz w:val="22"/>
      </w:rPr>
      <w:tblPr>
        <w:tblLayout w:type="fixed"/>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blLayout w:type="fixed"/>
      </w:tblPr>
      <w:tcPr>
        <w:shd w:val="clear" w:color="F79646" w:themeColor="accent6" w:fill="F79646" w:themeFill="accent6"/>
      </w:tcPr>
    </w:tblStylePr>
    <w:tblStylePr w:type="lastCol">
      <w:rPr>
        <w:rFonts w:ascii="Arial" w:hAnsi="Arial"/>
        <w:b/>
        <w:color w:val="FFFFFF"/>
        <w:sz w:val="22"/>
      </w:rPr>
      <w:tblPr>
        <w:tblLayout w:type="fixed"/>
      </w:tblPr>
      <w:tcPr>
        <w:shd w:val="clear" w:color="F79646" w:themeColor="accent6" w:fill="F79646" w:themeFill="accent6"/>
      </w:tcPr>
    </w:tblStylePr>
    <w:tblStylePr w:type="band1Vert">
      <w:tblPr>
        <w:tblLayout w:type="fixed"/>
      </w:tblPr>
      <w:tcPr>
        <w:shd w:val="clear" w:color="FBCEAA" w:themeColor="accent6" w:themeTint="75" w:fill="FBCEAA" w:themeFill="accent6" w:themeFillTint="75"/>
      </w:tcPr>
    </w:tblStylePr>
    <w:tblStylePr w:type="band2Vert">
      <w:tblPr>
        <w:tblLayout w:type="fixed"/>
      </w:tblPr>
    </w:tblStylePr>
    <w:tblStylePr w:type="band1Horz">
      <w:tblPr>
        <w:tblLayout w:type="fixed"/>
      </w:tblPr>
      <w:tcPr>
        <w:shd w:val="clear" w:color="FBCEAA" w:themeColor="accent6" w:themeTint="75" w:fill="FBCEAA" w:themeFill="accent6"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0">
    <w:name w:val="Grid Table 6 Colorful"/>
    <w:basedOn w:val="4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blPr>
        <w:tblLayout w:type="fixed"/>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Layout w:type="fixed"/>
      </w:tblPr>
    </w:tblStylePr>
    <w:tblStylePr w:type="firstCol">
      <w:rPr>
        <w:b/>
        <w:color w:val="808080" w:themeColor="text1" w:themeTint="80"/>
        <w14:textFill>
          <w14:solidFill>
            <w14:schemeClr w14:val="tx1">
              <w14:lumMod w14:val="50000"/>
              <w14:lumOff w14:val="50000"/>
            </w14:schemeClr>
          </w14:solidFill>
        </w14:textFill>
      </w:rPr>
      <w:tblPr>
        <w:tblLayout w:type="fixed"/>
      </w:tblPr>
    </w:tblStylePr>
    <w:tblStylePr w:type="lastCol">
      <w:rPr>
        <w:b/>
        <w:color w:val="808080" w:themeColor="text1" w:themeTint="80"/>
        <w14:textFill>
          <w14:solidFill>
            <w14:schemeClr w14:val="tx1">
              <w14:lumMod w14:val="50000"/>
              <w14:lumOff w14:val="50000"/>
            </w14:schemeClr>
          </w14:solidFill>
        </w14:textFill>
      </w:rPr>
      <w:tblPr>
        <w:tblLayout w:type="fixed"/>
      </w:tblPr>
    </w:tblStylePr>
    <w:tblStylePr w:type="band1Vert">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1">
    <w:name w:val="Grid Table 6 Colorful - Accent 1"/>
    <w:basedOn w:val="40"/>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blPr>
        <w:tblLayout w:type="fixed"/>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Layout w:type="fixed"/>
      </w:tblPr>
    </w:tblStylePr>
    <w:tblStylePr w:type="firstCol">
      <w:rPr>
        <w:b/>
        <w:color w:val="A7C0DE" w:themeColor="accent1" w:themeTint="80"/>
        <w14:textFill>
          <w14:solidFill>
            <w14:schemeClr w14:val="accent1">
              <w14:lumMod w14:val="50000"/>
              <w14:lumOff w14:val="50000"/>
            </w14:schemeClr>
          </w14:solidFill>
        </w14:textFill>
      </w:rPr>
      <w:tblPr>
        <w:tblLayout w:type="fixed"/>
      </w:tblPr>
    </w:tblStylePr>
    <w:tblStylePr w:type="lastCol">
      <w:rPr>
        <w:b/>
        <w:color w:val="A7C0DE" w:themeColor="accent1" w:themeTint="80"/>
        <w14:textFill>
          <w14:solidFill>
            <w14:schemeClr w14:val="accent1">
              <w14:lumMod w14:val="50000"/>
              <w14:lumOff w14:val="50000"/>
            </w14:schemeClr>
          </w14:solidFill>
        </w14:textFill>
      </w:rPr>
      <w:tblPr>
        <w:tblLayout w:type="fixed"/>
      </w:tblPr>
    </w:tblStylePr>
    <w:tblStylePr w:type="band1Vert">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2">
    <w:name w:val="Grid Table 6 Colorful - Accent 2"/>
    <w:basedOn w:val="40"/>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blPr>
        <w:tblLayout w:type="fixed"/>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Layout w:type="fixed"/>
      </w:tblPr>
    </w:tblStylePr>
    <w:tblStylePr w:type="firstCol">
      <w:rPr>
        <w:b/>
        <w:color w:val="DA9896" w:themeColor="accent2" w:themeTint="96"/>
        <w14:textFill>
          <w14:solidFill>
            <w14:schemeClr w14:val="accent2">
              <w14:lumMod w14:val="59000"/>
              <w14:lumOff w14:val="41000"/>
            </w14:schemeClr>
          </w14:solidFill>
        </w14:textFill>
      </w:rPr>
      <w:tblPr>
        <w:tblLayout w:type="fixed"/>
      </w:tblPr>
    </w:tblStylePr>
    <w:tblStylePr w:type="lastCol">
      <w:rPr>
        <w:b/>
        <w:color w:val="DA9896"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3">
    <w:name w:val="Grid Table 6 Colorful - Accent 3"/>
    <w:basedOn w:val="40"/>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blPr>
        <w:tblLayout w:type="fixed"/>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Layout w:type="fixed"/>
      </w:tblPr>
    </w:tblStylePr>
    <w:tblStylePr w:type="firstCol">
      <w:rPr>
        <w:b/>
        <w:color w:val="9BBB59" w:themeColor="accent3" w:themeTint="FF"/>
        <w14:textFill>
          <w14:solidFill>
            <w14:schemeClr w14:val="accent3">
              <w14:lumMod w14:val="100000"/>
              <w14:lumOff w14:val="0"/>
            </w14:schemeClr>
          </w14:solidFill>
        </w14:textFill>
      </w:rPr>
      <w:tblPr>
        <w:tblLayout w:type="fixed"/>
      </w:tblPr>
    </w:tblStylePr>
    <w:tblStylePr w:type="lastCol">
      <w:rPr>
        <w:b/>
        <w:color w:val="9BBB59" w:themeColor="accent3" w:themeTint="FF"/>
        <w14:textFill>
          <w14:solidFill>
            <w14:schemeClr w14:val="accent3">
              <w14:lumMod w14:val="100000"/>
              <w14:lumOff w14:val="0"/>
            </w14:schemeClr>
          </w14:solidFill>
        </w14:textFill>
      </w:rPr>
      <w:tblPr>
        <w:tblLayout w:type="fixed"/>
      </w:tblPr>
    </w:tblStylePr>
    <w:tblStylePr w:type="band1Vert">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blLayout w:type="fixed"/>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4">
    <w:name w:val="Grid Table 6 Colorful - Accent 4"/>
    <w:basedOn w:val="40"/>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blPr>
        <w:tblLayout w:type="fixed"/>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Layout w:type="fixed"/>
      </w:tblPr>
    </w:tblStylePr>
    <w:tblStylePr w:type="firstCol">
      <w:rPr>
        <w:b/>
        <w:color w:val="B3A2C7" w:themeColor="accent4" w:themeTint="99"/>
        <w14:textFill>
          <w14:solidFill>
            <w14:schemeClr w14:val="accent4">
              <w14:lumMod w14:val="60000"/>
              <w14:lumOff w14:val="40000"/>
            </w14:schemeClr>
          </w14:solidFill>
        </w14:textFill>
      </w:rPr>
      <w:tblPr>
        <w:tblLayout w:type="fixed"/>
      </w:tblPr>
    </w:tblStylePr>
    <w:tblStylePr w:type="lastCol">
      <w:rPr>
        <w:b/>
        <w:color w:val="B3A2C7"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5">
    <w:name w:val="Grid Table 6 Colorful - Accent 5"/>
    <w:basedOn w:val="40"/>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blPr>
        <w:tblLayout w:type="fixed"/>
      </w:tblPr>
      <w:tcPr>
        <w:tcBorders>
          <w:bottom w:val="single" w:color="4BACC6" w:themeColor="accent5" w:sz="12" w:space="0"/>
        </w:tcBorders>
      </w:tcPr>
    </w:tblStylePr>
    <w:tblStylePr w:type="lastRow">
      <w:rPr>
        <w:b/>
        <w:color w:val="266778" w:themeColor="accent5" w:themeShade="94"/>
      </w:rPr>
      <w:tblPr>
        <w:tblLayout w:type="fixed"/>
      </w:tblPr>
    </w:tblStylePr>
    <w:tblStylePr w:type="firstCol">
      <w:rPr>
        <w:b/>
        <w:color w:val="266778" w:themeColor="accent5" w:themeShade="94"/>
      </w:rPr>
      <w:tblPr>
        <w:tblLayout w:type="fixed"/>
      </w:tblPr>
    </w:tblStylePr>
    <w:tblStylePr w:type="lastCol">
      <w:rPr>
        <w:b/>
        <w:color w:val="266778" w:themeColor="accent5" w:themeShade="94"/>
      </w:rPr>
      <w:tblPr>
        <w:tblLayout w:type="fixed"/>
      </w:tblPr>
    </w:tblStylePr>
    <w:tblStylePr w:type="band1Vert">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6">
    <w:name w:val="Grid Table 6 Colorful - Accent 6"/>
    <w:basedOn w:val="40"/>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blPr>
        <w:tblLayout w:type="fixed"/>
      </w:tblPr>
      <w:tcPr>
        <w:tcBorders>
          <w:bottom w:val="single" w:color="F79646" w:themeColor="accent6" w:sz="12" w:space="0"/>
        </w:tcBorders>
      </w:tcPr>
    </w:tblStylePr>
    <w:tblStylePr w:type="lastRow">
      <w:rPr>
        <w:b/>
        <w:color w:val="266778" w:themeColor="accent5" w:themeShade="94"/>
      </w:rPr>
      <w:tblPr>
        <w:tblLayout w:type="fixed"/>
      </w:tblPr>
    </w:tblStylePr>
    <w:tblStylePr w:type="firstCol">
      <w:rPr>
        <w:b/>
        <w:color w:val="266778" w:themeColor="accent5" w:themeShade="94"/>
      </w:rPr>
      <w:tblPr>
        <w:tblLayout w:type="fixed"/>
      </w:tblPr>
    </w:tblStylePr>
    <w:tblStylePr w:type="lastCol">
      <w:rPr>
        <w:b/>
        <w:color w:val="266778" w:themeColor="accent5" w:themeShade="94"/>
      </w:rPr>
      <w:tblPr>
        <w:tblLayout w:type="fixed"/>
      </w:tblPr>
    </w:tblStylePr>
    <w:tblStylePr w:type="band1Vert">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7">
    <w:name w:val="Grid Table 7 Colorful"/>
    <w:basedOn w:val="4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8">
    <w:name w:val="Grid Table 7 Colorful - Accent 1"/>
    <w:basedOn w:val="40"/>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blLayout w:type="fixed"/>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blLayout w:type="fixed"/>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blLayout w:type="fixed"/>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blLayout w:type="fixed"/>
      </w:tblPr>
      <w:tcPr>
        <w:tcBorders>
          <w:top w:val="nil"/>
          <w:left w:val="single" w:color="A6BFDD" w:themeColor="accent1" w:themeTint="80" w:sz="4" w:space="0"/>
          <w:bottom w:val="nil"/>
          <w:right w:val="nil"/>
        </w:tcBorders>
        <w:shd w:val="clear" w:color="FFFFFF" w:fill="auto"/>
      </w:tcPr>
    </w:tblStylePr>
    <w:tblStylePr w:type="band1Vert">
      <w:tblPr>
        <w:tblLayout w:type="fixed"/>
      </w:tblPr>
      <w:tcPr>
        <w:shd w:val="clear" w:color="DBE5F1" w:themeColor="accent1" w:themeTint="34" w:fill="DBE5F1" w:themeFill="accent1" w:themeFillTint="34"/>
      </w:tcPr>
    </w:tblStylePr>
    <w:tblStylePr w:type="band2Vert">
      <w:tblPr>
        <w:tblLayout w:type="fixed"/>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9">
    <w:name w:val="Grid Table 7 Colorful - Accent 2"/>
    <w:basedOn w:val="40"/>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blLayout w:type="fixed"/>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single" w:color="D99795" w:themeColor="accent2" w:themeTint="97" w:sz="4" w:space="0"/>
          <w:bottom w:val="nil"/>
          <w:right w:val="nil"/>
        </w:tcBorders>
        <w:shd w:val="clear" w:color="FFFFFF" w:fill="auto"/>
      </w:tcPr>
    </w:tblStylePr>
    <w:tblStylePr w:type="band1Vert">
      <w:tblPr>
        <w:tblLayout w:type="fixed"/>
      </w:tblPr>
      <w:tcPr>
        <w:shd w:val="clear" w:color="F2DCDC" w:themeColor="accent2" w:themeTint="32" w:fill="F2DCDC" w:themeFill="accent2" w:themeFillTint="32"/>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0">
    <w:name w:val="Grid Table 7 Colorful - Accent 3"/>
    <w:basedOn w:val="40"/>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blLayout w:type="fixed"/>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blLayout w:type="fixed"/>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blLayout w:type="fixed"/>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blLayout w:type="fixed"/>
      </w:tblPr>
      <w:tcPr>
        <w:tcBorders>
          <w:top w:val="nil"/>
          <w:left w:val="single" w:color="9BBB59" w:themeColor="accent3" w:themeTint="FE" w:sz="4" w:space="0"/>
          <w:bottom w:val="nil"/>
          <w:right w:val="nil"/>
        </w:tcBorders>
        <w:shd w:val="clear" w:color="FFFFFF" w:fill="auto"/>
      </w:tcPr>
    </w:tblStylePr>
    <w:tblStylePr w:type="band1Vert">
      <w:tblPr>
        <w:tblLayout w:type="fixed"/>
      </w:tblPr>
      <w:tcPr>
        <w:shd w:val="clear" w:color="EAF1DD" w:themeColor="accent3" w:themeTint="34" w:fill="EAF1DD" w:themeFill="accent3" w:themeFillTint="34"/>
      </w:tcPr>
    </w:tblStylePr>
    <w:tblStylePr w:type="band2Vert">
      <w:tblPr>
        <w:tblLayout w:type="fixed"/>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blLayout w:type="fixed"/>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1">
    <w:name w:val="Grid Table 7 Colorful - Accent 4"/>
    <w:basedOn w:val="40"/>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blLayout w:type="fixed"/>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single" w:color="B2A1C6" w:themeColor="accent4" w:themeTint="9A" w:sz="4" w:space="0"/>
          <w:bottom w:val="nil"/>
          <w:right w:val="nil"/>
        </w:tcBorders>
        <w:shd w:val="clear" w:color="FFFFFF" w:fill="auto"/>
      </w:tcPr>
    </w:tblStylePr>
    <w:tblStylePr w:type="band1Vert">
      <w:tblPr>
        <w:tblLayout w:type="fixed"/>
      </w:tblPr>
      <w:tcPr>
        <w:shd w:val="clear" w:color="E5DFEC" w:themeColor="accent4" w:themeTint="34" w:fill="E5DFEC" w:themeFill="accent4" w:themeFillTint="34"/>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2">
    <w:name w:val="Grid Table 7 Colorful - Accent 5"/>
    <w:basedOn w:val="40"/>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blPr>
        <w:tblLayout w:type="fixed"/>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blLayout w:type="fixed"/>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blLayout w:type="fixed"/>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blLayout w:type="fixed"/>
      </w:tblPr>
      <w:tcPr>
        <w:tcBorders>
          <w:top w:val="nil"/>
          <w:left w:val="single" w:color="99D0DE" w:themeColor="accent5" w:themeTint="90" w:sz="4" w:space="0"/>
          <w:bottom w:val="nil"/>
          <w:right w:val="nil"/>
        </w:tcBorders>
        <w:shd w:val="clear" w:color="FFFFFF" w:fill="auto"/>
      </w:tcPr>
    </w:tblStylePr>
    <w:tblStylePr w:type="band1Vert">
      <w:tblPr>
        <w:tblLayout w:type="fixed"/>
      </w:tblPr>
      <w:tcPr>
        <w:shd w:val="clear" w:color="DAEEF3" w:themeColor="accent5" w:themeTint="34" w:fill="DAEEF3" w:themeFill="accent5" w:themeFillTint="34"/>
      </w:tcPr>
    </w:tblStylePr>
    <w:tblStylePr w:type="band2Vert">
      <w:tblPr>
        <w:tblLayout w:type="fixed"/>
      </w:tblPr>
    </w:tblStylePr>
    <w:tblStylePr w:type="band1Horz">
      <w:rPr>
        <w:rFonts w:ascii="Arial" w:hAnsi="Arial"/>
        <w:color w:val="266778" w:themeColor="accent5" w:themeShade="94"/>
        <w:sz w:val="22"/>
      </w:rPr>
      <w:tblPr>
        <w:tblLayout w:type="fixed"/>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3">
    <w:name w:val="Grid Table 7 Colorful - Accent 6"/>
    <w:basedOn w:val="40"/>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blPr>
        <w:tblLayout w:type="fixed"/>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blLayout w:type="fixed"/>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blLayout w:type="fixed"/>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blLayout w:type="fixed"/>
      </w:tblPr>
      <w:tcPr>
        <w:tcBorders>
          <w:top w:val="nil"/>
          <w:left w:val="single" w:color="FAC396" w:themeColor="accent6" w:themeTint="90" w:sz="4" w:space="0"/>
          <w:bottom w:val="nil"/>
          <w:right w:val="nil"/>
        </w:tcBorders>
        <w:shd w:val="clear" w:color="FFFFFF" w:fill="auto"/>
      </w:tcPr>
    </w:tblStylePr>
    <w:tblStylePr w:type="band1Vert">
      <w:tblPr>
        <w:tblLayout w:type="fixed"/>
      </w:tblPr>
      <w:tcPr>
        <w:shd w:val="clear" w:color="FDE9D9" w:themeColor="accent6" w:themeTint="34" w:fill="FDE9D9" w:themeFill="accent6" w:themeFillTint="34"/>
      </w:tcPr>
    </w:tblStylePr>
    <w:tblStylePr w:type="band2Vert">
      <w:tblPr>
        <w:tblLayout w:type="fixed"/>
      </w:tblPr>
    </w:tblStylePr>
    <w:tblStylePr w:type="band1Horz">
      <w:rPr>
        <w:rFonts w:ascii="Arial" w:hAnsi="Arial"/>
        <w:color w:val="B05408" w:themeColor="accent6" w:themeShade="94"/>
        <w:sz w:val="22"/>
      </w:rPr>
      <w:tblPr>
        <w:tblLayout w:type="fixed"/>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4">
    <w:name w:val="List Table 1 Light"/>
    <w:basedOn w:val="40"/>
    <w:qFormat/>
    <w:uiPriority w:val="99"/>
    <w:pPr>
      <w:spacing w:after="0" w:line="240" w:lineRule="auto"/>
    </w:pPr>
    <w:tblPr>
      <w:tblLayout w:type="fixed"/>
    </w:tblPr>
    <w:tblStylePr w:type="firstRow">
      <w:rPr>
        <w:b/>
        <w:color w:val="404040"/>
      </w:rPr>
      <w:tblPr>
        <w:tblLayout w:type="fixed"/>
      </w:tblPr>
      <w:tcPr>
        <w:tcBorders>
          <w:top w:val="nil"/>
          <w:left w:val="nil"/>
          <w:bottom w:val="single" w:color="000000" w:themeColor="text1" w:sz="4" w:space="0"/>
          <w:right w:val="nil"/>
        </w:tcBorders>
      </w:tcPr>
    </w:tblStylePr>
    <w:tblStylePr w:type="lastRow">
      <w:rPr>
        <w:b/>
        <w:color w:val="404040"/>
      </w:rPr>
      <w:tblPr>
        <w:tblLayout w:type="fixed"/>
      </w:tblPr>
      <w:tcPr>
        <w:tcBorders>
          <w:top w:val="single" w:color="000000" w:themeColor="tex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5">
    <w:name w:val="List Table 1 Light - Accent 1"/>
    <w:basedOn w:val="40"/>
    <w:qFormat/>
    <w:uiPriority w:val="99"/>
    <w:pPr>
      <w:spacing w:after="0" w:line="240" w:lineRule="auto"/>
    </w:pPr>
    <w:tblPr>
      <w:tblLayout w:type="fixed"/>
    </w:tblPr>
    <w:tblStylePr w:type="firstRow">
      <w:rPr>
        <w:b/>
        <w:color w:val="404040"/>
      </w:rPr>
      <w:tblPr>
        <w:tblLayout w:type="fixed"/>
      </w:tblPr>
      <w:tcPr>
        <w:tcBorders>
          <w:top w:val="nil"/>
          <w:left w:val="nil"/>
          <w:bottom w:val="single" w:color="4F81BD" w:themeColor="accent1" w:sz="4" w:space="0"/>
          <w:right w:val="nil"/>
        </w:tcBorders>
      </w:tcPr>
    </w:tblStylePr>
    <w:tblStylePr w:type="lastRow">
      <w:rPr>
        <w:b/>
        <w:color w:val="404040"/>
      </w:rPr>
      <w:tblPr>
        <w:tblLayout w:type="fixed"/>
      </w:tblPr>
      <w:tcPr>
        <w:tcBorders>
          <w:top w:val="single" w:color="4F81BD" w:themeColor="accen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6">
    <w:name w:val="List Table 1 Light - Accent 2"/>
    <w:basedOn w:val="40"/>
    <w:qFormat/>
    <w:uiPriority w:val="99"/>
    <w:pPr>
      <w:spacing w:after="0" w:line="240" w:lineRule="auto"/>
    </w:pPr>
    <w:tblPr>
      <w:tblLayout w:type="fixed"/>
    </w:tblPr>
    <w:tblStylePr w:type="firstRow">
      <w:rPr>
        <w:b/>
        <w:color w:val="404040"/>
      </w:rPr>
      <w:tblPr>
        <w:tblLayout w:type="fixed"/>
      </w:tblPr>
      <w:tcPr>
        <w:tcBorders>
          <w:top w:val="nil"/>
          <w:left w:val="nil"/>
          <w:bottom w:val="single" w:color="C0504D" w:themeColor="accent2" w:sz="4" w:space="0"/>
          <w:right w:val="nil"/>
        </w:tcBorders>
      </w:tcPr>
    </w:tblStylePr>
    <w:tblStylePr w:type="lastRow">
      <w:rPr>
        <w:b/>
        <w:color w:val="404040"/>
      </w:rPr>
      <w:tblPr>
        <w:tblLayout w:type="fixed"/>
      </w:tblPr>
      <w:tcPr>
        <w:tcBorders>
          <w:top w:val="single" w:color="C0504D" w:themeColor="accent2"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7">
    <w:name w:val="List Table 1 Light - Accent 3"/>
    <w:basedOn w:val="40"/>
    <w:uiPriority w:val="99"/>
    <w:pPr>
      <w:spacing w:after="0" w:line="240" w:lineRule="auto"/>
    </w:pPr>
    <w:tblPr>
      <w:tblLayout w:type="fixed"/>
    </w:tblPr>
    <w:tblStylePr w:type="firstRow">
      <w:rPr>
        <w:b/>
        <w:color w:val="404040"/>
      </w:rPr>
      <w:tblPr>
        <w:tblLayout w:type="fixed"/>
      </w:tblPr>
      <w:tcPr>
        <w:tcBorders>
          <w:top w:val="nil"/>
          <w:left w:val="nil"/>
          <w:bottom w:val="single" w:color="9BBB59" w:themeColor="accent3" w:sz="4" w:space="0"/>
          <w:right w:val="nil"/>
        </w:tcBorders>
      </w:tcPr>
    </w:tblStylePr>
    <w:tblStylePr w:type="lastRow">
      <w:rPr>
        <w:b/>
        <w:color w:val="404040"/>
      </w:rPr>
      <w:tblPr>
        <w:tblLayout w:type="fixed"/>
      </w:tblPr>
      <w:tcPr>
        <w:tcBorders>
          <w:top w:val="single" w:color="9BBB59" w:themeColor="accent3"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8">
    <w:name w:val="List Table 1 Light - Accent 4"/>
    <w:basedOn w:val="40"/>
    <w:qFormat/>
    <w:uiPriority w:val="99"/>
    <w:pPr>
      <w:spacing w:after="0" w:line="240" w:lineRule="auto"/>
    </w:pPr>
    <w:tblPr>
      <w:tblLayout w:type="fixed"/>
    </w:tblPr>
    <w:tblStylePr w:type="firstRow">
      <w:rPr>
        <w:b/>
        <w:color w:val="404040"/>
      </w:rPr>
      <w:tblPr>
        <w:tblLayout w:type="fixed"/>
      </w:tblPr>
      <w:tcPr>
        <w:tcBorders>
          <w:top w:val="nil"/>
          <w:left w:val="nil"/>
          <w:bottom w:val="single" w:color="8064A2" w:themeColor="accent4" w:sz="4" w:space="0"/>
          <w:right w:val="nil"/>
        </w:tcBorders>
      </w:tcPr>
    </w:tblStylePr>
    <w:tblStylePr w:type="lastRow">
      <w:rPr>
        <w:b/>
        <w:color w:val="404040"/>
      </w:rPr>
      <w:tblPr>
        <w:tblLayout w:type="fixed"/>
      </w:tblPr>
      <w:tcPr>
        <w:tcBorders>
          <w:top w:val="single" w:color="8064A2" w:themeColor="accent4"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9">
    <w:name w:val="List Table 1 Light - Accent 5"/>
    <w:basedOn w:val="40"/>
    <w:uiPriority w:val="99"/>
    <w:pPr>
      <w:spacing w:after="0" w:line="240" w:lineRule="auto"/>
    </w:pPr>
    <w:tblPr>
      <w:tblLayout w:type="fixed"/>
    </w:tblPr>
    <w:tblStylePr w:type="firstRow">
      <w:rPr>
        <w:b/>
        <w:color w:val="404040"/>
      </w:rPr>
      <w:tblPr>
        <w:tblLayout w:type="fixed"/>
      </w:tblPr>
      <w:tcPr>
        <w:tcBorders>
          <w:top w:val="nil"/>
          <w:left w:val="nil"/>
          <w:bottom w:val="single" w:color="4BACC6" w:themeColor="accent5" w:sz="4" w:space="0"/>
          <w:right w:val="nil"/>
        </w:tcBorders>
      </w:tcPr>
    </w:tblStylePr>
    <w:tblStylePr w:type="lastRow">
      <w:rPr>
        <w:b/>
        <w:color w:val="404040"/>
      </w:rPr>
      <w:tblPr>
        <w:tblLayout w:type="fixed"/>
      </w:tblPr>
      <w:tcPr>
        <w:tcBorders>
          <w:top w:val="single" w:color="4BACC6" w:themeColor="accent5"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0">
    <w:name w:val="List Table 1 Light - Accent 6"/>
    <w:basedOn w:val="40"/>
    <w:uiPriority w:val="99"/>
    <w:pPr>
      <w:spacing w:after="0" w:line="240" w:lineRule="auto"/>
    </w:pPr>
    <w:tblPr>
      <w:tblLayout w:type="fixed"/>
    </w:tblPr>
    <w:tblStylePr w:type="firstRow">
      <w:rPr>
        <w:b/>
        <w:color w:val="404040"/>
      </w:rPr>
      <w:tblPr>
        <w:tblLayout w:type="fixed"/>
      </w:tblPr>
      <w:tcPr>
        <w:tcBorders>
          <w:top w:val="nil"/>
          <w:left w:val="nil"/>
          <w:bottom w:val="single" w:color="F79646" w:themeColor="accent6" w:sz="4" w:space="0"/>
          <w:right w:val="nil"/>
        </w:tcBorders>
      </w:tcPr>
    </w:tblStylePr>
    <w:tblStylePr w:type="lastRow">
      <w:rPr>
        <w:b/>
        <w:color w:val="404040"/>
      </w:rPr>
      <w:tblPr>
        <w:tblLayout w:type="fixed"/>
      </w:tblPr>
      <w:tcPr>
        <w:tcBorders>
          <w:top w:val="single" w:color="F79646" w:themeColor="accent6"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1">
    <w:name w:val="List Table 2"/>
    <w:basedOn w:val="4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2">
    <w:name w:val="List Table 2 - Accent 1"/>
    <w:basedOn w:val="40"/>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blPr>
        <w:tblLayout w:type="fixed"/>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blLayout w:type="fixed"/>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3">
    <w:name w:val="List Table 2 - Accent 2"/>
    <w:basedOn w:val="40"/>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blPr>
        <w:tblLayout w:type="fixed"/>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blLayout w:type="fixed"/>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4">
    <w:name w:val="List Table 2 - Accent 3"/>
    <w:basedOn w:val="40"/>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blPr>
        <w:tblLayout w:type="fixed"/>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blLayout w:type="fixed"/>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5">
    <w:name w:val="List Table 2 - Accent 4"/>
    <w:basedOn w:val="40"/>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blPr>
        <w:tblLayout w:type="fixed"/>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blLayout w:type="fixed"/>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6">
    <w:name w:val="List Table 2 - Accent 5"/>
    <w:basedOn w:val="40"/>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blPr>
        <w:tblLayout w:type="fixed"/>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blLayout w:type="fixed"/>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7">
    <w:name w:val="List Table 2 - Accent 6"/>
    <w:basedOn w:val="40"/>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blPr>
        <w:tblLayout w:type="fixed"/>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blLayout w:type="fixed"/>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8">
    <w:name w:val="List Table 3"/>
    <w:basedOn w:val="4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000000" w:themeColor="text1" w:sz="4" w:space="0"/>
          <w:right w:val="single" w:color="000000" w:themeColor="tex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9">
    <w:name w:val="List Table 3 - Accent 1"/>
    <w:basedOn w:val="40"/>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4F81BD" w:themeColor="accent1" w:sz="4" w:space="0"/>
          <w:right w:val="single" w:color="4F81BD" w:themeColor="accen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4F81BD" w:themeColor="accent1" w:sz="4" w:space="0"/>
          <w:bottom w:val="single" w:color="4F81BD" w:themeColor="accen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0">
    <w:name w:val="List Table 3 - Accent 2"/>
    <w:basedOn w:val="40"/>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blPr>
        <w:tblLayout w:type="fixed"/>
      </w:tblPr>
      <w:tcPr>
        <w:shd w:val="clear" w:color="D99795" w:themeColor="accent2" w:themeTint="97" w:fill="D99795" w:themeFill="accent2" w:themeFillTint="97"/>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D99795" w:themeColor="accent2" w:themeTint="97" w:sz="4" w:space="0"/>
          <w:right w:val="single" w:color="D99795" w:themeColor="accent2" w:themeTint="97"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D99795" w:themeColor="accent2" w:themeTint="97" w:sz="4" w:space="0"/>
          <w:bottom w:val="single" w:color="D99795" w:themeColor="accent2" w:themeTint="9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1">
    <w:name w:val="List Table 3 - Accent 3"/>
    <w:basedOn w:val="40"/>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blPr>
        <w:tblLayout w:type="fixed"/>
      </w:tblPr>
      <w:tcPr>
        <w:shd w:val="clear" w:color="C3D69C" w:themeColor="accent3" w:themeTint="98" w:fill="C3D69C" w:themeFill="accent3"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C3D69C" w:themeColor="accent3" w:themeTint="98" w:sz="4" w:space="0"/>
          <w:right w:val="single" w:color="C3D69C" w:themeColor="accent3"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C3D69C" w:themeColor="accent3" w:themeTint="98" w:sz="4" w:space="0"/>
          <w:bottom w:val="single" w:color="C3D69C" w:themeColor="accent3"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2">
    <w:name w:val="List Table 3 - Accent 4"/>
    <w:basedOn w:val="40"/>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blPr>
        <w:tblLayout w:type="fixed"/>
      </w:tblPr>
      <w:tcPr>
        <w:shd w:val="clear" w:color="B2A1C6" w:themeColor="accent4" w:themeTint="9A" w:fill="B2A1C6" w:themeFill="accent4"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B2A1C6" w:themeColor="accent4" w:themeTint="9A" w:sz="4" w:space="0"/>
          <w:right w:val="single" w:color="B2A1C6" w:themeColor="accent4"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B2A1C6" w:themeColor="accent4" w:themeTint="9A" w:sz="4" w:space="0"/>
          <w:bottom w:val="single" w:color="B2A1C6" w:themeColor="accent4"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3">
    <w:name w:val="List Table 3 - Accent 5"/>
    <w:basedOn w:val="40"/>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blPr>
        <w:tblLayout w:type="fixed"/>
      </w:tblPr>
      <w:tcPr>
        <w:shd w:val="clear" w:color="92CCDC" w:themeColor="accent5" w:themeTint="9A" w:fill="92CCDC" w:themeFill="accent5"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92CCDC" w:themeColor="accent5" w:themeTint="9A" w:sz="4" w:space="0"/>
          <w:right w:val="single" w:color="92CCDC" w:themeColor="accent5"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92CCDC" w:themeColor="accent5" w:themeTint="9A" w:sz="4" w:space="0"/>
          <w:bottom w:val="single" w:color="92CCDC" w:themeColor="accent5"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4">
    <w:name w:val="List Table 3 - Accent 6"/>
    <w:basedOn w:val="40"/>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blPr>
        <w:tblLayout w:type="fixed"/>
      </w:tblPr>
      <w:tcPr>
        <w:shd w:val="clear" w:color="FAC090" w:themeColor="accent6" w:themeTint="98" w:fill="FAC090" w:themeFill="accent6"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AC090" w:themeColor="accent6" w:themeTint="98" w:sz="4" w:space="0"/>
          <w:right w:val="single" w:color="FAC090" w:themeColor="accent6"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AC090" w:themeColor="accent6" w:themeTint="98" w:sz="4" w:space="0"/>
          <w:bottom w:val="single" w:color="FAC090" w:themeColor="accent6"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5">
    <w:name w:val="List Table 4"/>
    <w:basedOn w:val="4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6">
    <w:name w:val="List Table 4 - Accent 1"/>
    <w:basedOn w:val="40"/>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blPr>
        <w:tblLayout w:type="fixed"/>
      </w:tblPr>
      <w:tcPr>
        <w:shd w:val="clear" w:color="4F81BD" w:themeColor="accent1" w:fill="4F81BD"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2DFEE" w:themeColor="accent1" w:themeTint="40" w:fill="D2DFEE"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7">
    <w:name w:val="List Table 4 - Accent 2"/>
    <w:basedOn w:val="40"/>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blPr>
        <w:tblLayout w:type="fixed"/>
      </w:tblPr>
      <w:tcPr>
        <w:shd w:val="clear" w:color="C0504D" w:themeColor="accent2" w:fill="C0504D" w:themeFill="accent2"/>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EFD3D2" w:themeColor="accent2" w:themeTint="40" w:fill="EFD3D2"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8">
    <w:name w:val="List Table 4 - Accent 3"/>
    <w:basedOn w:val="40"/>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blPr>
        <w:tblLayout w:type="fixed"/>
      </w:tblPr>
      <w:tcPr>
        <w:shd w:val="clear" w:color="9BBB59" w:themeColor="accent3" w:fill="9BBB59" w:themeFill="accent3"/>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5EDD5" w:themeColor="accent3" w:themeTint="40" w:fill="E5EDD5"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9">
    <w:name w:val="List Table 4 - Accent 4"/>
    <w:basedOn w:val="40"/>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blPr>
        <w:tblLayout w:type="fixed"/>
      </w:tblPr>
      <w:tcPr>
        <w:shd w:val="clear" w:color="8064A2" w:themeColor="accent4" w:fill="8064A2" w:themeFill="accent4"/>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DFD8E7" w:themeColor="accent4" w:themeTint="40" w:fill="DFD8E7"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0">
    <w:name w:val="List Table 4 - Accent 5"/>
    <w:basedOn w:val="40"/>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blPr>
        <w:tblLayout w:type="fixed"/>
      </w:tblPr>
      <w:tcPr>
        <w:shd w:val="clear" w:color="4BACC6" w:themeColor="accent5" w:fill="4BACC6" w:themeFill="accent5"/>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1EAF0" w:themeColor="accent5" w:themeTint="40" w:fill="D1EA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1">
    <w:name w:val="List Table 4 - Accent 6"/>
    <w:basedOn w:val="40"/>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blPr>
        <w:tblLayout w:type="fixed"/>
      </w:tblPr>
      <w:tcPr>
        <w:shd w:val="clear" w:color="F79646" w:themeColor="accent6" w:fill="F79646" w:themeFill="accent6"/>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FCE4D0" w:themeColor="accent6" w:themeTint="40" w:fill="FCE4D0"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2">
    <w:name w:val="List Table 5 Dark"/>
    <w:basedOn w:val="40"/>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7E7E7E" w:themeColor="text1" w:themeTint="80" w:sz="32" w:space="0"/>
          <w:right w:val="single" w:color="FFFFFF" w:themeColor="light1" w:sz="4" w:space="0"/>
        </w:tcBorders>
      </w:tcPr>
    </w:tblStylePr>
    <w:tblStylePr w:type="lastCol">
      <w:tblPr>
        <w:tblLayout w:type="fixed"/>
      </w:tblPr>
      <w:tcPr>
        <w:tcBorders>
          <w:left w:val="single" w:color="FFFFFF" w:themeColor="light1" w:sz="4" w:space="0"/>
          <w:right w:val="single" w:color="7E7E7E" w:themeColor="text1" w:themeTint="80" w:sz="32" w:space="0"/>
        </w:tcBorders>
      </w:tcPr>
    </w:tblStylePr>
    <w:tblStylePr w:type="band1Vert">
      <w:tblPr>
        <w:tblLayout w:type="fixed"/>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3">
    <w:name w:val="List Table 5 Dark - Accent 1"/>
    <w:basedOn w:val="40"/>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4F81BD" w:themeColor="accent1" w:sz="32" w:space="0"/>
          <w:right w:val="single" w:color="FFFFFF" w:themeColor="light1" w:sz="4" w:space="0"/>
        </w:tcBorders>
      </w:tcPr>
    </w:tblStylePr>
    <w:tblStylePr w:type="lastCol">
      <w:tblPr>
        <w:tblLayout w:type="fixed"/>
      </w:tblPr>
      <w:tcPr>
        <w:tcBorders>
          <w:left w:val="single" w:color="FFFFFF" w:themeColor="light1" w:sz="4" w:space="0"/>
          <w:right w:val="single" w:color="4F81BD" w:themeColor="accent1" w:sz="32" w:space="0"/>
        </w:tcBorders>
      </w:tcPr>
    </w:tblStylePr>
    <w:tblStylePr w:type="band1Vert">
      <w:tblPr>
        <w:tblLayout w:type="fixed"/>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blLayout w:type="fixed"/>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4">
    <w:name w:val="List Table 5 Dark - Accent 2"/>
    <w:basedOn w:val="40"/>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D99795" w:themeColor="accent2" w:themeTint="97" w:sz="32" w:space="0"/>
          <w:right w:val="single" w:color="FFFFFF" w:themeColor="light1" w:sz="4" w:space="0"/>
        </w:tcBorders>
      </w:tcPr>
    </w:tblStylePr>
    <w:tblStylePr w:type="lastCol">
      <w:tblPr>
        <w:tblLayout w:type="fixed"/>
      </w:tblPr>
      <w:tcPr>
        <w:tcBorders>
          <w:left w:val="single" w:color="FFFFFF" w:themeColor="light1" w:sz="4" w:space="0"/>
          <w:right w:val="single" w:color="D99795" w:themeColor="accent2" w:themeTint="97" w:sz="32" w:space="0"/>
        </w:tcBorders>
      </w:tcPr>
    </w:tblStylePr>
    <w:tblStylePr w:type="band1Vert">
      <w:tblPr>
        <w:tblLayout w:type="fixed"/>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blLayout w:type="fixed"/>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5">
    <w:name w:val="List Table 5 Dark - Accent 3"/>
    <w:basedOn w:val="40"/>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C3D69C" w:themeColor="accent3"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C3D69C" w:themeColor="accent3"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blLayout w:type="fixed"/>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6">
    <w:name w:val="List Table 5 Dark - Accent 4"/>
    <w:basedOn w:val="40"/>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B2A1C6" w:themeColor="accent4"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B2A1C6" w:themeColor="accent4"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blLayout w:type="fixed"/>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7">
    <w:name w:val="List Table 5 Dark - Accent 5"/>
    <w:basedOn w:val="40"/>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92CCDC" w:themeColor="accent5"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92CCDC" w:themeColor="accent5"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blLayout w:type="fixed"/>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8">
    <w:name w:val="List Table 5 Dark - Accent 6"/>
    <w:basedOn w:val="40"/>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AC090" w:themeColor="accent6"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FAC090" w:themeColor="accent6"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blLayout w:type="fixed"/>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9">
    <w:name w:val="List Table 6 Colorful"/>
    <w:basedOn w:val="40"/>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blPr>
        <w:tblLayout w:type="fixed"/>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blLayout w:type="fixed"/>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Layout w:type="fixed"/>
      </w:tblPr>
    </w:tblStylePr>
    <w:tblStylePr w:type="lastCol">
      <w:rPr>
        <w:b/>
        <w:color w:val="000000" w:themeColor="text1"/>
        <w14:textFill>
          <w14:solidFill>
            <w14:schemeClr w14:val="tx1"/>
          </w14:solidFill>
        </w14:textFill>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000000" w:themeColor="text1"/>
        <w:sz w:val="22"/>
        <w14:textFill>
          <w14:solidFill>
            <w14:schemeClr w14:val="tx1"/>
          </w14:solidFill>
        </w14:textFill>
      </w:rPr>
      <w:tblPr>
        <w:tblLayout w:type="fixed"/>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0">
    <w:name w:val="List Table 6 Colorful - Accent 1"/>
    <w:basedOn w:val="40"/>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blPr>
        <w:tblLayout w:type="fixed"/>
      </w:tblPr>
      <w:tcPr>
        <w:tcBorders>
          <w:bottom w:val="single" w:color="4F81BD" w:themeColor="accent1" w:sz="4" w:space="0"/>
        </w:tcBorders>
      </w:tcPr>
    </w:tblStylePr>
    <w:tblStylePr w:type="lastRow">
      <w:rPr>
        <w:b/>
        <w:color w:val="2A4B71" w:themeColor="accent1" w:themeShade="94"/>
      </w:rPr>
      <w:tblPr>
        <w:tblLayout w:type="fixed"/>
      </w:tblPr>
      <w:tcPr>
        <w:tcBorders>
          <w:top w:val="single" w:color="4F81BD" w:themeColor="accent1" w:sz="4" w:space="0"/>
        </w:tcBorders>
      </w:tcPr>
    </w:tblStylePr>
    <w:tblStylePr w:type="firstCol">
      <w:rPr>
        <w:b/>
        <w:color w:val="2A4B71" w:themeColor="accent1" w:themeShade="94"/>
      </w:rPr>
      <w:tblPr>
        <w:tblLayout w:type="fixed"/>
      </w:tblPr>
    </w:tblStylePr>
    <w:tblStylePr w:type="lastCol">
      <w:rPr>
        <w:b/>
        <w:color w:val="2A4B71" w:themeColor="accent1" w:themeShade="94"/>
      </w:rPr>
      <w:tblPr>
        <w:tblLayout w:type="fixed"/>
      </w:tbl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2A4B71" w:themeColor="accent1" w:themeShade="94"/>
        <w:sz w:val="22"/>
      </w:rPr>
      <w:tblPr>
        <w:tblLayout w:type="fixed"/>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1">
    <w:name w:val="List Table 6 Colorful - Accent 2"/>
    <w:basedOn w:val="40"/>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blPr>
        <w:tblLayout w:type="fixed"/>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blLayout w:type="fixed"/>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Layout w:type="fixed"/>
      </w:tblPr>
    </w:tblStylePr>
    <w:tblStylePr w:type="lastCol">
      <w:rPr>
        <w:b/>
        <w:color w:val="DA9896"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2">
    <w:name w:val="List Table 6 Colorful - Accent 3"/>
    <w:basedOn w:val="40"/>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blPr>
        <w:tblLayout w:type="fixed"/>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blLayout w:type="fixed"/>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Layout w:type="fixed"/>
      </w:tblPr>
    </w:tblStylePr>
    <w:tblStylePr w:type="lastCol">
      <w:rPr>
        <w:b/>
        <w:color w:val="C3D69B" w:themeColor="accent3" w:themeTint="99"/>
        <w14:textFill>
          <w14:solidFill>
            <w14:schemeClr w14:val="accent3">
              <w14:lumMod w14:val="60000"/>
              <w14:lumOff w14:val="40000"/>
            </w14:schemeClr>
          </w14:solidFill>
        </w14:textFill>
      </w:rPr>
      <w:tblPr>
        <w:tblLayout w:type="fixed"/>
      </w:tbl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3">
    <w:name w:val="List Table 6 Colorful - Accent 4"/>
    <w:basedOn w:val="40"/>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blPr>
        <w:tblLayout w:type="fixed"/>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blLayout w:type="fixed"/>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Layout w:type="fixed"/>
      </w:tblPr>
    </w:tblStylePr>
    <w:tblStylePr w:type="lastCol">
      <w:rPr>
        <w:b/>
        <w:color w:val="B3A2C7"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4">
    <w:name w:val="List Table 6 Colorful - Accent 5"/>
    <w:basedOn w:val="40"/>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blPr>
        <w:tblLayout w:type="fixed"/>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blLayout w:type="fixed"/>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Layout w:type="fixed"/>
      </w:tblPr>
    </w:tblStylePr>
    <w:tblStylePr w:type="lastCol">
      <w:rPr>
        <w:b/>
        <w:color w:val="93CDDD" w:themeColor="accent5" w:themeTint="99"/>
        <w14:textFill>
          <w14:solidFill>
            <w14:schemeClr w14:val="accent5">
              <w14:lumMod w14:val="60000"/>
              <w14:lumOff w14:val="40000"/>
            </w14:schemeClr>
          </w14:solidFill>
        </w14:textFill>
      </w:rPr>
      <w:tblPr>
        <w:tblLayout w:type="fixed"/>
      </w:tbl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5">
    <w:name w:val="List Table 6 Colorful - Accent 6"/>
    <w:basedOn w:val="40"/>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blPr>
        <w:tblLayout w:type="fixed"/>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blLayout w:type="fixed"/>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Layout w:type="fixed"/>
      </w:tblPr>
    </w:tblStylePr>
    <w:tblStylePr w:type="lastCol">
      <w:rPr>
        <w:b/>
        <w:color w:val="FAC090" w:themeColor="accent6" w:themeTint="99"/>
        <w14:textFill>
          <w14:solidFill>
            <w14:schemeClr w14:val="accent6">
              <w14:lumMod w14:val="60000"/>
              <w14:lumOff w14:val="40000"/>
            </w14:schemeClr>
          </w14:solidFill>
        </w14:textFill>
      </w:rPr>
      <w:tblPr>
        <w:tblLayout w:type="fixed"/>
      </w:tbl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6">
    <w:name w:val="List Table 7 Colorful"/>
    <w:basedOn w:val="40"/>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7">
    <w:name w:val="List Table 7 Colorful - Accent 1"/>
    <w:basedOn w:val="40"/>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blPr>
        <w:tblLayout w:type="fixed"/>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blLayout w:type="fixed"/>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blLayout w:type="fixed"/>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blLayout w:type="fixed"/>
      </w:tblPr>
      <w:tcPr>
        <w:tcBorders>
          <w:top w:val="nil"/>
          <w:left w:val="single" w:color="4F81BD" w:themeColor="accent1" w:sz="4" w:space="0"/>
          <w:bottom w:val="nil"/>
          <w:right w:val="nil"/>
        </w:tcBorders>
        <w:shd w:val="clear" w:color="FFFFFF" w:fill="auto"/>
      </w:tcPr>
    </w:tblStylePr>
    <w:tblStylePr w:type="band1Vert">
      <w:tblPr>
        <w:tblLayout w:type="fixed"/>
      </w:tblPr>
      <w:tcPr>
        <w:shd w:val="clear" w:color="D2DFEE" w:themeColor="accent1" w:themeTint="40" w:fill="D2DFEE" w:themeFill="accent1" w:themeFillTint="40"/>
      </w:tcPr>
    </w:tblStylePr>
    <w:tblStylePr w:type="band2Vert">
      <w:tblPr>
        <w:tblLayout w:type="fixed"/>
      </w:tblPr>
    </w:tblStylePr>
    <w:tblStylePr w:type="band1Horz">
      <w:rPr>
        <w:rFonts w:ascii="Arial" w:hAnsi="Arial"/>
        <w:color w:val="2A4B71" w:themeColor="accent1" w:themeShade="94"/>
        <w:sz w:val="22"/>
      </w:rPr>
      <w:tblPr>
        <w:tblLayout w:type="fixed"/>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8">
    <w:name w:val="List Table 7 Colorful - Accent 2"/>
    <w:basedOn w:val="40"/>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blLayout w:type="fixed"/>
      </w:tblPr>
      <w:tcPr>
        <w:tcBorders>
          <w:top w:val="nil"/>
          <w:left w:val="single" w:color="D99795" w:themeColor="accent2" w:themeTint="97" w:sz="4" w:space="0"/>
          <w:bottom w:val="nil"/>
          <w:right w:val="nil"/>
        </w:tcBorders>
        <w:shd w:val="clear" w:color="FFFFFF" w:fill="auto"/>
      </w:tcPr>
    </w:tblStylePr>
    <w:tblStylePr w:type="band1Vert">
      <w:tblPr>
        <w:tblLayout w:type="fixed"/>
      </w:tblPr>
      <w:tcPr>
        <w:shd w:val="clear" w:color="EFD3D2" w:themeColor="accent2" w:themeTint="40" w:fill="EFD3D2" w:themeFill="accent2" w:themeFillTint="40"/>
      </w:tcPr>
    </w:tblStylePr>
    <w:tblStylePr w:type="band2Vert">
      <w:tblPr>
        <w:tblLayout w:type="fixed"/>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9">
    <w:name w:val="List Table 7 Colorful - Accent 3"/>
    <w:basedOn w:val="40"/>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blLayout w:type="fixed"/>
      </w:tblPr>
      <w:tcPr>
        <w:tcBorders>
          <w:top w:val="nil"/>
          <w:left w:val="single" w:color="C3D69C" w:themeColor="accent3" w:themeTint="98" w:sz="4" w:space="0"/>
          <w:bottom w:val="nil"/>
          <w:right w:val="nil"/>
        </w:tcBorders>
        <w:shd w:val="clear" w:color="FFFFFF" w:fill="auto"/>
      </w:tcPr>
    </w:tblStylePr>
    <w:tblStylePr w:type="band1Vert">
      <w:tblPr>
        <w:tblLayout w:type="fixed"/>
      </w:tblPr>
      <w:tcPr>
        <w:shd w:val="clear" w:color="E5EDD5" w:themeColor="accent3" w:themeTint="40" w:fill="E5EDD5" w:themeFill="accent3" w:themeFillTint="40"/>
      </w:tcPr>
    </w:tblStylePr>
    <w:tblStylePr w:type="band2Vert">
      <w:tblPr>
        <w:tblLayout w:type="fixed"/>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0">
    <w:name w:val="List Table 7 Colorful - Accent 4"/>
    <w:basedOn w:val="40"/>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blLayout w:type="fixed"/>
      </w:tblPr>
      <w:tcPr>
        <w:tcBorders>
          <w:top w:val="nil"/>
          <w:left w:val="single" w:color="B2A1C6" w:themeColor="accent4" w:themeTint="9A" w:sz="4" w:space="0"/>
          <w:bottom w:val="nil"/>
          <w:right w:val="nil"/>
        </w:tcBorders>
        <w:shd w:val="clear" w:color="FFFFFF" w:fill="auto"/>
      </w:tcPr>
    </w:tblStylePr>
    <w:tblStylePr w:type="band1Vert">
      <w:tblPr>
        <w:tblLayout w:type="fixed"/>
      </w:tblPr>
      <w:tcPr>
        <w:shd w:val="clear" w:color="DFD8E7" w:themeColor="accent4" w:themeTint="40" w:fill="DFD8E7" w:themeFill="accent4" w:themeFillTint="40"/>
      </w:tcPr>
    </w:tblStylePr>
    <w:tblStylePr w:type="band2Vert">
      <w:tblPr>
        <w:tblLayout w:type="fixed"/>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1">
    <w:name w:val="List Table 7 Colorful - Accent 5"/>
    <w:basedOn w:val="40"/>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blLayout w:type="fixed"/>
      </w:tblPr>
      <w:tcPr>
        <w:tcBorders>
          <w:top w:val="nil"/>
          <w:left w:val="single" w:color="92CCDC" w:themeColor="accent5" w:themeTint="9A" w:sz="4" w:space="0"/>
          <w:bottom w:val="nil"/>
          <w:right w:val="nil"/>
        </w:tcBorders>
        <w:shd w:val="clear" w:color="FFFFFF" w:fill="auto"/>
      </w:tcPr>
    </w:tblStylePr>
    <w:tblStylePr w:type="band1Vert">
      <w:tblPr>
        <w:tblLayout w:type="fixed"/>
      </w:tblPr>
      <w:tcPr>
        <w:shd w:val="clear" w:color="D1EAF0" w:themeColor="accent5" w:themeTint="40" w:fill="D1EAF0" w:themeFill="accent5" w:themeFillTint="40"/>
      </w:tcPr>
    </w:tblStylePr>
    <w:tblStylePr w:type="band2Vert">
      <w:tblPr>
        <w:tblLayout w:type="fixed"/>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2">
    <w:name w:val="List Table 7 Colorful - Accent 6"/>
    <w:basedOn w:val="40"/>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blLayout w:type="fixed"/>
      </w:tblPr>
      <w:tcPr>
        <w:tcBorders>
          <w:top w:val="nil"/>
          <w:left w:val="single" w:color="FAC090" w:themeColor="accent6" w:themeTint="98" w:sz="4" w:space="0"/>
          <w:bottom w:val="nil"/>
          <w:right w:val="nil"/>
        </w:tcBorders>
        <w:shd w:val="clear" w:color="FFFFFF" w:fill="auto"/>
      </w:tcPr>
    </w:tblStylePr>
    <w:tblStylePr w:type="band1Vert">
      <w:tblPr>
        <w:tblLayout w:type="fixed"/>
      </w:tblPr>
      <w:tcPr>
        <w:shd w:val="clear" w:color="FCE4D0" w:themeColor="accent6" w:themeTint="40" w:fill="FCE4D0" w:themeFill="accent6" w:themeFillTint="40"/>
      </w:tcPr>
    </w:tblStylePr>
    <w:tblStylePr w:type="band2Vert">
      <w:tblPr>
        <w:tblLayout w:type="fixed"/>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3">
    <w:name w:val="Lined - Accent"/>
    <w:basedOn w:val="40"/>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4">
    <w:name w:val="Lined - Accent 1"/>
    <w:basedOn w:val="40"/>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5D8BC2" w:themeColor="accent1" w:themeTint="EA" w:fill="5D8BC2" w:themeFill="accent1" w:themeFillTint="EA"/>
      </w:tcPr>
    </w:tblStylePr>
    <w:tblStylePr w:type="lastRow">
      <w:rPr>
        <w:rFonts w:ascii="Arial" w:hAnsi="Arial"/>
        <w:color w:val="F2F2F2"/>
        <w:sz w:val="22"/>
      </w:rPr>
      <w:tblPr>
        <w:tblLayout w:type="fixed"/>
      </w:tblPr>
      <w:tcPr>
        <w:shd w:val="clear" w:color="5D8BC2" w:themeColor="accent1" w:themeTint="EA" w:fill="5D8BC2" w:themeFill="accent1" w:themeFillTint="EA"/>
      </w:tcPr>
    </w:tblStylePr>
    <w:tblStylePr w:type="firstCol">
      <w:rPr>
        <w:rFonts w:ascii="Arial" w:hAnsi="Arial"/>
        <w:color w:val="F2F2F2"/>
        <w:sz w:val="22"/>
      </w:rPr>
      <w:tblPr>
        <w:tblLayout w:type="fixed"/>
      </w:tblPr>
      <w:tcPr>
        <w:shd w:val="clear" w:color="5D8BC2" w:themeColor="accent1" w:themeTint="EA" w:fill="5D8BC2" w:themeFill="accent1" w:themeFillTint="EA"/>
      </w:tcPr>
    </w:tblStylePr>
    <w:tblStylePr w:type="lastCol">
      <w:rPr>
        <w:rFonts w:ascii="Arial" w:hAnsi="Arial"/>
        <w:color w:val="F2F2F2"/>
        <w:sz w:val="22"/>
      </w:rPr>
      <w:tblPr>
        <w:tblLayout w:type="fixed"/>
      </w:tblPr>
      <w:tcPr>
        <w:shd w:val="clear" w:color="5D8BC2" w:themeColor="accent1" w:themeTint="EA" w:fill="5D8BC2"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7D7EA" w:themeColor="accent1" w:themeTint="50" w:fill="C7D7EA"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7D7EA" w:themeColor="accent1" w:themeTint="50" w:fill="C7D7EA"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5">
    <w:name w:val="Lined - Accent 2"/>
    <w:basedOn w:val="40"/>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D99795" w:themeColor="accent2" w:themeTint="97" w:fill="D99795" w:themeFill="accent2" w:themeFillTint="97"/>
      </w:tcPr>
    </w:tblStylePr>
    <w:tblStylePr w:type="lastRow">
      <w:rPr>
        <w:rFonts w:ascii="Arial" w:hAnsi="Arial"/>
        <w:color w:val="F2F2F2"/>
        <w:sz w:val="22"/>
      </w:rPr>
      <w:tblPr>
        <w:tblLayout w:type="fixed"/>
      </w:tblPr>
      <w:tcPr>
        <w:shd w:val="clear" w:color="D99795" w:themeColor="accent2" w:themeTint="97" w:fill="D99795" w:themeFill="accent2" w:themeFillTint="97"/>
      </w:tcPr>
    </w:tblStylePr>
    <w:tblStylePr w:type="firstCol">
      <w:rPr>
        <w:rFonts w:ascii="Arial" w:hAnsi="Arial"/>
        <w:color w:val="F2F2F2"/>
        <w:sz w:val="22"/>
      </w:rPr>
      <w:tblPr>
        <w:tblLayout w:type="fixed"/>
      </w:tblPr>
      <w:tcPr>
        <w:shd w:val="clear" w:color="D99795" w:themeColor="accent2" w:themeTint="97" w:fill="D99795" w:themeFill="accent2" w:themeFillTint="97"/>
      </w:tcPr>
    </w:tblStylePr>
    <w:tblStylePr w:type="lastCol">
      <w:rPr>
        <w:rFonts w:ascii="Arial" w:hAnsi="Arial"/>
        <w:color w:val="F2F2F2"/>
        <w:sz w:val="22"/>
      </w:rPr>
      <w:tblPr>
        <w:tblLayout w:type="fixed"/>
      </w:tblPr>
      <w:tcPr>
        <w:shd w:val="clear" w:color="D99795" w:themeColor="accent2" w:themeTint="97" w:fill="D9979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2DCDC" w:themeColor="accent2" w:themeTint="32" w:fill="F2DCDC"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2DCDC" w:themeColor="accent2" w:themeTint="32" w:fill="F2DCDC"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6">
    <w:name w:val="Lined - Accent 3"/>
    <w:basedOn w:val="40"/>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9BBB59" w:themeColor="accent3" w:themeTint="FE" w:fill="9BBB59" w:themeFill="accent3" w:themeFillTint="FE"/>
      </w:tcPr>
    </w:tblStylePr>
    <w:tblStylePr w:type="lastRow">
      <w:rPr>
        <w:rFonts w:ascii="Arial" w:hAnsi="Arial"/>
        <w:color w:val="F2F2F2"/>
        <w:sz w:val="22"/>
      </w:rPr>
      <w:tblPr>
        <w:tblLayout w:type="fixed"/>
      </w:tblPr>
      <w:tcPr>
        <w:shd w:val="clear" w:color="9BBB59" w:themeColor="accent3" w:themeTint="FE" w:fill="9BBB59" w:themeFill="accent3" w:themeFillTint="FE"/>
      </w:tcPr>
    </w:tblStylePr>
    <w:tblStylePr w:type="firstCol">
      <w:rPr>
        <w:rFonts w:ascii="Arial" w:hAnsi="Arial"/>
        <w:color w:val="F2F2F2"/>
        <w:sz w:val="22"/>
      </w:rPr>
      <w:tblPr>
        <w:tblLayout w:type="fixed"/>
      </w:tblPr>
      <w:tcPr>
        <w:shd w:val="clear" w:color="9BBB59" w:themeColor="accent3" w:themeTint="FE" w:fill="9BBB59" w:themeFill="accent3" w:themeFillTint="FE"/>
      </w:tcPr>
    </w:tblStylePr>
    <w:tblStylePr w:type="lastCol">
      <w:rPr>
        <w:rFonts w:ascii="Arial" w:hAnsi="Arial"/>
        <w:color w:val="F2F2F2"/>
        <w:sz w:val="22"/>
      </w:rPr>
      <w:tblPr>
        <w:tblLayout w:type="fixed"/>
      </w:tblPr>
      <w:tcPr>
        <w:shd w:val="clear" w:color="9BBB59" w:themeColor="accent3" w:themeTint="FE" w:fill="9BBB59"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AF1DD" w:themeColor="accent3" w:themeTint="34" w:fill="EAF1DD"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AF1DD" w:themeColor="accent3" w:themeTint="34" w:fill="EAF1DD"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7">
    <w:name w:val="Lined - Accent 4"/>
    <w:basedOn w:val="40"/>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B2A1C6" w:themeColor="accent4" w:themeTint="9A" w:fill="B2A1C6" w:themeFill="accent4" w:themeFillTint="9A"/>
      </w:tcPr>
    </w:tblStylePr>
    <w:tblStylePr w:type="lastRow">
      <w:rPr>
        <w:rFonts w:ascii="Arial" w:hAnsi="Arial"/>
        <w:color w:val="F2F2F2"/>
        <w:sz w:val="22"/>
      </w:rPr>
      <w:tblPr>
        <w:tblLayout w:type="fixed"/>
      </w:tblPr>
      <w:tcPr>
        <w:shd w:val="clear" w:color="B2A1C6" w:themeColor="accent4" w:themeTint="9A" w:fill="B2A1C6" w:themeFill="accent4" w:themeFillTint="9A"/>
      </w:tcPr>
    </w:tblStylePr>
    <w:tblStylePr w:type="firstCol">
      <w:rPr>
        <w:rFonts w:ascii="Arial" w:hAnsi="Arial"/>
        <w:color w:val="F2F2F2"/>
        <w:sz w:val="22"/>
      </w:rPr>
      <w:tblPr>
        <w:tblLayout w:type="fixed"/>
      </w:tblPr>
      <w:tcPr>
        <w:shd w:val="clear" w:color="B2A1C6" w:themeColor="accent4" w:themeTint="9A" w:fill="B2A1C6" w:themeFill="accent4" w:themeFillTint="9A"/>
      </w:tcPr>
    </w:tblStylePr>
    <w:tblStylePr w:type="lastCol">
      <w:rPr>
        <w:rFonts w:ascii="Arial" w:hAnsi="Arial"/>
        <w:color w:val="F2F2F2"/>
        <w:sz w:val="22"/>
      </w:rPr>
      <w:tblPr>
        <w:tblLayout w:type="fixed"/>
      </w:tblPr>
      <w:tcPr>
        <w:shd w:val="clear" w:color="B2A1C6" w:themeColor="accent4" w:themeTint="9A" w:fill="B2A1C6"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5DFEC" w:themeColor="accent4" w:themeTint="34" w:fill="E5DFEC"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5DFEC" w:themeColor="accent4" w:themeTint="34" w:fill="E5DFEC"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8">
    <w:name w:val="Lined - Accent 5"/>
    <w:basedOn w:val="40"/>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4BACC6" w:themeColor="accent5" w:fill="4BACC6" w:themeFill="accent5"/>
      </w:tcPr>
    </w:tblStylePr>
    <w:tblStylePr w:type="lastRow">
      <w:rPr>
        <w:rFonts w:ascii="Arial" w:hAnsi="Arial"/>
        <w:color w:val="F2F2F2"/>
        <w:sz w:val="22"/>
      </w:rPr>
      <w:tblPr>
        <w:tblLayout w:type="fixed"/>
      </w:tblPr>
      <w:tcPr>
        <w:shd w:val="clear" w:color="4BACC6" w:themeColor="accent5" w:fill="4BACC6" w:themeFill="accent5"/>
      </w:tcPr>
    </w:tblStylePr>
    <w:tblStylePr w:type="firstCol">
      <w:rPr>
        <w:rFonts w:ascii="Arial" w:hAnsi="Arial"/>
        <w:color w:val="F2F2F2"/>
        <w:sz w:val="22"/>
      </w:rPr>
      <w:tblPr>
        <w:tblLayout w:type="fixed"/>
      </w:tblPr>
      <w:tcPr>
        <w:shd w:val="clear" w:color="4BACC6" w:themeColor="accent5" w:fill="4BACC6" w:themeFill="accent5"/>
      </w:tcPr>
    </w:tblStylePr>
    <w:tblStylePr w:type="lastCol">
      <w:rPr>
        <w:rFonts w:ascii="Arial" w:hAnsi="Arial"/>
        <w:color w:val="F2F2F2"/>
        <w:sz w:val="22"/>
      </w:rPr>
      <w:tblPr>
        <w:tblLayout w:type="fixed"/>
      </w:tblPr>
      <w:tcPr>
        <w:shd w:val="clear" w:color="4BACC6" w:themeColor="accent5" w:fill="4BACC6"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AEEF3" w:themeColor="accent5" w:themeTint="34" w:fill="DAEEF3"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AEEF3" w:themeColor="accent5" w:themeTint="34" w:fill="DAEEF3"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9">
    <w:name w:val="Lined - Accent 6"/>
    <w:basedOn w:val="40"/>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79646" w:themeColor="accent6" w:fill="F79646" w:themeFill="accent6"/>
      </w:tcPr>
    </w:tblStylePr>
    <w:tblStylePr w:type="lastRow">
      <w:rPr>
        <w:rFonts w:ascii="Arial" w:hAnsi="Arial"/>
        <w:color w:val="F2F2F2"/>
        <w:sz w:val="22"/>
      </w:rPr>
      <w:tblPr>
        <w:tblLayout w:type="fixed"/>
      </w:tblPr>
      <w:tcPr>
        <w:shd w:val="clear" w:color="F79646" w:themeColor="accent6" w:fill="F79646" w:themeFill="accent6"/>
      </w:tcPr>
    </w:tblStylePr>
    <w:tblStylePr w:type="firstCol">
      <w:rPr>
        <w:rFonts w:ascii="Arial" w:hAnsi="Arial"/>
        <w:color w:val="F2F2F2"/>
        <w:sz w:val="22"/>
      </w:rPr>
      <w:tblPr>
        <w:tblLayout w:type="fixed"/>
      </w:tblPr>
      <w:tcPr>
        <w:shd w:val="clear" w:color="F79646" w:themeColor="accent6" w:fill="F79646" w:themeFill="accent6"/>
      </w:tcPr>
    </w:tblStylePr>
    <w:tblStylePr w:type="lastCol">
      <w:rPr>
        <w:rFonts w:ascii="Arial" w:hAnsi="Arial"/>
        <w:color w:val="F2F2F2"/>
        <w:sz w:val="22"/>
      </w:rPr>
      <w:tblPr>
        <w:tblLayout w:type="fixed"/>
      </w:tblPr>
      <w:tcPr>
        <w:shd w:val="clear" w:color="F79646" w:themeColor="accent6" w:fill="F79646"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DE9D9" w:themeColor="accent6" w:themeTint="34" w:fill="FDE9D9"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DE9D9" w:themeColor="accent6" w:themeTint="34" w:fill="FDE9D9"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0">
    <w:name w:val="Bordered &amp; Lined - Accent"/>
    <w:basedOn w:val="40"/>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1">
    <w:name w:val="Bordered &amp; Lined - Accent 1"/>
    <w:basedOn w:val="40"/>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blPr>
        <w:tblLayout w:type="fixed"/>
      </w:tblPr>
      <w:tcPr>
        <w:shd w:val="clear" w:color="5D8BC2" w:themeColor="accent1" w:themeTint="EA" w:fill="5D8BC2" w:themeFill="accent1" w:themeFillTint="EA"/>
      </w:tcPr>
    </w:tblStylePr>
    <w:tblStylePr w:type="lastRow">
      <w:rPr>
        <w:rFonts w:ascii="Arial" w:hAnsi="Arial"/>
        <w:color w:val="F2F2F2"/>
        <w:sz w:val="22"/>
      </w:rPr>
      <w:tblPr>
        <w:tblLayout w:type="fixed"/>
      </w:tblPr>
      <w:tcPr>
        <w:shd w:val="clear" w:color="5D8BC2" w:themeColor="accent1" w:themeTint="EA" w:fill="5D8BC2" w:themeFill="accent1" w:themeFillTint="EA"/>
      </w:tcPr>
    </w:tblStylePr>
    <w:tblStylePr w:type="firstCol">
      <w:rPr>
        <w:rFonts w:ascii="Arial" w:hAnsi="Arial"/>
        <w:color w:val="F2F2F2"/>
        <w:sz w:val="22"/>
      </w:rPr>
      <w:tblPr>
        <w:tblLayout w:type="fixed"/>
      </w:tblPr>
      <w:tcPr>
        <w:shd w:val="clear" w:color="5D8BC2" w:themeColor="accent1" w:themeTint="EA" w:fill="5D8BC2" w:themeFill="accent1" w:themeFillTint="EA"/>
      </w:tcPr>
    </w:tblStylePr>
    <w:tblStylePr w:type="lastCol">
      <w:rPr>
        <w:rFonts w:ascii="Arial" w:hAnsi="Arial"/>
        <w:color w:val="F2F2F2"/>
        <w:sz w:val="22"/>
      </w:rPr>
      <w:tblPr>
        <w:tblLayout w:type="fixed"/>
      </w:tblPr>
      <w:tcPr>
        <w:shd w:val="clear" w:color="5D8BC2" w:themeColor="accent1" w:themeTint="EA" w:fill="5D8BC2"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7D7EA" w:themeColor="accent1" w:themeTint="50" w:fill="C7D7EA"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7D7EA" w:themeColor="accent1" w:themeTint="50" w:fill="C7D7EA"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2">
    <w:name w:val="Bordered &amp; Lined - Accent 2"/>
    <w:basedOn w:val="40"/>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blPr>
        <w:tblLayout w:type="fixed"/>
      </w:tblPr>
      <w:tcPr>
        <w:shd w:val="clear" w:color="D99795" w:themeColor="accent2" w:themeTint="97" w:fill="D99795" w:themeFill="accent2" w:themeFillTint="97"/>
      </w:tcPr>
    </w:tblStylePr>
    <w:tblStylePr w:type="lastRow">
      <w:rPr>
        <w:rFonts w:ascii="Arial" w:hAnsi="Arial"/>
        <w:color w:val="F2F2F2"/>
        <w:sz w:val="22"/>
      </w:rPr>
      <w:tblPr>
        <w:tblLayout w:type="fixed"/>
      </w:tblPr>
      <w:tcPr>
        <w:shd w:val="clear" w:color="D99795" w:themeColor="accent2" w:themeTint="97" w:fill="D99795" w:themeFill="accent2" w:themeFillTint="97"/>
      </w:tcPr>
    </w:tblStylePr>
    <w:tblStylePr w:type="firstCol">
      <w:rPr>
        <w:rFonts w:ascii="Arial" w:hAnsi="Arial"/>
        <w:color w:val="F2F2F2"/>
        <w:sz w:val="22"/>
      </w:rPr>
      <w:tblPr>
        <w:tblLayout w:type="fixed"/>
      </w:tblPr>
      <w:tcPr>
        <w:shd w:val="clear" w:color="D99795" w:themeColor="accent2" w:themeTint="97" w:fill="D99795" w:themeFill="accent2" w:themeFillTint="97"/>
      </w:tcPr>
    </w:tblStylePr>
    <w:tblStylePr w:type="lastCol">
      <w:rPr>
        <w:rFonts w:ascii="Arial" w:hAnsi="Arial"/>
        <w:color w:val="F2F2F2"/>
        <w:sz w:val="22"/>
      </w:rPr>
      <w:tblPr>
        <w:tblLayout w:type="fixed"/>
      </w:tblPr>
      <w:tcPr>
        <w:shd w:val="clear" w:color="D99795" w:themeColor="accent2" w:themeTint="97" w:fill="D9979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2DCDC" w:themeColor="accent2" w:themeTint="32" w:fill="F2DCDC"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2DCDC" w:themeColor="accent2" w:themeTint="32" w:fill="F2DCDC"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3">
    <w:name w:val="Bordered &amp; Lined - Accent 3"/>
    <w:basedOn w:val="40"/>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blPr>
        <w:tblLayout w:type="fixed"/>
      </w:tblPr>
      <w:tcPr>
        <w:shd w:val="clear" w:color="9BBB59" w:themeColor="accent3" w:themeTint="FE" w:fill="9BBB59" w:themeFill="accent3" w:themeFillTint="FE"/>
      </w:tcPr>
    </w:tblStylePr>
    <w:tblStylePr w:type="lastRow">
      <w:rPr>
        <w:rFonts w:ascii="Arial" w:hAnsi="Arial"/>
        <w:color w:val="F2F2F2"/>
        <w:sz w:val="22"/>
      </w:rPr>
      <w:tblPr>
        <w:tblLayout w:type="fixed"/>
      </w:tblPr>
      <w:tcPr>
        <w:shd w:val="clear" w:color="9BBB59" w:themeColor="accent3" w:themeTint="FE" w:fill="9BBB59" w:themeFill="accent3" w:themeFillTint="FE"/>
      </w:tcPr>
    </w:tblStylePr>
    <w:tblStylePr w:type="firstCol">
      <w:rPr>
        <w:rFonts w:ascii="Arial" w:hAnsi="Arial"/>
        <w:color w:val="F2F2F2"/>
        <w:sz w:val="22"/>
      </w:rPr>
      <w:tblPr>
        <w:tblLayout w:type="fixed"/>
      </w:tblPr>
      <w:tcPr>
        <w:shd w:val="clear" w:color="9BBB59" w:themeColor="accent3" w:themeTint="FE" w:fill="9BBB59" w:themeFill="accent3" w:themeFillTint="FE"/>
      </w:tcPr>
    </w:tblStylePr>
    <w:tblStylePr w:type="lastCol">
      <w:rPr>
        <w:rFonts w:ascii="Arial" w:hAnsi="Arial"/>
        <w:color w:val="F2F2F2"/>
        <w:sz w:val="22"/>
      </w:rPr>
      <w:tblPr>
        <w:tblLayout w:type="fixed"/>
      </w:tblPr>
      <w:tcPr>
        <w:shd w:val="clear" w:color="9BBB59" w:themeColor="accent3" w:themeTint="FE" w:fill="9BBB59"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AF1DD" w:themeColor="accent3" w:themeTint="34" w:fill="EAF1DD"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AF1DD" w:themeColor="accent3" w:themeTint="34" w:fill="EAF1DD"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4">
    <w:name w:val="Bordered &amp; Lined - Accent 4"/>
    <w:basedOn w:val="40"/>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blPr>
        <w:tblLayout w:type="fixed"/>
      </w:tblPr>
      <w:tcPr>
        <w:shd w:val="clear" w:color="B2A1C6" w:themeColor="accent4" w:themeTint="9A" w:fill="B2A1C6" w:themeFill="accent4" w:themeFillTint="9A"/>
      </w:tcPr>
    </w:tblStylePr>
    <w:tblStylePr w:type="lastRow">
      <w:rPr>
        <w:rFonts w:ascii="Arial" w:hAnsi="Arial"/>
        <w:color w:val="F2F2F2"/>
        <w:sz w:val="22"/>
      </w:rPr>
      <w:tblPr>
        <w:tblLayout w:type="fixed"/>
      </w:tblPr>
      <w:tcPr>
        <w:shd w:val="clear" w:color="B2A1C6" w:themeColor="accent4" w:themeTint="9A" w:fill="B2A1C6" w:themeFill="accent4" w:themeFillTint="9A"/>
      </w:tcPr>
    </w:tblStylePr>
    <w:tblStylePr w:type="firstCol">
      <w:rPr>
        <w:rFonts w:ascii="Arial" w:hAnsi="Arial"/>
        <w:color w:val="F2F2F2"/>
        <w:sz w:val="22"/>
      </w:rPr>
      <w:tblPr>
        <w:tblLayout w:type="fixed"/>
      </w:tblPr>
      <w:tcPr>
        <w:shd w:val="clear" w:color="B2A1C6" w:themeColor="accent4" w:themeTint="9A" w:fill="B2A1C6" w:themeFill="accent4" w:themeFillTint="9A"/>
      </w:tcPr>
    </w:tblStylePr>
    <w:tblStylePr w:type="lastCol">
      <w:rPr>
        <w:rFonts w:ascii="Arial" w:hAnsi="Arial"/>
        <w:color w:val="F2F2F2"/>
        <w:sz w:val="22"/>
      </w:rPr>
      <w:tblPr>
        <w:tblLayout w:type="fixed"/>
      </w:tblPr>
      <w:tcPr>
        <w:shd w:val="clear" w:color="B2A1C6" w:themeColor="accent4" w:themeTint="9A" w:fill="B2A1C6"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5DFEC" w:themeColor="accent4" w:themeTint="34" w:fill="E5DFEC"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5DFEC" w:themeColor="accent4" w:themeTint="34" w:fill="E5DFEC"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5">
    <w:name w:val="Bordered &amp; Lined - Accent 5"/>
    <w:basedOn w:val="40"/>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blPr>
        <w:tblLayout w:type="fixed"/>
      </w:tblPr>
      <w:tcPr>
        <w:shd w:val="clear" w:color="4BACC6" w:themeColor="accent5" w:fill="4BACC6" w:themeFill="accent5"/>
      </w:tcPr>
    </w:tblStylePr>
    <w:tblStylePr w:type="lastRow">
      <w:rPr>
        <w:rFonts w:ascii="Arial" w:hAnsi="Arial"/>
        <w:color w:val="F2F2F2"/>
        <w:sz w:val="22"/>
      </w:rPr>
      <w:tblPr>
        <w:tblLayout w:type="fixed"/>
      </w:tblPr>
      <w:tcPr>
        <w:shd w:val="clear" w:color="4BACC6" w:themeColor="accent5" w:fill="4BACC6" w:themeFill="accent5"/>
      </w:tcPr>
    </w:tblStylePr>
    <w:tblStylePr w:type="firstCol">
      <w:rPr>
        <w:rFonts w:ascii="Arial" w:hAnsi="Arial"/>
        <w:color w:val="F2F2F2"/>
        <w:sz w:val="22"/>
      </w:rPr>
      <w:tblPr>
        <w:tblLayout w:type="fixed"/>
      </w:tblPr>
      <w:tcPr>
        <w:shd w:val="clear" w:color="4BACC6" w:themeColor="accent5" w:fill="4BACC6" w:themeFill="accent5"/>
      </w:tcPr>
    </w:tblStylePr>
    <w:tblStylePr w:type="lastCol">
      <w:rPr>
        <w:rFonts w:ascii="Arial" w:hAnsi="Arial"/>
        <w:color w:val="F2F2F2"/>
        <w:sz w:val="22"/>
      </w:rPr>
      <w:tblPr>
        <w:tblLayout w:type="fixed"/>
      </w:tblPr>
      <w:tcPr>
        <w:shd w:val="clear" w:color="4BACC6" w:themeColor="accent5" w:fill="4BACC6"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AEEF3" w:themeColor="accent5" w:themeTint="34" w:fill="DAEEF3"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AEEF3" w:themeColor="accent5" w:themeTint="34" w:fill="DAEEF3"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6">
    <w:name w:val="Bordered &amp; Lined - Accent 6"/>
    <w:basedOn w:val="40"/>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blPr>
        <w:tblLayout w:type="fixed"/>
      </w:tblPr>
      <w:tcPr>
        <w:shd w:val="clear" w:color="F79646" w:themeColor="accent6" w:fill="F79646" w:themeFill="accent6"/>
      </w:tcPr>
    </w:tblStylePr>
    <w:tblStylePr w:type="lastRow">
      <w:rPr>
        <w:rFonts w:ascii="Arial" w:hAnsi="Arial"/>
        <w:color w:val="F2F2F2"/>
        <w:sz w:val="22"/>
      </w:rPr>
      <w:tblPr>
        <w:tblLayout w:type="fixed"/>
      </w:tblPr>
      <w:tcPr>
        <w:shd w:val="clear" w:color="F79646" w:themeColor="accent6" w:fill="F79646" w:themeFill="accent6"/>
      </w:tcPr>
    </w:tblStylePr>
    <w:tblStylePr w:type="firstCol">
      <w:rPr>
        <w:rFonts w:ascii="Arial" w:hAnsi="Arial"/>
        <w:color w:val="F2F2F2"/>
        <w:sz w:val="22"/>
      </w:rPr>
      <w:tblPr>
        <w:tblLayout w:type="fixed"/>
      </w:tblPr>
      <w:tcPr>
        <w:shd w:val="clear" w:color="F79646" w:themeColor="accent6" w:fill="F79646" w:themeFill="accent6"/>
      </w:tcPr>
    </w:tblStylePr>
    <w:tblStylePr w:type="lastCol">
      <w:rPr>
        <w:rFonts w:ascii="Arial" w:hAnsi="Arial"/>
        <w:color w:val="F2F2F2"/>
        <w:sz w:val="22"/>
      </w:rPr>
      <w:tblPr>
        <w:tblLayout w:type="fixed"/>
      </w:tblPr>
      <w:tcPr>
        <w:shd w:val="clear" w:color="F79646" w:themeColor="accent6" w:fill="F79646"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DE9D9" w:themeColor="accent6" w:themeTint="34" w:fill="FDE9D9"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DE9D9" w:themeColor="accent6" w:themeTint="34" w:fill="FDE9D9"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7">
    <w:name w:val="Bordered"/>
    <w:basedOn w:val="40"/>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blPr>
        <w:tblLayout w:type="fixed"/>
      </w:tblPr>
      <w:tcPr>
        <w:tcBorders>
          <w:bottom w:val="single" w:color="7E7E7E" w:themeColor="text1" w:themeTint="80" w:sz="12" w:space="0"/>
        </w:tcBorders>
      </w:tcPr>
    </w:tblStylePr>
    <w:tblStylePr w:type="lastRow">
      <w:rPr>
        <w:rFonts w:ascii="Arial" w:hAnsi="Arial"/>
        <w:color w:val="404040"/>
        <w:sz w:val="22"/>
      </w:rPr>
      <w:tblPr>
        <w:tblLayout w:type="fixed"/>
      </w:tblPr>
      <w:tcPr>
        <w:tcBorders>
          <w:top w:val="single" w:color="7E7E7E" w:themeColor="text1" w:themeTint="80"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7E7E7E" w:themeColor="text1" w:themeTint="80"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8">
    <w:name w:val="Bordered - Accent 1"/>
    <w:basedOn w:val="40"/>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blPr>
        <w:tblLayout w:type="fixed"/>
      </w:tblPr>
      <w:tcPr>
        <w:tcBorders>
          <w:bottom w:val="single" w:color="4F81BD" w:themeColor="accent1" w:sz="12" w:space="0"/>
        </w:tcBorders>
      </w:tcPr>
    </w:tblStylePr>
    <w:tblStylePr w:type="lastRow">
      <w:rPr>
        <w:rFonts w:ascii="Arial" w:hAnsi="Arial"/>
        <w:color w:val="404040"/>
        <w:sz w:val="22"/>
      </w:rPr>
      <w:tblPr>
        <w:tblLayout w:type="fixed"/>
      </w:tblPr>
      <w:tcPr>
        <w:tcBorders>
          <w:top w:val="single" w:color="4F81BD" w:themeColor="accent1"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4F81BD" w:themeColor="accent1"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9">
    <w:name w:val="Bordered - Accent 2"/>
    <w:basedOn w:val="40"/>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blPr>
        <w:tblLayout w:type="fixed"/>
      </w:tblPr>
      <w:tcPr>
        <w:tcBorders>
          <w:bottom w:val="single" w:color="D99795" w:themeColor="accent2" w:themeTint="97" w:sz="12" w:space="0"/>
        </w:tcBorders>
      </w:tcPr>
    </w:tblStylePr>
    <w:tblStylePr w:type="lastRow">
      <w:rPr>
        <w:rFonts w:ascii="Arial" w:hAnsi="Arial"/>
        <w:color w:val="404040"/>
        <w:sz w:val="22"/>
      </w:rPr>
      <w:tblPr>
        <w:tblLayout w:type="fixed"/>
      </w:tblPr>
      <w:tcPr>
        <w:tcBorders>
          <w:top w:val="single" w:color="D99795" w:themeColor="accent2" w:themeTint="97"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D99795" w:themeColor="accent2" w:themeTint="97"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0">
    <w:name w:val="Bordered - Accent 3"/>
    <w:basedOn w:val="40"/>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blPr>
        <w:tblLayout w:type="fixed"/>
      </w:tblPr>
      <w:tcPr>
        <w:tcBorders>
          <w:bottom w:val="single" w:color="C3D69C" w:themeColor="accent3" w:themeTint="98" w:sz="12" w:space="0"/>
        </w:tcBorders>
      </w:tcPr>
    </w:tblStylePr>
    <w:tblStylePr w:type="lastRow">
      <w:rPr>
        <w:rFonts w:ascii="Arial" w:hAnsi="Arial"/>
        <w:color w:val="404040"/>
        <w:sz w:val="22"/>
      </w:rPr>
      <w:tblPr>
        <w:tblLayout w:type="fixed"/>
      </w:tblPr>
      <w:tcPr>
        <w:tcBorders>
          <w:top w:val="single" w:color="C3D69C" w:themeColor="accent3"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C3D69C" w:themeColor="accent3"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1">
    <w:name w:val="Bordered - Accent 4"/>
    <w:basedOn w:val="40"/>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blPr>
        <w:tblLayout w:type="fixed"/>
      </w:tblPr>
      <w:tcPr>
        <w:tcBorders>
          <w:bottom w:val="single" w:color="B2A1C6" w:themeColor="accent4" w:themeTint="9A" w:sz="12" w:space="0"/>
        </w:tcBorders>
      </w:tcPr>
    </w:tblStylePr>
    <w:tblStylePr w:type="lastRow">
      <w:rPr>
        <w:rFonts w:ascii="Arial" w:hAnsi="Arial"/>
        <w:color w:val="404040"/>
        <w:sz w:val="22"/>
      </w:rPr>
      <w:tblPr>
        <w:tblLayout w:type="fixed"/>
      </w:tblPr>
      <w:tcPr>
        <w:tcBorders>
          <w:top w:val="single" w:color="B2A1C6" w:themeColor="accent4"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B2A1C6" w:themeColor="accent4"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2">
    <w:name w:val="Bordered - Accent 5"/>
    <w:basedOn w:val="40"/>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blPr>
        <w:tblLayout w:type="fixed"/>
      </w:tblPr>
      <w:tcPr>
        <w:tcBorders>
          <w:bottom w:val="single" w:color="92CCDC" w:themeColor="accent5" w:themeTint="9A" w:sz="12" w:space="0"/>
        </w:tcBorders>
      </w:tcPr>
    </w:tblStylePr>
    <w:tblStylePr w:type="lastRow">
      <w:rPr>
        <w:rFonts w:ascii="Arial" w:hAnsi="Arial"/>
        <w:color w:val="404040"/>
        <w:sz w:val="22"/>
      </w:rPr>
      <w:tblPr>
        <w:tblLayout w:type="fixed"/>
      </w:tblPr>
      <w:tcPr>
        <w:tcBorders>
          <w:top w:val="single" w:color="92CCDC" w:themeColor="accent5"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92CCDC" w:themeColor="accent5"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3">
    <w:name w:val="Bordered - Accent 6"/>
    <w:basedOn w:val="40"/>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blPr>
        <w:tblLayout w:type="fixed"/>
      </w:tblPr>
      <w:tcPr>
        <w:tcBorders>
          <w:bottom w:val="single" w:color="FAC090" w:themeColor="accent6" w:themeTint="98" w:sz="12" w:space="0"/>
        </w:tcBorders>
      </w:tcPr>
    </w:tblStylePr>
    <w:tblStylePr w:type="lastRow">
      <w:rPr>
        <w:rFonts w:ascii="Arial" w:hAnsi="Arial"/>
        <w:color w:val="404040"/>
        <w:sz w:val="22"/>
      </w:rPr>
      <w:tblPr>
        <w:tblLayout w:type="fixed"/>
      </w:tblPr>
      <w:tcPr>
        <w:tcBorders>
          <w:top w:val="single" w:color="FAC090" w:themeColor="accent6"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AC090" w:themeColor="accent6"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184">
    <w:name w:val="Footnote Text Char"/>
    <w:qFormat/>
    <w:uiPriority w:val="99"/>
    <w:rPr>
      <w:sz w:val="18"/>
    </w:rPr>
  </w:style>
  <w:style w:type="character" w:customStyle="1" w:styleId="185">
    <w:name w:val="Endnote Text Char"/>
    <w:link w:val="21"/>
    <w:uiPriority w:val="99"/>
    <w:rPr>
      <w:sz w:val="20"/>
    </w:rPr>
  </w:style>
  <w:style w:type="paragraph" w:customStyle="1" w:styleId="186">
    <w:name w:val="TOC Heading"/>
    <w:unhideWhenUsed/>
    <w:qFormat/>
    <w:uiPriority w:val="39"/>
    <w:rPr>
      <w:rFonts w:hint="default" w:ascii="Calibri" w:hAnsi="Calibri" w:eastAsia="宋体" w:cs="Times New Roman"/>
    </w:rPr>
  </w:style>
  <w:style w:type="paragraph" w:customStyle="1" w:styleId="187">
    <w:name w:val="标题 5（有编号）（绿盟科技）"/>
    <w:next w:val="1"/>
    <w:qFormat/>
    <w:uiPriority w:val="99"/>
    <w:pPr>
      <w:keepNext/>
      <w:keepLines/>
      <w:widowControl w:val="0"/>
      <w:spacing w:before="280" w:after="156" w:line="377" w:lineRule="auto"/>
      <w:outlineLvl w:val="4"/>
    </w:pPr>
    <w:rPr>
      <w:rFonts w:hint="default" w:ascii="Arial" w:hAnsi="Arial" w:eastAsia="黑体" w:cs="Times New Roman"/>
      <w:b/>
      <w:sz w:val="24"/>
      <w:szCs w:val="28"/>
      <w:lang w:val="en-US" w:eastAsia="zh-CN" w:bidi="ar-SA"/>
    </w:rPr>
  </w:style>
  <w:style w:type="character" w:customStyle="1" w:styleId="188">
    <w:name w:val="Header Char"/>
    <w:basedOn w:val="35"/>
    <w:semiHidden/>
    <w:qFormat/>
    <w:uiPriority w:val="99"/>
    <w:rPr>
      <w:rFonts w:ascii="Times New Roman" w:hAnsi="Times New Roman"/>
      <w:sz w:val="18"/>
      <w:szCs w:val="18"/>
    </w:rPr>
  </w:style>
  <w:style w:type="character" w:customStyle="1" w:styleId="189">
    <w:name w:val="页眉 字符"/>
    <w:link w:val="24"/>
    <w:semiHidden/>
    <w:qFormat/>
    <w:uiPriority w:val="99"/>
    <w:rPr>
      <w:sz w:val="18"/>
    </w:rPr>
  </w:style>
  <w:style w:type="character" w:customStyle="1" w:styleId="190">
    <w:name w:val="Footer Char"/>
    <w:basedOn w:val="35"/>
    <w:semiHidden/>
    <w:qFormat/>
    <w:uiPriority w:val="99"/>
    <w:rPr>
      <w:rFonts w:ascii="Times New Roman" w:hAnsi="Times New Roman"/>
      <w:sz w:val="18"/>
      <w:szCs w:val="18"/>
    </w:rPr>
  </w:style>
  <w:style w:type="character" w:customStyle="1" w:styleId="191">
    <w:name w:val="页脚 字符"/>
    <w:link w:val="23"/>
    <w:qFormat/>
    <w:uiPriority w:val="99"/>
    <w:rPr>
      <w:sz w:val="18"/>
    </w:rPr>
  </w:style>
  <w:style w:type="character" w:customStyle="1" w:styleId="192">
    <w:name w:val="Body Text Char"/>
    <w:basedOn w:val="35"/>
    <w:semiHidden/>
    <w:qFormat/>
    <w:uiPriority w:val="99"/>
    <w:rPr>
      <w:rFonts w:ascii="Times New Roman" w:hAnsi="Times New Roman"/>
      <w:szCs w:val="24"/>
    </w:rPr>
  </w:style>
  <w:style w:type="character" w:customStyle="1" w:styleId="193">
    <w:name w:val="正文文本 字符"/>
    <w:link w:val="14"/>
    <w:qFormat/>
    <w:uiPriority w:val="99"/>
    <w:rPr>
      <w:rFonts w:ascii="仿宋_GB2312" w:hAnsi="Times New Roman" w:eastAsia="仿宋_GB2312"/>
      <w:sz w:val="24"/>
    </w:rPr>
  </w:style>
  <w:style w:type="paragraph" w:customStyle="1" w:styleId="194">
    <w:name w:val="Default"/>
    <w:qFormat/>
    <w:uiPriority w:val="99"/>
    <w:pPr>
      <w:widowControl w:val="0"/>
    </w:pPr>
    <w:rPr>
      <w:rFonts w:hint="default" w:ascii="仿宋" w:hAnsi="Calibri" w:eastAsia="仿宋" w:cs="仿宋"/>
      <w:color w:val="000000"/>
      <w:sz w:val="24"/>
      <w:szCs w:val="24"/>
      <w:lang w:val="en-US" w:eastAsia="zh-CN" w:bidi="ar-SA"/>
    </w:rPr>
  </w:style>
  <w:style w:type="paragraph" w:styleId="195">
    <w:name w:val="List Paragraph"/>
    <w:basedOn w:val="1"/>
    <w:qFormat/>
    <w:uiPriority w:val="34"/>
    <w:pPr>
      <w:ind w:firstLine="420"/>
    </w:pPr>
  </w:style>
  <w:style w:type="character" w:customStyle="1" w:styleId="196">
    <w:name w:val="标题 1 字符"/>
    <w:basedOn w:val="35"/>
    <w:link w:val="3"/>
    <w:qFormat/>
    <w:uiPriority w:val="9"/>
    <w:rPr>
      <w:rFonts w:ascii="Times New Roman" w:hAnsi="Times New Roman"/>
      <w:b/>
      <w:bCs/>
      <w:sz w:val="44"/>
      <w:szCs w:val="44"/>
    </w:rPr>
  </w:style>
  <w:style w:type="character" w:customStyle="1" w:styleId="197">
    <w:name w:val="标题 2 字符"/>
    <w:basedOn w:val="35"/>
    <w:link w:val="4"/>
    <w:qFormat/>
    <w:uiPriority w:val="9"/>
    <w:rPr>
      <w:rFonts w:asciiTheme="majorHAnsi" w:hAnsiTheme="majorHAnsi" w:eastAsiaTheme="majorEastAsia" w:cstheme="majorBidi"/>
      <w:b/>
      <w:bCs/>
      <w:sz w:val="32"/>
      <w:szCs w:val="32"/>
    </w:rPr>
  </w:style>
  <w:style w:type="paragraph" w:customStyle="1" w:styleId="19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sz w:val="28"/>
      <w:szCs w:val="28"/>
    </w:rPr>
  </w:style>
  <w:style w:type="character" w:customStyle="1" w:styleId="199">
    <w:name w:val="批注框文本 字符"/>
    <w:basedOn w:val="35"/>
    <w:link w:val="22"/>
    <w:semiHidden/>
    <w:qFormat/>
    <w:uiPriority w:val="99"/>
    <w:rPr>
      <w:rFonts w:ascii="Times New Roman" w:hAnsi="Times New Roman"/>
      <w:sz w:val="18"/>
      <w:szCs w:val="18"/>
    </w:rPr>
  </w:style>
  <w:style w:type="character" w:customStyle="1" w:styleId="200">
    <w:name w:val="标题 3 字符"/>
    <w:basedOn w:val="35"/>
    <w:link w:val="5"/>
    <w:qFormat/>
    <w:uiPriority w:val="9"/>
    <w:rPr>
      <w:rFonts w:ascii="Times New Roman" w:hAnsi="Times New Roman"/>
      <w:b/>
      <w:bCs/>
      <w:sz w:val="32"/>
      <w:szCs w:val="32"/>
    </w:rPr>
  </w:style>
  <w:style w:type="paragraph" w:customStyle="1" w:styleId="20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sz w:val="28"/>
      <w:szCs w:val="28"/>
    </w:rPr>
  </w:style>
  <w:style w:type="paragraph" w:customStyle="1" w:styleId="202">
    <w:name w:val="四号正文"/>
    <w:basedOn w:val="1"/>
    <w:qFormat/>
    <w:uiPriority w:val="0"/>
    <w:pPr>
      <w:spacing w:line="360" w:lineRule="auto"/>
    </w:pPr>
    <w:rPr>
      <w:rFonts w:ascii="??" w:hAnsi="??"/>
      <w:color w:val="000000"/>
      <w:sz w:val="28"/>
      <w:szCs w:val="21"/>
      <w:lang w:val="zh-CN"/>
    </w:rPr>
  </w:style>
  <w:style w:type="character" w:customStyle="1" w:styleId="203">
    <w:name w:val="fontstyle01"/>
    <w:qFormat/>
    <w:uiPriority w:val="0"/>
    <w:rPr>
      <w:rFonts w:hint="eastAsia" w:ascii="仿宋_GB2312" w:eastAsia="仿宋_GB2312"/>
      <w:color w:val="000000"/>
      <w:sz w:val="32"/>
      <w:szCs w:val="32"/>
    </w:rPr>
  </w:style>
  <w:style w:type="paragraph" w:customStyle="1" w:styleId="204">
    <w:name w:val="AA正文"/>
    <w:qFormat/>
    <w:uiPriority w:val="0"/>
    <w:pPr>
      <w:widowControl w:val="0"/>
      <w:spacing w:line="480" w:lineRule="auto"/>
      <w:ind w:firstLine="200"/>
    </w:pPr>
    <w:rPr>
      <w:rFonts w:hint="default" w:ascii="Calibri" w:hAnsi="Calibri" w:eastAsia="宋体" w:cs="Times New Roman"/>
      <w:bCs/>
      <w:sz w:val="28"/>
      <w:szCs w:val="44"/>
      <w:shd w:val="clear" w:color="auto" w:fill="FFFFFF"/>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'[决算公开柱状图表2023年(本级）1.xls]Sheet1'!$A$7</c:f>
              <c:strCache>
                <c:ptCount val="1"/>
                <c:pt idx="0">
                  <c:v>2022年</c:v>
                </c:pt>
              </c:strCache>
            </c:strRef>
          </c:tx>
          <c:spPr>
            <a:solidFill>
              <a:srgbClr val="9999FF"/>
            </a:solidFill>
            <a:ln w="12700">
              <a:solidFill>
                <a:srgbClr val="000000"/>
              </a:solidFill>
              <a:prstDash val="solid"/>
            </a:ln>
          </c:spPr>
          <c:invertIfNegative val="0"/>
          <c:dLbls>
            <c:delete val="1"/>
          </c:dLbls>
          <c:cat>
            <c:strRef>
              <c:f>'[决算公开柱状图表2023年(本级）1.xls]Sheet1'!$B$5:$C$5</c:f>
              <c:strCache>
                <c:ptCount val="2"/>
                <c:pt idx="0">
                  <c:v>收入</c:v>
                </c:pt>
                <c:pt idx="1">
                  <c:v>支出</c:v>
                </c:pt>
              </c:strCache>
            </c:strRef>
          </c:cat>
          <c:val>
            <c:numRef>
              <c:f>'[决算公开柱状图表2022年(本级）1.xls]Sheet1'!$B$7:$C$7</c:f>
              <c:numCache>
                <c:formatCode>General</c:formatCode>
                <c:ptCount val="2"/>
                <c:pt idx="0">
                  <c:v>1831.8</c:v>
                </c:pt>
                <c:pt idx="1">
                  <c:v>1831.8</c:v>
                </c:pt>
              </c:numCache>
            </c:numRef>
          </c:val>
        </c:ser>
        <c:ser>
          <c:idx val="1"/>
          <c:order val="1"/>
          <c:tx>
            <c:strRef>
              <c:f>'[决算公开柱状图表2023年(本级）1.xls]Sheet1'!$A$8</c:f>
              <c:strCache>
                <c:ptCount val="1"/>
                <c:pt idx="0">
                  <c:v>2023年</c:v>
                </c:pt>
              </c:strCache>
            </c:strRef>
          </c:tx>
          <c:spPr>
            <a:solidFill>
              <a:srgbClr val="993366"/>
            </a:solidFill>
            <a:ln w="12700">
              <a:solidFill>
                <a:srgbClr val="000000"/>
              </a:solidFill>
              <a:prstDash val="solid"/>
            </a:ln>
          </c:spPr>
          <c:invertIfNegative val="0"/>
          <c:dLbls>
            <c:delete val="1"/>
          </c:dLbls>
          <c:cat>
            <c:strRef>
              <c:f>'[决算公开柱状图表2023年(本级）1.xls]Sheet1'!$B$5:$C$5</c:f>
              <c:strCache>
                <c:ptCount val="2"/>
                <c:pt idx="0">
                  <c:v>收入</c:v>
                </c:pt>
                <c:pt idx="1">
                  <c:v>支出</c:v>
                </c:pt>
              </c:strCache>
            </c:strRef>
          </c:cat>
          <c:val>
            <c:numRef>
              <c:f>'[决算公开柱状图表2023年(本级）1.xls]Sheet1'!$B$8:$C$8</c:f>
              <c:numCache>
                <c:formatCode>General</c:formatCode>
                <c:ptCount val="2"/>
                <c:pt idx="0">
                  <c:v>2226.18</c:v>
                </c:pt>
                <c:pt idx="1">
                  <c:v>2226.18</c:v>
                </c:pt>
              </c:numCache>
            </c:numRef>
          </c:val>
        </c:ser>
        <c:dLbls>
          <c:showLegendKey val="0"/>
          <c:showVal val="0"/>
          <c:showCatName val="0"/>
          <c:showSerName val="0"/>
          <c:showPercent val="0"/>
          <c:showBubbleSize val="0"/>
        </c:dLbls>
        <c:gapWidth val="150"/>
        <c:overlap val="0"/>
        <c:axId val="559100123"/>
        <c:axId val="16856431"/>
      </c:barChart>
      <c:catAx>
        <c:axId val="559100123"/>
        <c:scaling>
          <c:orientation val="minMax"/>
        </c:scaling>
        <c:delete val="0"/>
        <c:axPos val="b"/>
        <c:majorTickMark val="in"/>
        <c:minorTickMark val="none"/>
        <c:tickLblPos val="low"/>
        <c:spPr>
          <a:ln w="3175" cap="flat" cmpd="sng" algn="ctr">
            <a:solidFill>
              <a:srgbClr val="000000"/>
            </a:solidFill>
            <a:prstDash val="solid"/>
            <a:round/>
          </a:ln>
        </c:spPr>
        <c:txPr>
          <a:bodyPr rot="-6000000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6856431"/>
        <c:crosses val="autoZero"/>
        <c:auto val="1"/>
        <c:lblAlgn val="ctr"/>
        <c:lblOffset val="100"/>
        <c:noMultiLvlLbl val="0"/>
      </c:catAx>
      <c:valAx>
        <c:axId val="16856431"/>
        <c:scaling>
          <c:orientation val="minMax"/>
        </c:scaling>
        <c:delete val="0"/>
        <c:axPos val="l"/>
        <c:numFmt formatCode="General" sourceLinked="1"/>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59100123"/>
        <c:crosses val="autoZero"/>
        <c:crossBetween val="between"/>
      </c:valAx>
      <c:spPr>
        <a:solidFill>
          <a:srgbClr val="C0C0C0"/>
        </a:solidFill>
        <a:ln w="12700">
          <a:solidFill>
            <a:srgbClr val="808080"/>
          </a:solidFill>
          <a:prstDash val="solid"/>
        </a:ln>
      </c:spPr>
    </c:plotArea>
    <c:legend>
      <c:legendPos val="r"/>
      <c:layout>
        <c:manualLayout>
          <c:xMode val="edge"/>
          <c:yMode val="edge"/>
          <c:x val="0.8285"/>
          <c:y val="0.44325"/>
          <c:w val="0.1595"/>
          <c:h val="0.1085"/>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solidFill>
    <a:ln w="3175" cap="flat" cmpd="sng" algn="ctr">
      <a:solidFill>
        <a:srgbClr val="000000"/>
      </a:solidFill>
      <a:prstDash val="solid"/>
      <a:round/>
    </a:ln>
  </c:spPr>
  <c:txPr>
    <a:bodyPr rot="0" wrap="square" anchor="ctr" anchorCtr="1"/>
    <a:lstStyle/>
    <a:p>
      <a:pPr>
        <a:defRPr lang="zh-CN" sz="900" b="0" i="0" u="none" strike="noStrike">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sz="1400" b="0" i="0" u="none" strike="noStrike">
                <a:solidFill>
                  <a:srgbClr val="333333"/>
                </a:solidFill>
                <a:latin typeface="Calibri" panose="020F0502020204030204"/>
                <a:ea typeface="Calibri" panose="020F0502020204030204"/>
                <a:cs typeface="Calibri" panose="020F0502020204030204"/>
              </a:rPr>
              <a:t>2023</a:t>
            </a:r>
            <a:r>
              <a:rPr sz="1400" b="0" i="0" u="none" strike="noStrike">
                <a:solidFill>
                  <a:srgbClr val="333333"/>
                </a:solidFill>
                <a:latin typeface="宋体" panose="02010600030101010101" charset="-122"/>
                <a:ea typeface="宋体" panose="02010600030101010101" charset="-122"/>
                <a:cs typeface="宋体" panose="02010600030101010101" charset="-122"/>
              </a:rPr>
              <a:t>年收入结构图</a:t>
            </a:r>
            <a:endParaRPr sz="1200" b="0" i="0" u="none" strike="noStrike">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288209"/>
          <c:y val="0.173611"/>
          <c:w val="0.402626"/>
          <c:h val="0.66713"/>
        </c:manualLayout>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elete val="1"/>
          </c:dLbls>
          <c:cat>
            <c:strRef>
              <c:f>'[决算公开柱状图表2023年(本级）1.xls]Sheet1'!$B$28:$B$29</c:f>
              <c:strCache>
                <c:ptCount val="2"/>
                <c:pt idx="0">
                  <c:v>一般公共预算财政拨款收入</c:v>
                </c:pt>
                <c:pt idx="1">
                  <c:v>其他收入</c:v>
                </c:pt>
              </c:strCache>
            </c:strRef>
          </c:cat>
          <c:val>
            <c:numRef>
              <c:f>'[决算公开柱状图表2023年(本级）1.xls]Sheet1'!$C$28:$C$29</c:f>
              <c:numCache>
                <c:formatCode>General</c:formatCode>
                <c:ptCount val="2"/>
                <c:pt idx="0">
                  <c:v>2204.08</c:v>
                </c:pt>
                <c:pt idx="1">
                  <c:v>22.1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sz="1400" b="0" i="0" u="none" strike="noStrike">
                <a:solidFill>
                  <a:srgbClr val="333333"/>
                </a:solidFill>
                <a:latin typeface="Calibri" panose="020F0502020204030204"/>
                <a:ea typeface="Calibri" panose="020F0502020204030204"/>
                <a:cs typeface="Calibri" panose="020F0502020204030204"/>
              </a:rPr>
              <a:t>2023</a:t>
            </a:r>
            <a:r>
              <a:rPr sz="1400" b="0" i="0" u="none" strike="noStrike">
                <a:solidFill>
                  <a:srgbClr val="333333"/>
                </a:solidFill>
                <a:latin typeface="宋体" panose="02010600030101010101" charset="-122"/>
                <a:ea typeface="宋体" panose="02010600030101010101" charset="-122"/>
                <a:cs typeface="宋体" panose="02010600030101010101" charset="-122"/>
              </a:rPr>
              <a:t>年本年支出结构图</a:t>
            </a:r>
            <a:endParaRPr sz="1200" b="0" i="0" u="none" strike="noStrike">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elete val="1"/>
          </c:dLbls>
          <c:cat>
            <c:strRef>
              <c:f>'[决算公开柱状图表2022年(本级）1.xls]Sheet1'!$B$55:$B$56</c:f>
              <c:strCache>
                <c:ptCount val="2"/>
                <c:pt idx="0">
                  <c:v>基本支出</c:v>
                </c:pt>
                <c:pt idx="1">
                  <c:v>项目支出</c:v>
                </c:pt>
              </c:strCache>
            </c:strRef>
          </c:cat>
          <c:val>
            <c:numRef>
              <c:f>'[决算公开柱状图表2023年(本级）1.xls]Sheet1'!$C$55:$C$56</c:f>
              <c:numCache>
                <c:formatCode>General</c:formatCode>
                <c:ptCount val="2"/>
                <c:pt idx="0">
                  <c:v>698.64</c:v>
                </c:pt>
                <c:pt idx="1">
                  <c:v>1527.54</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36325"/>
          <c:y val="0.895"/>
          <c:w val="0.27325"/>
          <c:h val="0.07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sz="1400" b="0" i="0" u="none" strike="noStrike">
                <a:solidFill>
                  <a:srgbClr val="333333"/>
                </a:solidFill>
                <a:latin typeface="Calibri" panose="020F0502020204030204"/>
                <a:ea typeface="Calibri" panose="020F0502020204030204"/>
                <a:cs typeface="Calibri" panose="020F0502020204030204"/>
              </a:rPr>
              <a:t>2023</a:t>
            </a:r>
            <a:r>
              <a:rPr sz="1400" b="0" i="0" u="none" strike="noStrike">
                <a:solidFill>
                  <a:srgbClr val="333333"/>
                </a:solidFill>
                <a:latin typeface="宋体" panose="02010600030101010101" charset="-122"/>
                <a:ea typeface="宋体" panose="02010600030101010101" charset="-122"/>
                <a:cs typeface="宋体" panose="02010600030101010101" charset="-122"/>
              </a:rPr>
              <a:t>年财政拨款收支决算变动</a:t>
            </a:r>
            <a:endParaRPr sz="1200" b="0" i="0" u="none" strike="noStrike" spc="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37361"/>
          <c:y val="0.024306"/>
        </c:manualLayout>
      </c:layout>
      <c:overlay val="0"/>
      <c:spPr>
        <a:noFill/>
        <a:ln>
          <a:noFill/>
        </a:ln>
        <a:effectLst/>
      </c:spPr>
    </c:title>
    <c:autoTitleDeleted val="0"/>
    <c:plotArea>
      <c:layout/>
      <c:barChart>
        <c:barDir val="col"/>
        <c:grouping val="clustered"/>
        <c:varyColors val="0"/>
        <c:ser>
          <c:idx val="0"/>
          <c:order val="0"/>
          <c:tx>
            <c:strRef>
              <c:f>'[决算公开柱状图表2023年(本级）1.xls]Sheet1'!$B$91</c:f>
              <c:strCache>
                <c:ptCount val="1"/>
                <c:pt idx="0">
                  <c:v>2022年</c:v>
                </c:pt>
              </c:strCache>
            </c:strRef>
          </c:tx>
          <c:spPr>
            <a:solidFill>
              <a:schemeClr val="accent1"/>
            </a:solidFill>
            <a:ln>
              <a:noFill/>
            </a:ln>
            <a:effectLst/>
          </c:spPr>
          <c:invertIfNegative val="0"/>
          <c:dLbls>
            <c:delete val="1"/>
          </c:dLbls>
          <c:val>
            <c:numRef>
              <c:f>'[决算公开柱状图表2022年(本级）1.xls]Sheet1'!$C$91:$D$91</c:f>
              <c:numCache>
                <c:formatCode>General</c:formatCode>
                <c:ptCount val="2"/>
                <c:pt idx="0">
                  <c:v>1751.8</c:v>
                </c:pt>
                <c:pt idx="1">
                  <c:v>1751.8</c:v>
                </c:pt>
              </c:numCache>
            </c:numRef>
          </c:val>
        </c:ser>
        <c:ser>
          <c:idx val="1"/>
          <c:order val="1"/>
          <c:tx>
            <c:strRef>
              <c:f>'[决算公开柱状图表2023年(本级）1.xls]Sheet1'!$B$92</c:f>
              <c:strCache>
                <c:ptCount val="1"/>
                <c:pt idx="0">
                  <c:v>2023年</c:v>
                </c:pt>
              </c:strCache>
            </c:strRef>
          </c:tx>
          <c:spPr>
            <a:solidFill>
              <a:schemeClr val="accent2"/>
            </a:solidFill>
            <a:ln>
              <a:noFill/>
              <a:round/>
            </a:ln>
            <a:effectLst/>
          </c:spPr>
          <c:invertIfNegative val="0"/>
          <c:dLbls>
            <c:delete val="1"/>
          </c:dLbls>
          <c:val>
            <c:numRef>
              <c:f>'[决算公开柱状图表2023年(本级）1.xls]Sheet1'!$C$92:$D$92</c:f>
              <c:numCache>
                <c:formatCode>General</c:formatCode>
                <c:ptCount val="2"/>
                <c:pt idx="0">
                  <c:v>2204.08</c:v>
                </c:pt>
                <c:pt idx="1">
                  <c:v>2204.08</c:v>
                </c:pt>
              </c:numCache>
            </c:numRef>
          </c:val>
        </c:ser>
        <c:dLbls>
          <c:showLegendKey val="0"/>
          <c:showVal val="0"/>
          <c:showCatName val="0"/>
          <c:showSerName val="0"/>
          <c:showPercent val="0"/>
          <c:showBubbleSize val="0"/>
        </c:dLbls>
        <c:gapWidth val="219"/>
        <c:overlap val="-27"/>
        <c:axId val="924588004"/>
        <c:axId val="879860784"/>
      </c:barChart>
      <c:catAx>
        <c:axId val="9245880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等线"/>
                <a:ea typeface="等线"/>
                <a:cs typeface="Arial" panose="020B0604020202020204" pitchFamily="2"/>
              </a:defRPr>
            </a:pPr>
          </a:p>
        </c:txPr>
        <c:crossAx val="879860784"/>
        <c:crosses val="autoZero"/>
        <c:auto val="1"/>
        <c:lblAlgn val="ctr"/>
        <c:lblOffset val="100"/>
        <c:noMultiLvlLbl val="0"/>
      </c:catAx>
      <c:valAx>
        <c:axId val="8798607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等线"/>
                <a:ea typeface="等线"/>
                <a:cs typeface="Arial" panose="020B0604020202020204" pitchFamily="2"/>
              </a:defRPr>
            </a:pPr>
          </a:p>
        </c:txPr>
        <c:crossAx val="9245880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22103"/>
          <c:y val="0.186506"/>
          <c:w val="0.881407"/>
          <c:h val="0.684018"/>
        </c:manualLayout>
      </c:layout>
      <c:barChart>
        <c:barDir val="col"/>
        <c:grouping val="stacked"/>
        <c:varyColors val="0"/>
        <c:ser>
          <c:idx val="0"/>
          <c:order val="0"/>
          <c:tx>
            <c:strRef>
              <c:f>'[决算公开柱状图表2023年(本级）1.xls]Sheet1'!$C$72</c:f>
              <c:strCache>
                <c:ptCount val="1"/>
                <c:pt idx="0">
                  <c:v>一般公共预算财政拨款支出</c:v>
                </c:pt>
              </c:strCache>
            </c:strRef>
          </c:tx>
          <c:spPr>
            <a:solidFill>
              <a:schemeClr val="accent1"/>
            </a:solidFill>
            <a:ln>
              <a:noFill/>
            </a:ln>
            <a:effectLst/>
          </c:spPr>
          <c:invertIfNegative val="0"/>
          <c:dLbls>
            <c:delete val="1"/>
          </c:dLbls>
          <c:cat>
            <c:strRef>
              <c:f>'[决算公开柱状图表2023年(本级）1.xls]Sheet1'!$B$73:$B$74</c:f>
              <c:strCache>
                <c:ptCount val="2"/>
                <c:pt idx="0">
                  <c:v>2022年</c:v>
                </c:pt>
                <c:pt idx="1">
                  <c:v>2023年</c:v>
                </c:pt>
              </c:strCache>
            </c:strRef>
          </c:cat>
          <c:val>
            <c:numRef>
              <c:f>'[决算公开柱状图表2023年(本级）1.xls]Sheet1'!$C$73:$C$74</c:f>
              <c:numCache>
                <c:formatCode>General</c:formatCode>
                <c:ptCount val="2"/>
                <c:pt idx="0">
                  <c:v>1751.8</c:v>
                </c:pt>
                <c:pt idx="1">
                  <c:v>2204.8</c:v>
                </c:pt>
              </c:numCache>
            </c:numRef>
          </c:val>
        </c:ser>
        <c:dLbls>
          <c:showLegendKey val="0"/>
          <c:showVal val="0"/>
          <c:showCatName val="0"/>
          <c:showSerName val="0"/>
          <c:showPercent val="0"/>
          <c:showBubbleSize val="0"/>
        </c:dLbls>
        <c:gapWidth val="150"/>
        <c:overlap val="100"/>
        <c:axId val="625818112"/>
        <c:axId val="310322931"/>
      </c:barChart>
      <c:catAx>
        <c:axId val="6258181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等线"/>
                <a:ea typeface="等线"/>
                <a:cs typeface="Arial" panose="020B0604020202020204" pitchFamily="2"/>
              </a:defRPr>
            </a:pPr>
          </a:p>
        </c:txPr>
        <c:crossAx val="310322931"/>
        <c:crosses val="autoZero"/>
        <c:auto val="1"/>
        <c:lblAlgn val="ctr"/>
        <c:lblOffset val="100"/>
        <c:noMultiLvlLbl val="0"/>
      </c:catAx>
      <c:valAx>
        <c:axId val="31032293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等线"/>
                <a:ea typeface="等线"/>
                <a:cs typeface="Arial" panose="020B0604020202020204" pitchFamily="2"/>
              </a:defRPr>
            </a:pPr>
          </a:p>
        </c:txPr>
        <c:crossAx val="625818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sz="1400" b="0" i="0" u="none" strike="noStrike">
                <a:solidFill>
                  <a:srgbClr val="333333"/>
                </a:solidFill>
                <a:latin typeface="Calibri" panose="020F0502020204030204"/>
                <a:ea typeface="Calibri" panose="020F0502020204030204"/>
                <a:cs typeface="Calibri" panose="020F0502020204030204"/>
              </a:rPr>
              <a:t>2023</a:t>
            </a:r>
            <a:r>
              <a:rPr sz="1400" b="0" i="0" u="none" strike="noStrike">
                <a:solidFill>
                  <a:srgbClr val="333333"/>
                </a:solidFill>
                <a:latin typeface="宋体" panose="02010600030101010101" charset="-122"/>
                <a:ea typeface="宋体" panose="02010600030101010101" charset="-122"/>
                <a:cs typeface="宋体" panose="02010600030101010101" charset="-122"/>
              </a:rPr>
              <a:t>年一般公共预算财政拨款支出结构图</a:t>
            </a:r>
            <a:endParaRPr sz="1200" b="0" i="0" u="none" strike="noStrike">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dPt>
          <c:dLbls>
            <c:delete val="1"/>
          </c:dLbls>
          <c:cat>
            <c:strRef>
              <c:f>'[决算公开柱状图表2023年(本级）1.xls]Sheet1'!$B$32:$B$37</c:f>
              <c:strCache>
                <c:ptCount val="6"/>
                <c:pt idx="0">
                  <c:v>文化旅游体育与传媒支出</c:v>
                </c:pt>
                <c:pt idx="1">
                  <c:v>社会保障和就业支出</c:v>
                </c:pt>
                <c:pt idx="2">
                  <c:v>卫生健康支出</c:v>
                </c:pt>
                <c:pt idx="3">
                  <c:v>农林水支出</c:v>
                </c:pt>
                <c:pt idx="4">
                  <c:v>商业服务业等支出</c:v>
                </c:pt>
                <c:pt idx="5">
                  <c:v>住房保障支出</c:v>
                </c:pt>
              </c:strCache>
            </c:strRef>
          </c:cat>
          <c:val>
            <c:numRef>
              <c:f>'[决算公开柱状图表2023年(本级）1.xls]Sheet1'!$C$32:$C$37</c:f>
              <c:numCache>
                <c:formatCode>General</c:formatCode>
                <c:ptCount val="6"/>
                <c:pt idx="0">
                  <c:v>1994.18</c:v>
                </c:pt>
                <c:pt idx="1">
                  <c:v>93.08</c:v>
                </c:pt>
                <c:pt idx="2">
                  <c:v>36.5</c:v>
                </c:pt>
                <c:pt idx="3">
                  <c:v>17.19</c:v>
                </c:pt>
                <c:pt idx="4">
                  <c:v>29.56</c:v>
                </c:pt>
                <c:pt idx="5">
                  <c:v>32.85</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13875"/>
          <c:y val="0.75775"/>
          <c:w val="0.722"/>
          <c:h val="0.219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sz="1400" b="0" i="0" u="none" strike="noStrike">
                <a:solidFill>
                  <a:srgbClr val="333333"/>
                </a:solidFill>
                <a:latin typeface="Calibri" panose="020F0502020204030204"/>
                <a:ea typeface="Calibri" panose="020F0502020204030204"/>
                <a:cs typeface="Calibri" panose="020F0502020204030204"/>
              </a:rPr>
              <a:t>2023</a:t>
            </a:r>
            <a:r>
              <a:rPr sz="1400" b="0" i="0" u="none" strike="noStrike">
                <a:solidFill>
                  <a:srgbClr val="333333"/>
                </a:solidFill>
                <a:latin typeface="宋体" panose="02010600030101010101" charset="-122"/>
                <a:ea typeface="宋体" panose="02010600030101010101" charset="-122"/>
                <a:cs typeface="宋体" panose="02010600030101010101" charset="-122"/>
              </a:rPr>
              <a:t>年三公经费支出</a:t>
            </a:r>
            <a:endParaRPr sz="1200" b="0" i="0" u="none" strike="noStrike" spc="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elete val="1"/>
          </c:dLbls>
          <c:cat>
            <c:strRef>
              <c:f>'[决算公开柱状图表2023年(本级）1.xls]Sheet1'!$B$106:$B$107</c:f>
              <c:strCache>
                <c:ptCount val="2"/>
                <c:pt idx="0">
                  <c:v>2023年公务用车运行维护费</c:v>
                </c:pt>
                <c:pt idx="1">
                  <c:v>2023年公务接待费</c:v>
                </c:pt>
              </c:strCache>
            </c:strRef>
          </c:cat>
          <c:val>
            <c:numRef>
              <c:f>'[决算公开柱状图表2023年(本级）1.xls]Sheet1'!$C$106:$C$107</c:f>
              <c:numCache>
                <c:formatCode>General</c:formatCode>
                <c:ptCount val="2"/>
                <c:pt idx="0">
                  <c:v>276000</c:v>
                </c:pt>
                <c:pt idx="1">
                  <c:v>3000</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TotalTime>0</TotalTime>
  <ScaleCrop>false</ScaleCrop>
  <LinksUpToDate>false</LinksUpToDate>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Administrator</cp:lastModifiedBy>
  <dcterms:modified xsi:type="dcterms:W3CDTF">2024-12-25T09:52:21Z</dcterms:modified>
  <dc:title>四川省***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69ED36320DC3418E8EF118E5EA217294_12</vt:lpwstr>
  </property>
</Properties>
</file>