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8441"/>
      <w:bookmarkStart w:id="2" w:name="_Toc15377193"/>
      <w:bookmarkStart w:id="3" w:name="_Toc15396597"/>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7194"/>
      <w:bookmarkStart w:id="9" w:name="_Toc15396598"/>
      <w:bookmarkStart w:id="10" w:name="_Toc15378442"/>
      <w:bookmarkStart w:id="11" w:name="_Toc15306268"/>
      <w:r>
        <w:rPr>
          <w:rFonts w:hint="eastAsia" w:ascii="方正小标宋简体" w:hAnsi="方正小标宋简体" w:eastAsia="方正小标宋简体" w:cs="方正小标宋简体"/>
          <w:sz w:val="72"/>
          <w:szCs w:val="72"/>
        </w:rPr>
        <w:t>盐边县司法局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公开时间：2023年10月30日</w:t>
      </w:r>
    </w:p>
    <w:p/>
    <w:sdt>
      <w:sdtPr>
        <w:rPr>
          <w:rFonts w:ascii="宋体" w:hAnsi="宋体"/>
          <w:kern w:val="0"/>
          <w:sz w:val="20"/>
          <w:szCs w:val="20"/>
        </w:rPr>
        <w:id w:val="453372852"/>
        <w:docPartObj>
          <w:docPartGallery w:val="Table of Contents"/>
          <w:docPartUnique/>
        </w:docPartObj>
      </w:sdtPr>
      <w:sdtEndPr>
        <w:rPr>
          <w:rFonts w:ascii="宋体" w:hAnsi="宋体"/>
          <w:kern w:val="0"/>
          <w:sz w:val="20"/>
          <w:szCs w:val="20"/>
        </w:rPr>
      </w:sdtEndPr>
      <w:sdtContent>
        <w:p>
          <w:pPr>
            <w:jc w:val="center"/>
          </w:pPr>
          <w:bookmarkStart w:id="12" w:name="_Toc1897_WPSOffice_Type2"/>
          <w:bookmarkStart w:id="13" w:name="_Toc15396599"/>
          <w:bookmarkStart w:id="14" w:name="_Toc15377196"/>
        </w:p>
        <w:p>
          <w:pPr>
            <w:pStyle w:val="40"/>
            <w:tabs>
              <w:tab w:val="right" w:leader="dot" w:pos="8306"/>
            </w:tabs>
          </w:pPr>
          <w:r>
            <w:fldChar w:fldCharType="begin"/>
          </w:r>
          <w:r>
            <w:instrText xml:space="preserve"> HYPERLINK \l "_Toc5599_WPSOffice_Level1" </w:instrText>
          </w:r>
          <w:r>
            <w:fldChar w:fldCharType="separate"/>
          </w:r>
          <w:sdt>
            <w:sdtPr>
              <w:rPr>
                <w:b/>
                <w:bCs/>
                <w:kern w:val="2"/>
                <w:sz w:val="21"/>
                <w:szCs w:val="24"/>
              </w:rPr>
              <w:id w:val="147466872"/>
              <w:placeholder>
                <w:docPart w:val="{a0b9fdaf-d4e5-4918-a5cd-8329ab8a8be0}"/>
              </w:placeholder>
            </w:sdtPr>
            <w:sdtEndPr>
              <w:rPr>
                <w:b/>
                <w:bCs/>
                <w:kern w:val="2"/>
                <w:sz w:val="21"/>
                <w:szCs w:val="24"/>
              </w:rPr>
            </w:sdtEndPr>
            <w:sdtContent>
              <w:r>
                <w:rPr>
                  <w:rFonts w:hint="eastAsia" w:ascii="黑体" w:hAnsi="黑体" w:eastAsia="黑体"/>
                  <w:b/>
                  <w:bCs/>
                </w:rPr>
                <w:t xml:space="preserve">第一部分 </w:t>
              </w:r>
              <w:r>
                <w:rPr>
                  <w:rFonts w:hint="eastAsia" w:ascii="黑体" w:hAnsi="黑体" w:eastAsia="黑体" w:cs="Verdana"/>
                  <w:b/>
                  <w:bCs/>
                </w:rPr>
                <w:t>部门概况</w:t>
              </w:r>
            </w:sdtContent>
          </w:sdt>
          <w:r>
            <w:rPr>
              <w:b/>
              <w:bCs/>
            </w:rPr>
            <w:tab/>
          </w:r>
          <w:r>
            <w:rPr>
              <w:rFonts w:hint="eastAsia"/>
              <w:b/>
              <w:bCs/>
            </w:rPr>
            <w:t>3</w:t>
          </w:r>
          <w:r>
            <w:rPr>
              <w:rFonts w:hint="eastAsia"/>
              <w:b/>
              <w:bCs/>
            </w:rPr>
            <w:fldChar w:fldCharType="end"/>
          </w:r>
        </w:p>
        <w:p>
          <w:pPr>
            <w:pStyle w:val="41"/>
            <w:tabs>
              <w:tab w:val="right" w:leader="dot" w:pos="8306"/>
            </w:tabs>
            <w:ind w:left="420"/>
          </w:pPr>
          <w:r>
            <w:fldChar w:fldCharType="begin"/>
          </w:r>
          <w:r>
            <w:instrText xml:space="preserve"> HYPERLINK \l "_Toc1897_WPSOffice_Level2" </w:instrText>
          </w:r>
          <w:r>
            <w:fldChar w:fldCharType="separate"/>
          </w:r>
          <w:sdt>
            <w:sdtPr>
              <w:rPr>
                <w:kern w:val="2"/>
                <w:sz w:val="21"/>
                <w:szCs w:val="24"/>
              </w:rPr>
              <w:id w:val="195812357"/>
              <w:placeholder>
                <w:docPart w:val="{d1e47ca3-4198-40fd-ae7f-0bd1ec97bf7f}"/>
              </w:placeholder>
            </w:sdtPr>
            <w:sdtEndPr>
              <w:rPr>
                <w:kern w:val="2"/>
                <w:sz w:val="21"/>
                <w:szCs w:val="24"/>
              </w:rPr>
            </w:sdtEndPr>
            <w:sdtContent>
              <w:r>
                <w:rPr>
                  <w:rFonts w:hint="eastAsia" w:ascii="黑体" w:hAnsi="黑体" w:eastAsia="黑体" w:cstheme="majorBidi"/>
                </w:rPr>
                <w:t>一、 部门职责</w:t>
              </w:r>
            </w:sdtContent>
          </w:sdt>
          <w:r>
            <w:tab/>
          </w:r>
          <w:r>
            <w:rPr>
              <w:rFonts w:hint="eastAsia"/>
            </w:rPr>
            <w:t>3</w:t>
          </w:r>
          <w:r>
            <w:rPr>
              <w:rFonts w:hint="eastAsia"/>
            </w:rPr>
            <w:fldChar w:fldCharType="end"/>
          </w:r>
        </w:p>
        <w:p>
          <w:pPr>
            <w:pStyle w:val="41"/>
            <w:tabs>
              <w:tab w:val="right" w:leader="dot" w:pos="8306"/>
            </w:tabs>
            <w:ind w:left="420"/>
          </w:pPr>
          <w:r>
            <w:fldChar w:fldCharType="begin"/>
          </w:r>
          <w:r>
            <w:instrText xml:space="preserve"> HYPERLINK \l "_Toc26687_WPSOffice_Level2" </w:instrText>
          </w:r>
          <w:r>
            <w:fldChar w:fldCharType="separate"/>
          </w:r>
          <w:sdt>
            <w:sdtPr>
              <w:rPr>
                <w:kern w:val="2"/>
                <w:sz w:val="21"/>
                <w:szCs w:val="24"/>
              </w:rPr>
              <w:id w:val="121974215"/>
              <w:placeholder>
                <w:docPart w:val="{6b3d2850-20d7-48ae-82f8-2756d84fd966}"/>
              </w:placeholder>
            </w:sdtPr>
            <w:sdtEndPr>
              <w:rPr>
                <w:kern w:val="2"/>
                <w:sz w:val="21"/>
                <w:szCs w:val="24"/>
              </w:rPr>
            </w:sdtEndPr>
            <w:sdtContent>
              <w:r>
                <w:rPr>
                  <w:rFonts w:hint="eastAsia" w:ascii="黑体" w:eastAsia="黑体" w:hAnsiTheme="majorHAnsi" w:cstheme="majorBidi"/>
                </w:rPr>
                <w:t>二、</w:t>
              </w:r>
              <w:r>
                <w:rPr>
                  <w:rFonts w:hint="eastAsia" w:ascii="黑体" w:hAnsi="黑体" w:eastAsia="黑体" w:cstheme="majorBidi"/>
                </w:rPr>
                <w:t>机构设置</w:t>
              </w:r>
            </w:sdtContent>
          </w:sdt>
          <w:r>
            <w:tab/>
          </w:r>
          <w:r>
            <w:rPr>
              <w:rFonts w:hint="eastAsia"/>
            </w:rPr>
            <w:t>3</w:t>
          </w:r>
          <w:r>
            <w:rPr>
              <w:rFonts w:hint="eastAsia"/>
            </w:rPr>
            <w:fldChar w:fldCharType="end"/>
          </w:r>
        </w:p>
        <w:p>
          <w:pPr>
            <w:pStyle w:val="40"/>
            <w:tabs>
              <w:tab w:val="right" w:leader="dot" w:pos="8306"/>
            </w:tabs>
          </w:pPr>
          <w:r>
            <w:fldChar w:fldCharType="begin"/>
          </w:r>
          <w:r>
            <w:instrText xml:space="preserve"> HYPERLINK \l "_Toc1897_WPSOffice_Level1" </w:instrText>
          </w:r>
          <w:r>
            <w:fldChar w:fldCharType="separate"/>
          </w:r>
          <w:sdt>
            <w:sdtPr>
              <w:rPr>
                <w:b/>
                <w:bCs/>
                <w:kern w:val="2"/>
                <w:sz w:val="21"/>
                <w:szCs w:val="24"/>
              </w:rPr>
              <w:id w:val="2140376337"/>
              <w:placeholder>
                <w:docPart w:val="{3393a615-28a7-4b7f-950c-73f18dc3938c}"/>
              </w:placeholder>
            </w:sdtPr>
            <w:sdtEndPr>
              <w:rPr>
                <w:b/>
                <w:bCs/>
                <w:kern w:val="2"/>
                <w:sz w:val="21"/>
                <w:szCs w:val="24"/>
              </w:rPr>
            </w:sdtEndPr>
            <w:sdtContent>
              <w:r>
                <w:rPr>
                  <w:rFonts w:hint="eastAsia" w:ascii="黑体" w:hAnsi="黑体" w:eastAsia="黑体"/>
                  <w:b/>
                  <w:bCs/>
                </w:rPr>
                <w:t>第二部分 2022年度</w:t>
              </w:r>
              <w:r>
                <w:rPr>
                  <w:rFonts w:hint="eastAsia" w:ascii="黑体" w:hAnsi="黑体" w:eastAsia="黑体" w:cs="Verdana"/>
                  <w:b/>
                  <w:bCs/>
                </w:rPr>
                <w:t>部门决算情况说明</w:t>
              </w:r>
            </w:sdtContent>
          </w:sdt>
          <w:r>
            <w:rPr>
              <w:b/>
              <w:bCs/>
            </w:rPr>
            <w:tab/>
          </w:r>
          <w:r>
            <w:rPr>
              <w:rFonts w:hint="eastAsia"/>
              <w:b/>
              <w:bCs/>
            </w:rPr>
            <w:t>5</w:t>
          </w:r>
          <w:r>
            <w:rPr>
              <w:rFonts w:hint="eastAsia"/>
              <w:b/>
              <w:bCs/>
            </w:rPr>
            <w:fldChar w:fldCharType="end"/>
          </w:r>
        </w:p>
        <w:p>
          <w:pPr>
            <w:pStyle w:val="41"/>
            <w:tabs>
              <w:tab w:val="right" w:leader="dot" w:pos="8306"/>
            </w:tabs>
            <w:ind w:left="420"/>
          </w:pPr>
          <w:r>
            <w:fldChar w:fldCharType="begin"/>
          </w:r>
          <w:r>
            <w:instrText xml:space="preserve"> HYPERLINK \l "_Toc19130_WPSOffice_Level2" </w:instrText>
          </w:r>
          <w:r>
            <w:fldChar w:fldCharType="separate"/>
          </w:r>
          <w:sdt>
            <w:sdtPr>
              <w:rPr>
                <w:kern w:val="2"/>
                <w:sz w:val="21"/>
                <w:szCs w:val="24"/>
              </w:rPr>
              <w:id w:val="519903188"/>
              <w:placeholder>
                <w:docPart w:val="{58b13f6a-1734-4021-9818-1d832eb12731}"/>
              </w:placeholder>
            </w:sdtPr>
            <w:sdtEndPr>
              <w:rPr>
                <w:kern w:val="2"/>
                <w:sz w:val="21"/>
                <w:szCs w:val="24"/>
              </w:rPr>
            </w:sdtEndPr>
            <w:sdtContent>
              <w:r>
                <w:rPr>
                  <w:rFonts w:ascii="黑体" w:hAnsi="黑体" w:eastAsia="黑体" w:cstheme="majorBidi"/>
                </w:rPr>
                <w:t xml:space="preserve">一、 </w:t>
              </w:r>
              <w:r>
                <w:rPr>
                  <w:rFonts w:hint="eastAsia" w:ascii="黑体" w:hAnsi="黑体" w:eastAsia="黑体"/>
                </w:rPr>
                <w:t>收</w:t>
              </w:r>
              <w:r>
                <w:rPr>
                  <w:rFonts w:hint="eastAsia" w:ascii="黑体" w:hAnsi="黑体" w:eastAsia="黑体" w:cstheme="majorBidi"/>
                </w:rPr>
                <w:t>入支出决算总体情况说明</w:t>
              </w:r>
            </w:sdtContent>
          </w:sdt>
          <w:r>
            <w:tab/>
          </w:r>
          <w:r>
            <w:rPr>
              <w:rFonts w:hint="eastAsia"/>
            </w:rPr>
            <w:t>5</w:t>
          </w:r>
          <w:r>
            <w:rPr>
              <w:rFonts w:hint="eastAsia"/>
            </w:rPr>
            <w:fldChar w:fldCharType="end"/>
          </w:r>
        </w:p>
        <w:p>
          <w:pPr>
            <w:pStyle w:val="41"/>
            <w:tabs>
              <w:tab w:val="right" w:leader="dot" w:pos="8306"/>
            </w:tabs>
            <w:ind w:left="420"/>
          </w:pPr>
          <w:r>
            <w:fldChar w:fldCharType="begin"/>
          </w:r>
          <w:r>
            <w:instrText xml:space="preserve"> HYPERLINK \l "_Toc32520_WPSOffice_Level2" </w:instrText>
          </w:r>
          <w:r>
            <w:fldChar w:fldCharType="separate"/>
          </w:r>
          <w:sdt>
            <w:sdtPr>
              <w:rPr>
                <w:kern w:val="2"/>
                <w:sz w:val="21"/>
                <w:szCs w:val="24"/>
              </w:rPr>
              <w:id w:val="1846979873"/>
              <w:placeholder>
                <w:docPart w:val="{73122fbf-019f-4984-a938-901af791f77f}"/>
              </w:placeholder>
            </w:sdtPr>
            <w:sdtEndPr>
              <w:rPr>
                <w:kern w:val="2"/>
                <w:sz w:val="21"/>
                <w:szCs w:val="24"/>
              </w:rPr>
            </w:sdtEndPr>
            <w:sdtContent>
              <w:r>
                <w:rPr>
                  <w:rFonts w:ascii="仿宋_GB2312" w:hAnsi="仿宋_GB2312" w:eastAsia="仿宋_GB2312"/>
                </w:rPr>
                <w:t xml:space="preserve">二、 </w:t>
              </w:r>
              <w:r>
                <w:rPr>
                  <w:rFonts w:hint="eastAsia" w:ascii="黑体" w:hAnsi="黑体" w:eastAsia="黑体"/>
                </w:rPr>
                <w:t>收</w:t>
              </w:r>
              <w:r>
                <w:rPr>
                  <w:rFonts w:hint="eastAsia" w:ascii="黑体" w:hAnsi="黑体" w:eastAsia="黑体" w:cstheme="majorBidi"/>
                </w:rPr>
                <w:t>入决算情况说明</w:t>
              </w:r>
            </w:sdtContent>
          </w:sdt>
          <w:r>
            <w:tab/>
          </w:r>
          <w:r>
            <w:rPr>
              <w:rFonts w:hint="eastAsia"/>
            </w:rPr>
            <w:t>5</w:t>
          </w:r>
          <w:r>
            <w:rPr>
              <w:rFonts w:hint="eastAsia"/>
            </w:rPr>
            <w:fldChar w:fldCharType="end"/>
          </w:r>
        </w:p>
        <w:p>
          <w:pPr>
            <w:pStyle w:val="41"/>
            <w:tabs>
              <w:tab w:val="right" w:leader="dot" w:pos="8306"/>
            </w:tabs>
            <w:ind w:left="420"/>
          </w:pPr>
          <w:r>
            <w:fldChar w:fldCharType="begin"/>
          </w:r>
          <w:r>
            <w:instrText xml:space="preserve"> HYPERLINK \l "_Toc20176_WPSOffice_Level2" </w:instrText>
          </w:r>
          <w:r>
            <w:fldChar w:fldCharType="separate"/>
          </w:r>
          <w:sdt>
            <w:sdtPr>
              <w:rPr>
                <w:kern w:val="2"/>
                <w:sz w:val="21"/>
                <w:szCs w:val="24"/>
              </w:rPr>
              <w:id w:val="586121751"/>
              <w:placeholder>
                <w:docPart w:val="{0e827e37-31b6-4454-a57d-d1a593edbcf7}"/>
              </w:placeholder>
            </w:sdtPr>
            <w:sdtEndPr>
              <w:rPr>
                <w:kern w:val="2"/>
                <w:sz w:val="21"/>
                <w:szCs w:val="24"/>
              </w:rPr>
            </w:sdtEndPr>
            <w:sdtContent>
              <w:r>
                <w:rPr>
                  <w:rFonts w:ascii="黑体" w:hAnsi="黑体" w:eastAsia="黑体" w:cstheme="majorBidi"/>
                </w:rPr>
                <w:t xml:space="preserve">三、 </w:t>
              </w:r>
              <w:r>
                <w:rPr>
                  <w:rFonts w:hint="eastAsia" w:ascii="黑体" w:hAnsi="黑体" w:eastAsia="黑体"/>
                </w:rPr>
                <w:t>支</w:t>
              </w:r>
              <w:r>
                <w:rPr>
                  <w:rFonts w:hint="eastAsia" w:ascii="黑体" w:hAnsi="黑体" w:eastAsia="黑体" w:cstheme="majorBidi"/>
                </w:rPr>
                <w:t>出决算情况说明</w:t>
              </w:r>
            </w:sdtContent>
          </w:sdt>
          <w:r>
            <w:tab/>
          </w:r>
          <w:r>
            <w:rPr>
              <w:rFonts w:hint="eastAsia"/>
            </w:rPr>
            <w:t>6</w:t>
          </w:r>
          <w:r>
            <w:rPr>
              <w:rFonts w:hint="eastAsia"/>
            </w:rPr>
            <w:fldChar w:fldCharType="end"/>
          </w:r>
        </w:p>
        <w:p>
          <w:pPr>
            <w:pStyle w:val="41"/>
            <w:tabs>
              <w:tab w:val="right" w:leader="dot" w:pos="8306"/>
            </w:tabs>
            <w:ind w:left="420"/>
          </w:pPr>
          <w:r>
            <w:fldChar w:fldCharType="begin"/>
          </w:r>
          <w:r>
            <w:instrText xml:space="preserve"> HYPERLINK \l "_Toc22929_WPSOffice_Level2" </w:instrText>
          </w:r>
          <w:r>
            <w:fldChar w:fldCharType="separate"/>
          </w:r>
          <w:sdt>
            <w:sdtPr>
              <w:rPr>
                <w:kern w:val="2"/>
                <w:sz w:val="21"/>
                <w:szCs w:val="24"/>
              </w:rPr>
              <w:id w:val="122349085"/>
              <w:placeholder>
                <w:docPart w:val="{e5934a70-381c-4ad3-a4c5-1135ea3459e2}"/>
              </w:placeholder>
            </w:sdtPr>
            <w:sdtEndPr>
              <w:rPr>
                <w:kern w:val="2"/>
                <w:sz w:val="21"/>
                <w:szCs w:val="24"/>
              </w:rPr>
            </w:sdtEndPr>
            <w:sdtContent>
              <w:r>
                <w:rPr>
                  <w:rFonts w:hint="eastAsia" w:ascii="黑体" w:hAnsi="黑体" w:eastAsia="黑体"/>
                </w:rPr>
                <w:t>四、财</w:t>
              </w:r>
              <w:r>
                <w:rPr>
                  <w:rFonts w:hint="eastAsia" w:ascii="黑体" w:hAnsi="黑体" w:eastAsia="黑体" w:cstheme="majorBidi"/>
                </w:rPr>
                <w:t>政拨款收入支出决算总体情况说明</w:t>
              </w:r>
            </w:sdtContent>
          </w:sdt>
          <w:r>
            <w:tab/>
          </w:r>
          <w:r>
            <w:rPr>
              <w:rFonts w:hint="eastAsia"/>
            </w:rPr>
            <w:t>7</w:t>
          </w:r>
          <w:r>
            <w:rPr>
              <w:rFonts w:hint="eastAsia"/>
            </w:rPr>
            <w:fldChar w:fldCharType="end"/>
          </w:r>
        </w:p>
        <w:p>
          <w:pPr>
            <w:pStyle w:val="41"/>
            <w:tabs>
              <w:tab w:val="right" w:leader="dot" w:pos="8306"/>
            </w:tabs>
            <w:ind w:left="420"/>
          </w:pPr>
          <w:r>
            <w:fldChar w:fldCharType="begin"/>
          </w:r>
          <w:r>
            <w:instrText xml:space="preserve"> HYPERLINK \l "_Toc19059_WPSOffice_Level2" </w:instrText>
          </w:r>
          <w:r>
            <w:fldChar w:fldCharType="separate"/>
          </w:r>
          <w:sdt>
            <w:sdtPr>
              <w:rPr>
                <w:kern w:val="2"/>
                <w:sz w:val="21"/>
                <w:szCs w:val="24"/>
              </w:rPr>
              <w:id w:val="1079096371"/>
              <w:placeholder>
                <w:docPart w:val="{a04d982a-7eda-43fc-b26e-3fa26fdb7189}"/>
              </w:placeholder>
            </w:sdtPr>
            <w:sdtEndPr>
              <w:rPr>
                <w:kern w:val="2"/>
                <w:sz w:val="21"/>
                <w:szCs w:val="24"/>
              </w:rPr>
            </w:sdtEndPr>
            <w:sdtContent>
              <w:r>
                <w:rPr>
                  <w:rFonts w:hint="eastAsia" w:ascii="黑体" w:hAnsi="黑体" w:eastAsia="黑体"/>
                </w:rPr>
                <w:t>五、一</w:t>
              </w:r>
              <w:r>
                <w:rPr>
                  <w:rFonts w:hint="eastAsia" w:ascii="黑体" w:hAnsi="黑体" w:eastAsia="黑体" w:cstheme="majorBidi"/>
                </w:rPr>
                <w:t>般公共预算财政拨款支出决算情况说明</w:t>
              </w:r>
            </w:sdtContent>
          </w:sdt>
          <w:r>
            <w:tab/>
          </w:r>
          <w:r>
            <w:rPr>
              <w:rFonts w:hint="eastAsia"/>
            </w:rPr>
            <w:t>7</w:t>
          </w:r>
          <w:r>
            <w:rPr>
              <w:rFonts w:hint="eastAsia"/>
            </w:rPr>
            <w:fldChar w:fldCharType="end"/>
          </w:r>
        </w:p>
        <w:p>
          <w:pPr>
            <w:pStyle w:val="41"/>
            <w:tabs>
              <w:tab w:val="right" w:leader="dot" w:pos="8306"/>
            </w:tabs>
            <w:ind w:left="420"/>
          </w:pPr>
          <w:r>
            <w:fldChar w:fldCharType="begin"/>
          </w:r>
          <w:r>
            <w:instrText xml:space="preserve"> HYPERLINK \l "_Toc1550_WPSOffice_Level2" </w:instrText>
          </w:r>
          <w:r>
            <w:fldChar w:fldCharType="separate"/>
          </w:r>
          <w:sdt>
            <w:sdtPr>
              <w:rPr>
                <w:kern w:val="2"/>
                <w:sz w:val="21"/>
                <w:szCs w:val="24"/>
              </w:rPr>
              <w:id w:val="1717236810"/>
              <w:placeholder>
                <w:docPart w:val="{fc39c593-a75a-42c9-8d16-9fbd40090a42}"/>
              </w:placeholder>
            </w:sdtPr>
            <w:sdtEndPr>
              <w:rPr>
                <w:kern w:val="2"/>
                <w:sz w:val="21"/>
                <w:szCs w:val="24"/>
              </w:rPr>
            </w:sdtEndPr>
            <w:sdtContent>
              <w:r>
                <w:rPr>
                  <w:rFonts w:hint="eastAsia" w:ascii="黑体" w:eastAsia="黑体"/>
                </w:rPr>
                <w:t>六、</w:t>
              </w:r>
              <w:r>
                <w:rPr>
                  <w:rFonts w:hint="eastAsia" w:ascii="黑体" w:hAnsi="黑体" w:eastAsia="黑体"/>
                </w:rPr>
                <w:t>一</w:t>
              </w:r>
              <w:r>
                <w:rPr>
                  <w:rFonts w:hint="eastAsia" w:ascii="黑体" w:hAnsi="黑体" w:eastAsia="黑体" w:cstheme="majorBidi"/>
                </w:rPr>
                <w:t>般公共预算财政拨款基本支出决算情况说明</w:t>
              </w:r>
            </w:sdtContent>
          </w:sdt>
          <w:r>
            <w:tab/>
          </w:r>
          <w:bookmarkStart w:id="15" w:name="_Toc1550_WPSOffice_Level2Page"/>
          <w:r>
            <w:t>1</w:t>
          </w:r>
          <w:bookmarkEnd w:id="15"/>
          <w:r>
            <w:rPr>
              <w:rFonts w:hint="eastAsia"/>
            </w:rPr>
            <w:t>0</w:t>
          </w:r>
          <w:r>
            <w:rPr>
              <w:rFonts w:hint="eastAsia"/>
            </w:rPr>
            <w:fldChar w:fldCharType="end"/>
          </w:r>
        </w:p>
        <w:p>
          <w:pPr>
            <w:pStyle w:val="41"/>
            <w:tabs>
              <w:tab w:val="right" w:leader="dot" w:pos="8306"/>
            </w:tabs>
            <w:ind w:left="420"/>
          </w:pPr>
          <w:r>
            <w:fldChar w:fldCharType="begin"/>
          </w:r>
          <w:r>
            <w:instrText xml:space="preserve"> HYPERLINK \l "_Toc9063_WPSOffice_Level2" </w:instrText>
          </w:r>
          <w:r>
            <w:fldChar w:fldCharType="separate"/>
          </w:r>
          <w:sdt>
            <w:sdtPr>
              <w:rPr>
                <w:kern w:val="2"/>
                <w:sz w:val="21"/>
                <w:szCs w:val="24"/>
              </w:rPr>
              <w:id w:val="721494925"/>
              <w:placeholder>
                <w:docPart w:val="{32c6209c-6f6b-4952-a0f1-e38fdeab0779}"/>
              </w:placeholder>
            </w:sdtPr>
            <w:sdtEndPr>
              <w:rPr>
                <w:kern w:val="2"/>
                <w:sz w:val="21"/>
                <w:szCs w:val="24"/>
              </w:rPr>
            </w:sdtEndPr>
            <w:sdtContent>
              <w:r>
                <w:rPr>
                  <w:rFonts w:hint="eastAsia" w:ascii="黑体" w:eastAsia="黑体"/>
                </w:rPr>
                <w:t>七、</w:t>
              </w:r>
              <w:r>
                <w:rPr>
                  <w:rFonts w:hint="eastAsia" w:ascii="黑体" w:hAnsi="黑体" w:eastAsia="黑体" w:cstheme="majorBidi"/>
                </w:rPr>
                <w:t>财政拨款“三公”经费支出决算情况说明</w:t>
              </w:r>
            </w:sdtContent>
          </w:sdt>
          <w:r>
            <w:tab/>
          </w:r>
          <w:bookmarkStart w:id="16" w:name="_Toc9063_WPSOffice_Level2Page"/>
          <w:r>
            <w:t>1</w:t>
          </w:r>
          <w:bookmarkEnd w:id="16"/>
          <w:r>
            <w:rPr>
              <w:rFonts w:hint="eastAsia"/>
            </w:rPr>
            <w:t>0</w:t>
          </w:r>
          <w:r>
            <w:rPr>
              <w:rFonts w:hint="eastAsia"/>
            </w:rPr>
            <w:fldChar w:fldCharType="end"/>
          </w:r>
        </w:p>
        <w:p>
          <w:pPr>
            <w:pStyle w:val="41"/>
            <w:tabs>
              <w:tab w:val="right" w:leader="dot" w:pos="8306"/>
            </w:tabs>
            <w:ind w:left="420"/>
          </w:pPr>
          <w:r>
            <w:fldChar w:fldCharType="begin"/>
          </w:r>
          <w:r>
            <w:instrText xml:space="preserve"> HYPERLINK \l "_Toc10766_WPSOffice_Level2" </w:instrText>
          </w:r>
          <w:r>
            <w:fldChar w:fldCharType="separate"/>
          </w:r>
          <w:sdt>
            <w:sdtPr>
              <w:rPr>
                <w:kern w:val="2"/>
                <w:sz w:val="21"/>
                <w:szCs w:val="24"/>
              </w:rPr>
              <w:id w:val="860555682"/>
              <w:placeholder>
                <w:docPart w:val="{066e7064-3e10-4f92-9ef7-fe3c89a75d55}"/>
              </w:placeholder>
            </w:sdtPr>
            <w:sdtEndPr>
              <w:rPr>
                <w:kern w:val="2"/>
                <w:sz w:val="21"/>
                <w:szCs w:val="24"/>
              </w:rPr>
            </w:sdtEndPr>
            <w:sdtContent>
              <w:r>
                <w:rPr>
                  <w:rFonts w:hint="eastAsia" w:ascii="黑体" w:eastAsia="黑体"/>
                </w:rPr>
                <w:t>八、</w:t>
              </w:r>
              <w:r>
                <w:rPr>
                  <w:rFonts w:hint="eastAsia" w:ascii="黑体" w:hAnsi="黑体" w:eastAsia="黑体" w:cstheme="majorBidi"/>
                </w:rPr>
                <w:t>政府性基金预算支出决算情况说明</w:t>
              </w:r>
            </w:sdtContent>
          </w:sdt>
          <w:r>
            <w:tab/>
          </w:r>
          <w:bookmarkStart w:id="17" w:name="_Toc10766_WPSOffice_Level2Page"/>
          <w:r>
            <w:t>1</w:t>
          </w:r>
          <w:bookmarkEnd w:id="17"/>
          <w:r>
            <w:rPr>
              <w:rFonts w:hint="eastAsia"/>
            </w:rPr>
            <w:t>3</w:t>
          </w:r>
          <w:r>
            <w:rPr>
              <w:rFonts w:hint="eastAsia"/>
            </w:rPr>
            <w:fldChar w:fldCharType="end"/>
          </w:r>
        </w:p>
        <w:p>
          <w:pPr>
            <w:pStyle w:val="41"/>
            <w:tabs>
              <w:tab w:val="right" w:leader="dot" w:pos="8306"/>
            </w:tabs>
            <w:ind w:left="420"/>
          </w:pPr>
          <w:r>
            <w:fldChar w:fldCharType="begin"/>
          </w:r>
          <w:r>
            <w:instrText xml:space="preserve"> HYPERLINK \l "_Toc19571_WPSOffice_Level2" </w:instrText>
          </w:r>
          <w:r>
            <w:fldChar w:fldCharType="separate"/>
          </w:r>
          <w:sdt>
            <w:sdtPr>
              <w:rPr>
                <w:kern w:val="2"/>
                <w:sz w:val="21"/>
                <w:szCs w:val="24"/>
              </w:rPr>
              <w:id w:val="-417797839"/>
              <w:placeholder>
                <w:docPart w:val="{1a554eaf-b6ee-497f-894d-c78ffb2b888e}"/>
              </w:placeholder>
            </w:sdtPr>
            <w:sdtEndPr>
              <w:rPr>
                <w:kern w:val="2"/>
                <w:sz w:val="21"/>
                <w:szCs w:val="24"/>
              </w:rPr>
            </w:sdtEndPr>
            <w:sdtContent>
              <w:r>
                <w:rPr>
                  <w:rFonts w:hint="eastAsia" w:ascii="黑体" w:hAnsi="黑体" w:eastAsia="黑体" w:cstheme="majorBidi"/>
                </w:rPr>
                <w:t>九、 国有资本经营预算支出决算情况说明</w:t>
              </w:r>
            </w:sdtContent>
          </w:sdt>
          <w:r>
            <w:tab/>
          </w:r>
          <w:bookmarkStart w:id="18" w:name="_Toc19571_WPSOffice_Level2Page"/>
          <w:r>
            <w:t>1</w:t>
          </w:r>
          <w:bookmarkEnd w:id="18"/>
          <w:r>
            <w:rPr>
              <w:rFonts w:hint="eastAsia"/>
            </w:rPr>
            <w:t>3</w:t>
          </w:r>
          <w:r>
            <w:rPr>
              <w:rFonts w:hint="eastAsia"/>
            </w:rPr>
            <w:fldChar w:fldCharType="end"/>
          </w:r>
        </w:p>
        <w:p>
          <w:pPr>
            <w:pStyle w:val="41"/>
            <w:tabs>
              <w:tab w:val="right" w:leader="dot" w:pos="8306"/>
            </w:tabs>
            <w:ind w:left="420"/>
          </w:pPr>
          <w:r>
            <w:fldChar w:fldCharType="begin"/>
          </w:r>
          <w:r>
            <w:instrText xml:space="preserve"> HYPERLINK \l "_Toc2789_WPSOffice_Level2" </w:instrText>
          </w:r>
          <w:r>
            <w:fldChar w:fldCharType="separate"/>
          </w:r>
          <w:sdt>
            <w:sdtPr>
              <w:rPr>
                <w:kern w:val="2"/>
                <w:sz w:val="21"/>
                <w:szCs w:val="24"/>
              </w:rPr>
              <w:id w:val="1549648004"/>
              <w:placeholder>
                <w:docPart w:val="{aa4ad5ff-09a8-4a09-89a6-fea9b71fbb51}"/>
              </w:placeholder>
            </w:sdtPr>
            <w:sdtEndPr>
              <w:rPr>
                <w:kern w:val="2"/>
                <w:sz w:val="21"/>
                <w:szCs w:val="24"/>
              </w:rPr>
            </w:sdtEndPr>
            <w:sdtContent>
              <w:r>
                <w:rPr>
                  <w:rFonts w:hint="eastAsia" w:ascii="黑体" w:hAnsi="黑体" w:eastAsia="黑体" w:cstheme="majorBidi"/>
                </w:rPr>
                <w:t>十、 其他重要事项的情况说明</w:t>
              </w:r>
            </w:sdtContent>
          </w:sdt>
          <w:r>
            <w:tab/>
          </w:r>
          <w:bookmarkStart w:id="19" w:name="_Toc2789_WPSOffice_Level2Page"/>
          <w:r>
            <w:t>1</w:t>
          </w:r>
          <w:bookmarkEnd w:id="19"/>
          <w:r>
            <w:rPr>
              <w:rFonts w:hint="eastAsia"/>
            </w:rPr>
            <w:t>3</w:t>
          </w:r>
          <w:r>
            <w:rPr>
              <w:rFonts w:hint="eastAsia"/>
            </w:rPr>
            <w:fldChar w:fldCharType="end"/>
          </w:r>
        </w:p>
        <w:p>
          <w:pPr>
            <w:pStyle w:val="40"/>
            <w:tabs>
              <w:tab w:val="right" w:leader="dot" w:pos="8306"/>
            </w:tabs>
          </w:pPr>
          <w:r>
            <w:fldChar w:fldCharType="begin"/>
          </w:r>
          <w:r>
            <w:instrText xml:space="preserve"> HYPERLINK \l "_Toc26687_WPSOffice_Level1" </w:instrText>
          </w:r>
          <w:r>
            <w:fldChar w:fldCharType="separate"/>
          </w:r>
          <w:sdt>
            <w:sdtPr>
              <w:rPr>
                <w:b/>
                <w:bCs/>
                <w:kern w:val="2"/>
                <w:sz w:val="21"/>
                <w:szCs w:val="24"/>
              </w:rPr>
              <w:id w:val="-196389907"/>
              <w:placeholder>
                <w:docPart w:val="{1f856ddf-a26e-4abb-afc4-d469c7ebeb1a}"/>
              </w:placeholder>
            </w:sdtPr>
            <w:sdtEndPr>
              <w:rPr>
                <w:b/>
                <w:bCs/>
                <w:kern w:val="2"/>
                <w:sz w:val="21"/>
                <w:szCs w:val="24"/>
              </w:rPr>
            </w:sdtEndPr>
            <w:sdtContent>
              <w:r>
                <w:rPr>
                  <w:rFonts w:hint="eastAsia" w:ascii="黑体" w:hAnsi="黑体" w:eastAsia="黑体" w:cs="Verdana"/>
                  <w:b/>
                  <w:bCs/>
                </w:rPr>
                <w:t xml:space="preserve">第三部分 </w:t>
              </w:r>
              <w:r>
                <w:rPr>
                  <w:rFonts w:hint="eastAsia" w:ascii="黑体" w:hAnsi="黑体" w:eastAsia="黑体"/>
                  <w:b/>
                  <w:bCs/>
                </w:rPr>
                <w:t>名</w:t>
              </w:r>
              <w:r>
                <w:rPr>
                  <w:rFonts w:hint="eastAsia" w:ascii="黑体" w:hAnsi="黑体" w:eastAsia="黑体" w:cs="Verdana"/>
                  <w:b/>
                  <w:bCs/>
                </w:rPr>
                <w:t>词解释</w:t>
              </w:r>
            </w:sdtContent>
          </w:sdt>
          <w:r>
            <w:rPr>
              <w:b/>
              <w:bCs/>
            </w:rPr>
            <w:tab/>
          </w:r>
          <w:r>
            <w:rPr>
              <w:rFonts w:hint="eastAsia"/>
              <w:b/>
              <w:bCs/>
            </w:rPr>
            <w:t>1</w:t>
          </w:r>
          <w:r>
            <w:rPr>
              <w:rFonts w:hint="eastAsia"/>
              <w:b/>
              <w:bCs/>
            </w:rPr>
            <w:fldChar w:fldCharType="end"/>
          </w:r>
          <w:r>
            <w:rPr>
              <w:rFonts w:hint="eastAsia"/>
              <w:b/>
              <w:bCs/>
            </w:rPr>
            <w:t>5</w:t>
          </w:r>
        </w:p>
        <w:p>
          <w:pPr>
            <w:pStyle w:val="40"/>
            <w:tabs>
              <w:tab w:val="right" w:leader="dot" w:pos="8306"/>
            </w:tabs>
          </w:pPr>
          <w:r>
            <w:fldChar w:fldCharType="begin"/>
          </w:r>
          <w:r>
            <w:instrText xml:space="preserve"> HYPERLINK \l "_Toc19130_WPSOffice_Level1" </w:instrText>
          </w:r>
          <w:r>
            <w:fldChar w:fldCharType="separate"/>
          </w:r>
          <w:sdt>
            <w:sdtPr>
              <w:rPr>
                <w:b/>
                <w:bCs/>
                <w:kern w:val="2"/>
                <w:sz w:val="21"/>
                <w:szCs w:val="24"/>
              </w:rPr>
              <w:id w:val="323250720"/>
              <w:placeholder>
                <w:docPart w:val="{834c7cc4-6774-44cd-85e8-bc2ef04a06b2}"/>
              </w:placeholder>
            </w:sdtPr>
            <w:sdtEndPr>
              <w:rPr>
                <w:b/>
                <w:bCs/>
                <w:kern w:val="2"/>
                <w:sz w:val="21"/>
                <w:szCs w:val="24"/>
              </w:rPr>
            </w:sdtEndPr>
            <w:sdtContent>
              <w:r>
                <w:rPr>
                  <w:rFonts w:hint="eastAsia" w:ascii="黑体" w:hAnsi="黑体" w:eastAsia="黑体"/>
                  <w:b/>
                  <w:bCs/>
                </w:rPr>
                <w:t>第</w:t>
              </w:r>
              <w:r>
                <w:rPr>
                  <w:rFonts w:hint="eastAsia" w:ascii="黑体" w:hAnsi="黑体" w:eastAsia="黑体" w:cs="Verdana"/>
                  <w:b/>
                  <w:bCs/>
                </w:rPr>
                <w:t>四部分 附件</w:t>
              </w:r>
            </w:sdtContent>
          </w:sdt>
          <w:r>
            <w:rPr>
              <w:b/>
              <w:bCs/>
            </w:rPr>
            <w:tab/>
          </w:r>
          <w:r>
            <w:rPr>
              <w:rFonts w:hint="eastAsia"/>
              <w:b/>
              <w:bCs/>
            </w:rPr>
            <w:t>1</w:t>
          </w:r>
          <w:r>
            <w:rPr>
              <w:rFonts w:hint="eastAsia"/>
              <w:b/>
              <w:bCs/>
            </w:rPr>
            <w:fldChar w:fldCharType="end"/>
          </w:r>
          <w:r>
            <w:rPr>
              <w:rFonts w:hint="eastAsia"/>
              <w:b/>
              <w:bCs/>
            </w:rPr>
            <w:t>8</w:t>
          </w:r>
        </w:p>
        <w:p>
          <w:pPr>
            <w:pStyle w:val="40"/>
            <w:tabs>
              <w:tab w:val="right" w:leader="dot" w:pos="8306"/>
            </w:tabs>
          </w:pPr>
          <w:r>
            <w:fldChar w:fldCharType="begin"/>
          </w:r>
          <w:r>
            <w:instrText xml:space="preserve"> HYPERLINK \l "_Toc32520_WPSOffice_Level1" </w:instrText>
          </w:r>
          <w:r>
            <w:fldChar w:fldCharType="separate"/>
          </w:r>
          <w:sdt>
            <w:sdtPr>
              <w:rPr>
                <w:b/>
                <w:bCs/>
                <w:kern w:val="2"/>
                <w:sz w:val="21"/>
                <w:szCs w:val="24"/>
              </w:rPr>
              <w:id w:val="-1203626485"/>
              <w:placeholder>
                <w:docPart w:val="{9dde5de2-5980-4165-a0c0-39ec5dcefef5}"/>
              </w:placeholder>
            </w:sdtPr>
            <w:sdtEndPr>
              <w:rPr>
                <w:b/>
                <w:bCs/>
                <w:kern w:val="2"/>
                <w:sz w:val="21"/>
                <w:szCs w:val="24"/>
              </w:rPr>
            </w:sdtEndPr>
            <w:sdtContent>
              <w:r>
                <w:rPr>
                  <w:rFonts w:hint="eastAsia" w:ascii="黑体" w:hAnsi="黑体" w:eastAsia="黑体"/>
                  <w:b/>
                  <w:bCs/>
                </w:rPr>
                <w:t>第</w:t>
              </w:r>
              <w:r>
                <w:rPr>
                  <w:rFonts w:hint="eastAsia" w:ascii="黑体" w:hAnsi="黑体" w:eastAsia="黑体" w:cs="Verdana"/>
                  <w:b/>
                  <w:bCs/>
                </w:rPr>
                <w:t>五部分 附表</w:t>
              </w:r>
            </w:sdtContent>
          </w:sdt>
          <w:r>
            <w:rPr>
              <w:b/>
              <w:bCs/>
            </w:rPr>
            <w:tab/>
          </w:r>
          <w:bookmarkStart w:id="20" w:name="_Toc32520_WPSOffice_Level1Page"/>
          <w:r>
            <w:rPr>
              <w:b/>
              <w:bCs/>
            </w:rPr>
            <w:t>4</w:t>
          </w:r>
          <w:bookmarkEnd w:id="20"/>
          <w:r>
            <w:rPr>
              <w:rFonts w:hint="eastAsia"/>
              <w:b/>
              <w:bCs/>
            </w:rPr>
            <w:t>5</w:t>
          </w:r>
          <w:r>
            <w:rPr>
              <w:rFonts w:hint="eastAsia"/>
              <w:b/>
              <w:bCs/>
            </w:rPr>
            <w:fldChar w:fldCharType="end"/>
          </w:r>
        </w:p>
        <w:p>
          <w:pPr>
            <w:pStyle w:val="41"/>
            <w:tabs>
              <w:tab w:val="right" w:leader="dot" w:pos="8306"/>
            </w:tabs>
            <w:ind w:left="420"/>
          </w:pPr>
          <w:r>
            <w:fldChar w:fldCharType="begin"/>
          </w:r>
          <w:r>
            <w:instrText xml:space="preserve"> HYPERLINK \l "_Toc25045_WPSOffice_Level2" </w:instrText>
          </w:r>
          <w:r>
            <w:fldChar w:fldCharType="separate"/>
          </w:r>
          <w:sdt>
            <w:sdtPr>
              <w:rPr>
                <w:kern w:val="2"/>
                <w:sz w:val="21"/>
                <w:szCs w:val="24"/>
              </w:rPr>
              <w:id w:val="-354728531"/>
              <w:placeholder>
                <w:docPart w:val="{3c7b1212-2169-4cc7-8771-01dbc5cfcda9}"/>
              </w:placeholder>
            </w:sdtPr>
            <w:sdtEndPr>
              <w:rPr>
                <w:kern w:val="2"/>
                <w:sz w:val="21"/>
                <w:szCs w:val="24"/>
              </w:rPr>
            </w:sdtEndPr>
            <w:sdtContent>
              <w:r>
                <w:rPr>
                  <w:rFonts w:hint="eastAsia" w:ascii="仿宋" w:hAnsi="仿宋" w:eastAsia="仿宋" w:cstheme="majorBidi"/>
                </w:rPr>
                <w:t>一、收入支出决算总表</w:t>
              </w:r>
            </w:sdtContent>
          </w:sdt>
          <w:r>
            <w:tab/>
          </w:r>
          <w:bookmarkStart w:id="21" w:name="_Toc25045_WPSOffice_Level2Page"/>
          <w:r>
            <w:t>4</w:t>
          </w:r>
          <w:bookmarkEnd w:id="21"/>
          <w:r>
            <w:rPr>
              <w:rFonts w:hint="eastAsia"/>
            </w:rPr>
            <w:t>5</w:t>
          </w:r>
          <w:r>
            <w:rPr>
              <w:rFonts w:hint="eastAsia"/>
            </w:rPr>
            <w:fldChar w:fldCharType="end"/>
          </w:r>
        </w:p>
        <w:p>
          <w:pPr>
            <w:pStyle w:val="41"/>
            <w:tabs>
              <w:tab w:val="right" w:leader="dot" w:pos="8306"/>
            </w:tabs>
            <w:ind w:left="420"/>
          </w:pPr>
          <w:r>
            <w:fldChar w:fldCharType="begin"/>
          </w:r>
          <w:r>
            <w:instrText xml:space="preserve"> HYPERLINK \l "_Toc32020_WPSOffice_Level2" </w:instrText>
          </w:r>
          <w:r>
            <w:fldChar w:fldCharType="separate"/>
          </w:r>
          <w:sdt>
            <w:sdtPr>
              <w:rPr>
                <w:kern w:val="2"/>
                <w:sz w:val="21"/>
                <w:szCs w:val="24"/>
              </w:rPr>
              <w:id w:val="1508944769"/>
              <w:placeholder>
                <w:docPart w:val="{4f0ce5d6-d707-4af4-8cd0-33e37f871b98}"/>
              </w:placeholder>
            </w:sdtPr>
            <w:sdtEndPr>
              <w:rPr>
                <w:kern w:val="2"/>
                <w:sz w:val="21"/>
                <w:szCs w:val="24"/>
              </w:rPr>
            </w:sdtEndPr>
            <w:sdtContent>
              <w:r>
                <w:rPr>
                  <w:rFonts w:hint="eastAsia" w:ascii="仿宋" w:hAnsi="仿宋" w:eastAsia="仿宋" w:cstheme="majorBidi"/>
                </w:rPr>
                <w:t>二、收入决算表</w:t>
              </w:r>
            </w:sdtContent>
          </w:sdt>
          <w:r>
            <w:tab/>
          </w:r>
          <w:bookmarkStart w:id="22" w:name="_Toc32020_WPSOffice_Level2Page"/>
          <w:r>
            <w:t>4</w:t>
          </w:r>
          <w:bookmarkEnd w:id="22"/>
          <w:r>
            <w:rPr>
              <w:rFonts w:hint="eastAsia"/>
            </w:rPr>
            <w:t>6</w:t>
          </w:r>
          <w:r>
            <w:rPr>
              <w:rFonts w:hint="eastAsia"/>
            </w:rPr>
            <w:fldChar w:fldCharType="end"/>
          </w:r>
        </w:p>
        <w:p>
          <w:pPr>
            <w:pStyle w:val="41"/>
            <w:tabs>
              <w:tab w:val="right" w:leader="dot" w:pos="8306"/>
            </w:tabs>
            <w:ind w:left="420"/>
          </w:pPr>
          <w:r>
            <w:fldChar w:fldCharType="begin"/>
          </w:r>
          <w:r>
            <w:instrText xml:space="preserve"> HYPERLINK \l "_Toc5316_WPSOffice_Level2" </w:instrText>
          </w:r>
          <w:r>
            <w:fldChar w:fldCharType="separate"/>
          </w:r>
          <w:sdt>
            <w:sdtPr>
              <w:rPr>
                <w:kern w:val="2"/>
                <w:sz w:val="21"/>
                <w:szCs w:val="24"/>
              </w:rPr>
              <w:id w:val="-756825047"/>
              <w:placeholder>
                <w:docPart w:val="{e39109a0-3331-46d5-9519-86b2c25ef84d}"/>
              </w:placeholder>
            </w:sdtPr>
            <w:sdtEndPr>
              <w:rPr>
                <w:kern w:val="2"/>
                <w:sz w:val="21"/>
                <w:szCs w:val="24"/>
              </w:rPr>
            </w:sdtEndPr>
            <w:sdtContent>
              <w:r>
                <w:rPr>
                  <w:rFonts w:hint="eastAsia" w:ascii="仿宋" w:hAnsi="仿宋" w:eastAsia="仿宋" w:cstheme="majorBidi"/>
                </w:rPr>
                <w:t>三、 支出决算表</w:t>
              </w:r>
            </w:sdtContent>
          </w:sdt>
          <w:r>
            <w:tab/>
          </w:r>
          <w:bookmarkStart w:id="23" w:name="_Toc5316_WPSOffice_Level2Page"/>
          <w:r>
            <w:t>4</w:t>
          </w:r>
          <w:bookmarkEnd w:id="23"/>
          <w:r>
            <w:rPr>
              <w:rFonts w:hint="eastAsia"/>
            </w:rPr>
            <w:t>6</w:t>
          </w:r>
          <w:r>
            <w:rPr>
              <w:rFonts w:hint="eastAsia"/>
            </w:rPr>
            <w:fldChar w:fldCharType="end"/>
          </w:r>
        </w:p>
        <w:p>
          <w:pPr>
            <w:pStyle w:val="41"/>
            <w:tabs>
              <w:tab w:val="right" w:leader="dot" w:pos="8306"/>
            </w:tabs>
            <w:ind w:left="420"/>
          </w:pPr>
          <w:r>
            <w:fldChar w:fldCharType="begin"/>
          </w:r>
          <w:r>
            <w:instrText xml:space="preserve"> HYPERLINK \l "_Toc26841_WPSOffice_Level2" </w:instrText>
          </w:r>
          <w:r>
            <w:fldChar w:fldCharType="separate"/>
          </w:r>
          <w:sdt>
            <w:sdtPr>
              <w:rPr>
                <w:kern w:val="2"/>
                <w:sz w:val="21"/>
                <w:szCs w:val="24"/>
              </w:rPr>
              <w:id w:val="-1035111880"/>
              <w:placeholder>
                <w:docPart w:val="{0f19a4cf-2352-4807-99b2-80bb7d968076}"/>
              </w:placeholder>
            </w:sdtPr>
            <w:sdtEndPr>
              <w:rPr>
                <w:kern w:val="2"/>
                <w:sz w:val="21"/>
                <w:szCs w:val="24"/>
              </w:rPr>
            </w:sdtEndPr>
            <w:sdtContent>
              <w:r>
                <w:rPr>
                  <w:rFonts w:hint="eastAsia" w:ascii="仿宋" w:hAnsi="仿宋" w:eastAsia="仿宋" w:cstheme="majorBidi"/>
                </w:rPr>
                <w:t>四、 财政拨款收入支出决算总表</w:t>
              </w:r>
            </w:sdtContent>
          </w:sdt>
          <w:r>
            <w:tab/>
          </w:r>
          <w:bookmarkStart w:id="24" w:name="_Toc26841_WPSOffice_Level2Page"/>
          <w:r>
            <w:t>4</w:t>
          </w:r>
          <w:bookmarkEnd w:id="24"/>
          <w:r>
            <w:rPr>
              <w:rFonts w:hint="eastAsia"/>
            </w:rPr>
            <w:t>7</w:t>
          </w:r>
          <w:r>
            <w:rPr>
              <w:rFonts w:hint="eastAsia"/>
            </w:rPr>
            <w:fldChar w:fldCharType="end"/>
          </w:r>
        </w:p>
        <w:p>
          <w:pPr>
            <w:pStyle w:val="41"/>
            <w:tabs>
              <w:tab w:val="right" w:leader="dot" w:pos="8306"/>
            </w:tabs>
            <w:ind w:left="420"/>
          </w:pPr>
          <w:r>
            <w:fldChar w:fldCharType="begin"/>
          </w:r>
          <w:r>
            <w:instrText xml:space="preserve"> HYPERLINK \l "_Toc21729_WPSOffice_Level2" </w:instrText>
          </w:r>
          <w:r>
            <w:fldChar w:fldCharType="separate"/>
          </w:r>
          <w:sdt>
            <w:sdtPr>
              <w:rPr>
                <w:kern w:val="2"/>
                <w:sz w:val="21"/>
                <w:szCs w:val="24"/>
              </w:rPr>
              <w:id w:val="381689139"/>
              <w:placeholder>
                <w:docPart w:val="{f2953095-e652-484e-85cb-842065868be3}"/>
              </w:placeholder>
            </w:sdtPr>
            <w:sdtEndPr>
              <w:rPr>
                <w:kern w:val="2"/>
                <w:sz w:val="21"/>
                <w:szCs w:val="24"/>
              </w:rPr>
            </w:sdtEndPr>
            <w:sdtContent>
              <w:r>
                <w:rPr>
                  <w:rFonts w:hint="eastAsia" w:ascii="仿宋" w:hAnsi="仿宋" w:eastAsia="仿宋" w:cstheme="majorBidi"/>
                </w:rPr>
                <w:t>五、 财政拨款支出决算明细表</w:t>
              </w:r>
            </w:sdtContent>
          </w:sdt>
          <w:r>
            <w:tab/>
          </w:r>
          <w:bookmarkStart w:id="25" w:name="_Toc21729_WPSOffice_Level2Page"/>
          <w:r>
            <w:t>4</w:t>
          </w:r>
          <w:bookmarkEnd w:id="25"/>
          <w:r>
            <w:rPr>
              <w:rFonts w:hint="eastAsia"/>
            </w:rPr>
            <w:t>8</w:t>
          </w:r>
          <w:r>
            <w:rPr>
              <w:rFonts w:hint="eastAsia"/>
            </w:rPr>
            <w:fldChar w:fldCharType="end"/>
          </w:r>
        </w:p>
        <w:p>
          <w:pPr>
            <w:pStyle w:val="41"/>
            <w:tabs>
              <w:tab w:val="right" w:leader="dot" w:pos="8306"/>
            </w:tabs>
            <w:ind w:left="420"/>
          </w:pPr>
          <w:r>
            <w:fldChar w:fldCharType="begin"/>
          </w:r>
          <w:r>
            <w:instrText xml:space="preserve"> HYPERLINK \l "_Toc27359_WPSOffice_Level2" </w:instrText>
          </w:r>
          <w:r>
            <w:fldChar w:fldCharType="separate"/>
          </w:r>
          <w:sdt>
            <w:sdtPr>
              <w:rPr>
                <w:kern w:val="2"/>
                <w:sz w:val="21"/>
                <w:szCs w:val="24"/>
              </w:rPr>
              <w:id w:val="1749612446"/>
              <w:placeholder>
                <w:docPart w:val="{08f30a9d-9031-4f5a-bcf4-ea5aef45ee7d}"/>
              </w:placeholder>
            </w:sdtPr>
            <w:sdtEndPr>
              <w:rPr>
                <w:kern w:val="2"/>
                <w:sz w:val="21"/>
                <w:szCs w:val="24"/>
              </w:rPr>
            </w:sdtEndPr>
            <w:sdtContent>
              <w:r>
                <w:rPr>
                  <w:rFonts w:hint="eastAsia" w:ascii="仿宋" w:hAnsi="仿宋" w:eastAsia="仿宋" w:cstheme="majorBidi"/>
                </w:rPr>
                <w:t>六、 一般公共预算财政拨款支出决算表</w:t>
              </w:r>
            </w:sdtContent>
          </w:sdt>
          <w:r>
            <w:tab/>
          </w:r>
          <w:bookmarkStart w:id="26" w:name="_Toc27359_WPSOffice_Level2Page"/>
          <w:r>
            <w:t>5</w:t>
          </w:r>
          <w:bookmarkEnd w:id="26"/>
          <w:r>
            <w:rPr>
              <w:rFonts w:hint="eastAsia"/>
            </w:rPr>
            <w:t>0</w:t>
          </w:r>
          <w:r>
            <w:rPr>
              <w:rFonts w:hint="eastAsia"/>
            </w:rPr>
            <w:fldChar w:fldCharType="end"/>
          </w:r>
        </w:p>
        <w:p>
          <w:pPr>
            <w:pStyle w:val="41"/>
            <w:tabs>
              <w:tab w:val="right" w:leader="dot" w:pos="8306"/>
            </w:tabs>
            <w:ind w:left="420"/>
          </w:pPr>
          <w:r>
            <w:fldChar w:fldCharType="begin"/>
          </w:r>
          <w:r>
            <w:instrText xml:space="preserve"> HYPERLINK \l "_Toc8653_WPSOffice_Level2" </w:instrText>
          </w:r>
          <w:r>
            <w:fldChar w:fldCharType="separate"/>
          </w:r>
          <w:sdt>
            <w:sdtPr>
              <w:rPr>
                <w:kern w:val="2"/>
                <w:sz w:val="21"/>
                <w:szCs w:val="24"/>
              </w:rPr>
              <w:id w:val="-712584346"/>
              <w:placeholder>
                <w:docPart w:val="{88099d03-994c-4400-acde-6eeaef1072a2}"/>
              </w:placeholder>
            </w:sdtPr>
            <w:sdtEndPr>
              <w:rPr>
                <w:kern w:val="2"/>
                <w:sz w:val="21"/>
                <w:szCs w:val="24"/>
              </w:rPr>
            </w:sdtEndPr>
            <w:sdtContent>
              <w:r>
                <w:rPr>
                  <w:rFonts w:hint="eastAsia" w:ascii="仿宋" w:hAnsi="仿宋" w:eastAsia="仿宋" w:cstheme="majorBidi"/>
                </w:rPr>
                <w:t>七、 一般公共预算财政拨款支出决算明细表</w:t>
              </w:r>
            </w:sdtContent>
          </w:sdt>
          <w:r>
            <w:tab/>
          </w:r>
          <w:bookmarkStart w:id="27" w:name="_Toc8653_WPSOffice_Level2Page"/>
          <w:r>
            <w:t>5</w:t>
          </w:r>
          <w:bookmarkEnd w:id="27"/>
          <w:r>
            <w:rPr>
              <w:rFonts w:hint="eastAsia"/>
            </w:rPr>
            <w:t>1</w:t>
          </w:r>
          <w:r>
            <w:rPr>
              <w:rFonts w:hint="eastAsia"/>
            </w:rPr>
            <w:fldChar w:fldCharType="end"/>
          </w:r>
        </w:p>
        <w:p>
          <w:pPr>
            <w:pStyle w:val="41"/>
            <w:tabs>
              <w:tab w:val="right" w:leader="dot" w:pos="8306"/>
            </w:tabs>
            <w:ind w:left="420"/>
          </w:pPr>
          <w:r>
            <w:fldChar w:fldCharType="begin"/>
          </w:r>
          <w:r>
            <w:instrText xml:space="preserve"> HYPERLINK \l "_Toc15548_WPSOffice_Level2" </w:instrText>
          </w:r>
          <w:r>
            <w:fldChar w:fldCharType="separate"/>
          </w:r>
          <w:sdt>
            <w:sdtPr>
              <w:rPr>
                <w:kern w:val="2"/>
                <w:sz w:val="21"/>
                <w:szCs w:val="24"/>
              </w:rPr>
              <w:id w:val="1652951502"/>
              <w:placeholder>
                <w:docPart w:val="{e28436ba-5f32-447a-ad61-b855144f00d7}"/>
              </w:placeholder>
            </w:sdtPr>
            <w:sdtEndPr>
              <w:rPr>
                <w:kern w:val="2"/>
                <w:sz w:val="21"/>
                <w:szCs w:val="24"/>
              </w:rPr>
            </w:sdtEndPr>
            <w:sdtContent>
              <w:r>
                <w:rPr>
                  <w:rFonts w:hint="eastAsia" w:ascii="仿宋" w:hAnsi="仿宋" w:eastAsia="仿宋" w:cstheme="majorBidi"/>
                </w:rPr>
                <w:t>八、 一般公共预算财政拨款基本支出决算表</w:t>
              </w:r>
            </w:sdtContent>
          </w:sdt>
          <w:r>
            <w:tab/>
          </w:r>
          <w:bookmarkStart w:id="28" w:name="_Toc15548_WPSOffice_Level2Page"/>
          <w:r>
            <w:t>5</w:t>
          </w:r>
          <w:bookmarkEnd w:id="28"/>
          <w:r>
            <w:rPr>
              <w:rFonts w:hint="eastAsia"/>
            </w:rPr>
            <w:t>3</w:t>
          </w:r>
          <w:r>
            <w:rPr>
              <w:rFonts w:hint="eastAsia"/>
            </w:rPr>
            <w:fldChar w:fldCharType="end"/>
          </w:r>
        </w:p>
        <w:p>
          <w:pPr>
            <w:pStyle w:val="41"/>
            <w:tabs>
              <w:tab w:val="right" w:leader="dot" w:pos="8306"/>
            </w:tabs>
            <w:ind w:left="420"/>
          </w:pPr>
          <w:r>
            <w:fldChar w:fldCharType="begin"/>
          </w:r>
          <w:r>
            <w:instrText xml:space="preserve"> HYPERLINK \l "_Toc28022_WPSOffice_Level2" </w:instrText>
          </w:r>
          <w:r>
            <w:fldChar w:fldCharType="separate"/>
          </w:r>
          <w:sdt>
            <w:sdtPr>
              <w:rPr>
                <w:kern w:val="2"/>
                <w:sz w:val="21"/>
                <w:szCs w:val="24"/>
              </w:rPr>
              <w:id w:val="2009857875"/>
              <w:placeholder>
                <w:docPart w:val="{79d382c3-9f34-4682-910f-d198dab4fdb2}"/>
              </w:placeholder>
            </w:sdtPr>
            <w:sdtEndPr>
              <w:rPr>
                <w:kern w:val="2"/>
                <w:sz w:val="21"/>
                <w:szCs w:val="24"/>
              </w:rPr>
            </w:sdtEndPr>
            <w:sdtContent>
              <w:r>
                <w:rPr>
                  <w:rFonts w:hint="eastAsia" w:ascii="仿宋" w:hAnsi="仿宋" w:eastAsia="仿宋" w:cstheme="majorBidi"/>
                </w:rPr>
                <w:t>九、 一般公共预算财政拨款项目支出决算表</w:t>
              </w:r>
            </w:sdtContent>
          </w:sdt>
          <w:r>
            <w:tab/>
          </w:r>
          <w:bookmarkStart w:id="29" w:name="_Toc28022_WPSOffice_Level2Page"/>
          <w:r>
            <w:t>5</w:t>
          </w:r>
          <w:bookmarkEnd w:id="29"/>
          <w:r>
            <w:rPr>
              <w:rFonts w:hint="eastAsia"/>
            </w:rPr>
            <w:t>3</w:t>
          </w:r>
          <w:r>
            <w:rPr>
              <w:rFonts w:hint="eastAsia"/>
            </w:rPr>
            <w:fldChar w:fldCharType="end"/>
          </w:r>
        </w:p>
        <w:p>
          <w:pPr>
            <w:pStyle w:val="41"/>
            <w:tabs>
              <w:tab w:val="right" w:leader="dot" w:pos="8306"/>
            </w:tabs>
            <w:ind w:left="420"/>
          </w:pPr>
          <w:r>
            <w:fldChar w:fldCharType="begin"/>
          </w:r>
          <w:r>
            <w:instrText xml:space="preserve"> HYPERLINK \l "_Toc21668_WPSOffice_Level2" </w:instrText>
          </w:r>
          <w:r>
            <w:fldChar w:fldCharType="separate"/>
          </w:r>
          <w:sdt>
            <w:sdtPr>
              <w:rPr>
                <w:kern w:val="2"/>
                <w:sz w:val="21"/>
                <w:szCs w:val="24"/>
              </w:rPr>
              <w:id w:val="1964151958"/>
            </w:sdtPr>
            <w:sdtEndPr>
              <w:rPr>
                <w:kern w:val="2"/>
                <w:sz w:val="21"/>
                <w:szCs w:val="24"/>
              </w:rPr>
            </w:sdtEndPr>
            <w:sdtContent>
              <w:r>
                <w:rPr>
                  <w:rFonts w:hint="eastAsia" w:ascii="仿宋" w:hAnsi="仿宋" w:eastAsia="仿宋" w:cstheme="majorBidi"/>
                </w:rPr>
                <w:t>十、 政府性基金预算财政拨款收入支出决算表</w:t>
              </w:r>
            </w:sdtContent>
          </w:sdt>
          <w:r>
            <w:tab/>
          </w:r>
          <w:bookmarkStart w:id="30" w:name="_Toc21668_WPSOffice_Level2Page"/>
          <w:r>
            <w:t>5</w:t>
          </w:r>
          <w:bookmarkEnd w:id="30"/>
          <w:r>
            <w:rPr>
              <w:rFonts w:hint="eastAsia"/>
            </w:rPr>
            <w:t>4</w:t>
          </w:r>
          <w:r>
            <w:rPr>
              <w:rFonts w:hint="eastAsia"/>
            </w:rPr>
            <w:fldChar w:fldCharType="end"/>
          </w:r>
        </w:p>
        <w:p>
          <w:pPr>
            <w:pStyle w:val="41"/>
            <w:tabs>
              <w:tab w:val="right" w:leader="dot" w:pos="8306"/>
            </w:tabs>
            <w:ind w:left="420"/>
          </w:pPr>
          <w:r>
            <w:fldChar w:fldCharType="begin"/>
          </w:r>
          <w:r>
            <w:instrText xml:space="preserve"> HYPERLINK \l "_Toc31032_WPSOffice_Level2" </w:instrText>
          </w:r>
          <w:r>
            <w:fldChar w:fldCharType="separate"/>
          </w:r>
          <w:sdt>
            <w:sdtPr>
              <w:rPr>
                <w:kern w:val="2"/>
                <w:sz w:val="21"/>
                <w:szCs w:val="24"/>
              </w:rPr>
              <w:id w:val="-1338763908"/>
            </w:sdtPr>
            <w:sdtEndPr>
              <w:rPr>
                <w:kern w:val="2"/>
                <w:sz w:val="21"/>
                <w:szCs w:val="24"/>
              </w:rPr>
            </w:sdtEndPr>
            <w:sdtContent>
              <w:r>
                <w:rPr>
                  <w:rFonts w:hint="eastAsia" w:ascii="仿宋" w:hAnsi="仿宋" w:eastAsia="仿宋" w:cstheme="majorBidi"/>
                </w:rPr>
                <w:t>十一、 国有资本经营预算财政拨款收入支出决算表</w:t>
              </w:r>
            </w:sdtContent>
          </w:sdt>
          <w:r>
            <w:tab/>
          </w:r>
          <w:bookmarkStart w:id="31" w:name="_Toc31032_WPSOffice_Level2Page"/>
          <w:r>
            <w:t>5</w:t>
          </w:r>
          <w:bookmarkEnd w:id="31"/>
          <w:r>
            <w:rPr>
              <w:rFonts w:hint="eastAsia"/>
            </w:rPr>
            <w:t>4</w:t>
          </w:r>
          <w:r>
            <w:rPr>
              <w:rFonts w:hint="eastAsia"/>
            </w:rPr>
            <w:fldChar w:fldCharType="end"/>
          </w:r>
        </w:p>
        <w:p>
          <w:pPr>
            <w:pStyle w:val="41"/>
            <w:tabs>
              <w:tab w:val="right" w:leader="dot" w:pos="8306"/>
            </w:tabs>
            <w:ind w:left="420"/>
          </w:pPr>
          <w:r>
            <w:fldChar w:fldCharType="begin"/>
          </w:r>
          <w:r>
            <w:instrText xml:space="preserve"> HYPERLINK \l "_Toc27284_WPSOffice_Level2" </w:instrText>
          </w:r>
          <w:r>
            <w:fldChar w:fldCharType="separate"/>
          </w:r>
          <w:sdt>
            <w:sdtPr>
              <w:rPr>
                <w:kern w:val="2"/>
                <w:sz w:val="21"/>
                <w:szCs w:val="24"/>
              </w:rPr>
              <w:id w:val="1907960668"/>
            </w:sdtPr>
            <w:sdtEndPr>
              <w:rPr>
                <w:kern w:val="2"/>
                <w:sz w:val="21"/>
                <w:szCs w:val="24"/>
              </w:rPr>
            </w:sdtEndPr>
            <w:sdtContent>
              <w:r>
                <w:rPr>
                  <w:rFonts w:hint="eastAsia" w:ascii="仿宋" w:hAnsi="仿宋" w:eastAsia="仿宋" w:cstheme="majorBidi"/>
                </w:rPr>
                <w:t>十二、 国有资本经营预算财政拨款支出决算表</w:t>
              </w:r>
            </w:sdtContent>
          </w:sdt>
          <w:r>
            <w:tab/>
          </w:r>
          <w:bookmarkStart w:id="32" w:name="_Toc27284_WPSOffice_Level2Page"/>
          <w:r>
            <w:t>5</w:t>
          </w:r>
          <w:bookmarkEnd w:id="32"/>
          <w:r>
            <w:rPr>
              <w:rFonts w:hint="eastAsia"/>
            </w:rPr>
            <w:t>5</w:t>
          </w:r>
          <w:r>
            <w:rPr>
              <w:rFonts w:hint="eastAsia"/>
            </w:rPr>
            <w:fldChar w:fldCharType="end"/>
          </w:r>
        </w:p>
        <w:p>
          <w:pPr>
            <w:pStyle w:val="41"/>
            <w:tabs>
              <w:tab w:val="right" w:leader="dot" w:pos="8306"/>
            </w:tabs>
            <w:ind w:left="420"/>
          </w:pPr>
          <w:r>
            <w:fldChar w:fldCharType="begin"/>
          </w:r>
          <w:r>
            <w:instrText xml:space="preserve"> HYPERLINK \l "_Toc28898_WPSOffice_Level2" </w:instrText>
          </w:r>
          <w:r>
            <w:fldChar w:fldCharType="separate"/>
          </w:r>
          <w:sdt>
            <w:sdtPr>
              <w:rPr>
                <w:kern w:val="2"/>
                <w:sz w:val="21"/>
                <w:szCs w:val="24"/>
              </w:rPr>
              <w:id w:val="-1079673324"/>
            </w:sdtPr>
            <w:sdtEndPr>
              <w:rPr>
                <w:kern w:val="2"/>
                <w:sz w:val="21"/>
                <w:szCs w:val="24"/>
              </w:rPr>
            </w:sdtEndPr>
            <w:sdtContent>
              <w:r>
                <w:rPr>
                  <w:rFonts w:hint="eastAsia" w:ascii="仿宋" w:hAnsi="仿宋" w:eastAsia="仿宋" w:cstheme="majorBidi"/>
                </w:rPr>
                <w:t>十三、 财政拨款“三公”经费支出决算表</w:t>
              </w:r>
            </w:sdtContent>
          </w:sdt>
          <w:r>
            <w:tab/>
          </w:r>
          <w:bookmarkStart w:id="33" w:name="_Toc28898_WPSOffice_Level2Page"/>
          <w:r>
            <w:t>5</w:t>
          </w:r>
          <w:bookmarkEnd w:id="33"/>
          <w:r>
            <w:rPr>
              <w:rFonts w:hint="eastAsia"/>
            </w:rPr>
            <w:t>5</w:t>
          </w:r>
          <w:r>
            <w:rPr>
              <w:rFonts w:hint="eastAsia"/>
            </w:rPr>
            <w:fldChar w:fldCharType="end"/>
          </w:r>
        </w:p>
      </w:sdtContent>
    </w:sdt>
    <w:bookmarkEnd w:id="12"/>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32"/>
          <w:rFonts w:ascii="黑体" w:hAnsi="黑体" w:eastAsia="黑体"/>
          <w:b/>
          <w:bCs w:val="0"/>
        </w:rPr>
      </w:pPr>
      <w:bookmarkStart w:id="34" w:name="_Toc5599_WPSOffice_Level1"/>
      <w:r>
        <w:rPr>
          <w:rFonts w:hint="eastAsia" w:ascii="黑体" w:hAnsi="黑体" w:eastAsia="黑体"/>
          <w:b w:val="0"/>
        </w:rPr>
        <w:t xml:space="preserve">第一部分 </w:t>
      </w:r>
      <w:r>
        <w:rPr>
          <w:rStyle w:val="32"/>
          <w:rFonts w:hint="eastAsia" w:ascii="黑体" w:hAnsi="黑体" w:eastAsia="黑体"/>
          <w:b w:val="0"/>
          <w:bCs w:val="0"/>
        </w:rPr>
        <w:t>部门概况</w:t>
      </w:r>
      <w:bookmarkEnd w:id="13"/>
      <w:bookmarkEnd w:id="14"/>
      <w:bookmarkEnd w:id="34"/>
    </w:p>
    <w:p>
      <w:pPr>
        <w:widowControl/>
        <w:jc w:val="left"/>
        <w:rPr>
          <w:rFonts w:ascii="黑体" w:eastAsia="黑体"/>
          <w:sz w:val="32"/>
          <w:szCs w:val="32"/>
        </w:rPr>
      </w:pPr>
    </w:p>
    <w:p>
      <w:pPr>
        <w:pStyle w:val="4"/>
        <w:numPr>
          <w:ilvl w:val="0"/>
          <w:numId w:val="1"/>
        </w:numPr>
        <w:rPr>
          <w:rFonts w:ascii="黑体" w:hAnsi="黑体" w:eastAsia="黑体"/>
          <w:b w:val="0"/>
        </w:rPr>
      </w:pPr>
      <w:bookmarkStart w:id="35" w:name="_Toc1897_WPSOffice_Level2"/>
      <w:r>
        <w:rPr>
          <w:rFonts w:hint="eastAsia" w:ascii="黑体" w:hAnsi="黑体" w:eastAsia="黑体"/>
          <w:b w:val="0"/>
        </w:rPr>
        <w:t>部门职责</w:t>
      </w:r>
      <w:bookmarkEnd w:id="35"/>
    </w:p>
    <w:p>
      <w:pPr>
        <w:pStyle w:val="16"/>
        <w:shd w:val="clear" w:color="auto" w:fill="FFFFFF"/>
        <w:spacing w:before="93" w:beforeAutospacing="0" w:after="0" w:afterAutospacing="0" w:line="560" w:lineRule="exact"/>
        <w:ind w:firstLine="672"/>
        <w:jc w:val="both"/>
        <w:rPr>
          <w:color w:val="333333"/>
          <w:sz w:val="32"/>
        </w:rPr>
      </w:pPr>
      <w:r>
        <w:rPr>
          <w:rFonts w:hint="eastAsia" w:ascii="仿宋_GB2312"/>
          <w:color w:val="333333"/>
          <w:sz w:val="32"/>
        </w:rPr>
        <w:t>1.贯彻执行国家关于司法行政工作的方针、政策和法律、法规及规章，制定全县司法行政规范性文件和工作发展规划、工作计划并组织实施。</w:t>
      </w:r>
    </w:p>
    <w:p>
      <w:pPr>
        <w:pStyle w:val="16"/>
        <w:shd w:val="clear" w:color="auto" w:fill="FFFFFF"/>
        <w:spacing w:before="93" w:beforeAutospacing="0" w:after="0" w:afterAutospacing="0" w:line="560" w:lineRule="exact"/>
        <w:ind w:firstLine="672"/>
        <w:jc w:val="both"/>
        <w:rPr>
          <w:color w:val="333333"/>
          <w:sz w:val="32"/>
        </w:rPr>
      </w:pPr>
      <w:r>
        <w:rPr>
          <w:rFonts w:hint="eastAsia" w:ascii="仿宋_GB2312"/>
          <w:color w:val="333333"/>
          <w:sz w:val="32"/>
        </w:rPr>
        <w:t>2.拟定全县普及法律常识规划和法制宣传教育计划并组织实施，指导全县各行业的法制宣传和依法治理工作。</w:t>
      </w:r>
    </w:p>
    <w:p>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3.组织开展全面依法治县重大问题的政策研究，协调督促有关方面落实委员会决定事项、工作部署和要求等。</w:t>
      </w:r>
    </w:p>
    <w:p>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4.承担统筹推进法治政府建设的责任。</w:t>
      </w:r>
    </w:p>
    <w:p>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5.负责指导监督全县律师、法律援助、公证、基层法律服务管理工作。</w:t>
      </w:r>
    </w:p>
    <w:p>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6.指导全县人民调解工作和基层司法所工作。</w:t>
      </w:r>
    </w:p>
    <w:p>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7.指导管理全县社区矫正工作。指导刑满释放人员安置帮教工作。</w:t>
      </w:r>
    </w:p>
    <w:p>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8.组织开展全县司法行政系统队伍建设和思想政治工作。</w:t>
      </w:r>
    </w:p>
    <w:p>
      <w:pPr>
        <w:pStyle w:val="16"/>
        <w:shd w:val="clear" w:color="auto" w:fill="FFFFFF"/>
        <w:spacing w:before="0" w:beforeAutospacing="0" w:after="0" w:afterAutospacing="0" w:line="560" w:lineRule="exact"/>
        <w:ind w:firstLine="672"/>
        <w:jc w:val="both"/>
        <w:rPr>
          <w:rFonts w:ascii="Times New Roman"/>
          <w:bCs/>
          <w:sz w:val="32"/>
          <w:u w:val="single"/>
        </w:rPr>
      </w:pPr>
      <w:r>
        <w:rPr>
          <w:rFonts w:hint="eastAsia" w:ascii="仿宋_GB2312"/>
          <w:color w:val="333333"/>
          <w:sz w:val="32"/>
        </w:rPr>
        <w:t>9.完成县委、县政府交办的其他任务。</w:t>
      </w:r>
    </w:p>
    <w:p>
      <w:pPr>
        <w:pStyle w:val="4"/>
        <w:rPr>
          <w:rStyle w:val="33"/>
          <w:b w:val="0"/>
          <w:bCs w:val="0"/>
        </w:rPr>
      </w:pPr>
      <w:bookmarkStart w:id="36" w:name="_Toc15377200"/>
      <w:bookmarkStart w:id="37" w:name="_Toc26687_WPSOffice_Level2"/>
      <w:bookmarkStart w:id="38" w:name="_Toc15396601"/>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36"/>
      <w:bookmarkEnd w:id="37"/>
      <w:bookmarkEnd w:id="38"/>
    </w:p>
    <w:p>
      <w:pPr>
        <w:ind w:firstLine="800" w:firstLineChars="250"/>
        <w:rPr>
          <w:rFonts w:ascii="仿宋" w:hAnsi="仿宋" w:eastAsia="仿宋"/>
          <w:sz w:val="32"/>
          <w:szCs w:val="32"/>
        </w:rPr>
      </w:pPr>
      <w:r>
        <w:rPr>
          <w:rFonts w:hint="eastAsia" w:ascii="仿宋" w:hAnsi="仿宋" w:eastAsia="仿宋"/>
          <w:sz w:val="32"/>
          <w:szCs w:val="32"/>
        </w:rPr>
        <w:t>盐边县司法局下属二级预算单位2个，其中行政单位0个，参照公务员法管理的事业单位</w:t>
      </w:r>
      <w:r>
        <w:rPr>
          <w:rFonts w:hint="eastAsia" w:ascii="仿宋" w:hAnsi="仿宋" w:eastAsia="仿宋"/>
          <w:bCs/>
          <w:sz w:val="32"/>
          <w:szCs w:val="32"/>
        </w:rPr>
        <w:t>2</w:t>
      </w:r>
      <w:r>
        <w:rPr>
          <w:rFonts w:hint="eastAsia" w:ascii="仿宋" w:hAnsi="仿宋" w:eastAsia="仿宋"/>
          <w:sz w:val="32"/>
          <w:szCs w:val="32"/>
        </w:rPr>
        <w:t>个，其他事业单位0个。</w:t>
      </w:r>
    </w:p>
    <w:p>
      <w:pPr>
        <w:pStyle w:val="7"/>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纳入盐边县司法局2022年度部门决算编制范围的二级预算单位包括：</w:t>
      </w:r>
    </w:p>
    <w:p>
      <w:pPr>
        <w:pStyle w:val="7"/>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rPr>
        <w:t>盐边县法律援助中心</w:t>
      </w:r>
    </w:p>
    <w:p>
      <w:pPr>
        <w:pStyle w:val="7"/>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rPr>
        <w:t>盐边县公证处</w:t>
      </w:r>
      <w:r>
        <w:rPr>
          <w:rFonts w:ascii="仿宋" w:hAnsi="仿宋" w:eastAsia="仿宋"/>
          <w:sz w:val="32"/>
          <w:szCs w:val="32"/>
        </w:rPr>
        <w:br w:type="page"/>
      </w:r>
    </w:p>
    <w:p>
      <w:pPr>
        <w:pStyle w:val="3"/>
        <w:ind w:right="440"/>
        <w:jc w:val="center"/>
        <w:rPr>
          <w:rStyle w:val="32"/>
          <w:rFonts w:ascii="黑体" w:hAnsi="黑体" w:eastAsia="黑体"/>
          <w:b w:val="0"/>
          <w:bCs/>
        </w:rPr>
      </w:pPr>
      <w:bookmarkStart w:id="39" w:name="_Toc15377204"/>
      <w:bookmarkStart w:id="40" w:name="_Toc15396602"/>
      <w:bookmarkStart w:id="41" w:name="_Toc1897_WPSOffice_Level1"/>
      <w:r>
        <w:rPr>
          <w:rFonts w:hint="eastAsia" w:ascii="黑体" w:hAnsi="黑体" w:eastAsia="黑体"/>
          <w:b w:val="0"/>
        </w:rPr>
        <w:t>第二部分 2022年度</w:t>
      </w:r>
      <w:r>
        <w:rPr>
          <w:rStyle w:val="32"/>
          <w:rFonts w:hint="eastAsia" w:ascii="黑体" w:hAnsi="黑体" w:eastAsia="黑体"/>
          <w:b w:val="0"/>
          <w:bCs/>
        </w:rPr>
        <w:t>部门决算情况说明</w:t>
      </w:r>
      <w:bookmarkEnd w:id="39"/>
      <w:bookmarkEnd w:id="40"/>
      <w:bookmarkEnd w:id="41"/>
    </w:p>
    <w:p/>
    <w:p>
      <w:pPr>
        <w:pStyle w:val="31"/>
        <w:numPr>
          <w:ilvl w:val="0"/>
          <w:numId w:val="3"/>
        </w:numPr>
        <w:spacing w:line="600" w:lineRule="exact"/>
        <w:ind w:firstLineChars="0"/>
        <w:outlineLvl w:val="1"/>
        <w:rPr>
          <w:rStyle w:val="33"/>
          <w:rFonts w:ascii="黑体" w:hAnsi="黑体" w:eastAsia="黑体"/>
          <w:b w:val="0"/>
        </w:rPr>
      </w:pPr>
      <w:bookmarkStart w:id="42" w:name="_Toc15396603"/>
      <w:bookmarkStart w:id="43" w:name="_Toc15377205"/>
      <w:bookmarkStart w:id="44" w:name="_Toc19130_WPSOffice_Level2"/>
      <w:r>
        <w:rPr>
          <w:rFonts w:hint="eastAsia" w:ascii="黑体" w:hAnsi="黑体" w:eastAsia="黑体"/>
          <w:sz w:val="32"/>
          <w:szCs w:val="32"/>
        </w:rPr>
        <w:t>收</w:t>
      </w:r>
      <w:r>
        <w:rPr>
          <w:rStyle w:val="33"/>
          <w:rFonts w:hint="eastAsia" w:ascii="黑体" w:hAnsi="黑体" w:eastAsia="黑体"/>
          <w:b w:val="0"/>
        </w:rPr>
        <w:t>入支出决算总体情况说明</w:t>
      </w:r>
      <w:bookmarkEnd w:id="42"/>
      <w:bookmarkEnd w:id="43"/>
      <w:bookmarkEnd w:id="44"/>
    </w:p>
    <w:p>
      <w:pPr>
        <w:keepNext/>
        <w:keepLines/>
        <w:spacing w:line="576" w:lineRule="exact"/>
        <w:ind w:firstLine="640"/>
        <w:rPr>
          <w:rFonts w:ascii="仿宋_GB2312" w:eastAsia="仿宋_GB2312"/>
          <w:sz w:val="32"/>
          <w:szCs w:val="32"/>
        </w:rPr>
      </w:pPr>
      <w:r>
        <w:rPr>
          <w:rFonts w:hint="eastAsia" w:ascii="仿宋_GB2312" w:hAnsi="仿宋_GB2312" w:eastAsia="仿宋_GB2312"/>
          <w:color w:val="000000"/>
          <w:sz w:val="32"/>
          <w:lang w:val="zh-CN"/>
        </w:rPr>
        <w:t>2022年度收、支总计1,163.03万元。与2021年相比，收、支总计各增加40.15万元，增长3.6%。主要变动原因是基础性绩效纳入工资发放，人员经费增加。</w:t>
      </w:r>
    </w:p>
    <w:p>
      <w:pPr>
        <w:pStyle w:val="7"/>
        <w:spacing w:before="93"/>
        <w:rPr>
          <w:sz w:val="32"/>
          <w:szCs w:val="32"/>
        </w:rPr>
      </w:pPr>
    </w:p>
    <w:p>
      <w:pPr>
        <w:pStyle w:val="7"/>
        <w:spacing w:before="93"/>
        <w:rPr>
          <w:sz w:val="32"/>
          <w:szCs w:val="32"/>
        </w:rPr>
      </w:pPr>
      <w:r>
        <w:drawing>
          <wp:inline distT="0" distB="0" distL="114300" distR="114300">
            <wp:extent cx="5273040" cy="3050540"/>
            <wp:effectExtent l="4445" t="4445" r="18415" b="12065"/>
            <wp:docPr id="322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spacing w:before="93"/>
        <w:rPr>
          <w:sz w:val="32"/>
          <w:szCs w:val="32"/>
        </w:rPr>
      </w:pPr>
    </w:p>
    <w:p>
      <w:pPr>
        <w:pStyle w:val="31"/>
        <w:numPr>
          <w:ilvl w:val="0"/>
          <w:numId w:val="3"/>
        </w:numPr>
        <w:spacing w:line="600" w:lineRule="exact"/>
        <w:ind w:firstLineChars="0"/>
        <w:outlineLvl w:val="1"/>
        <w:rPr>
          <w:rStyle w:val="33"/>
          <w:rFonts w:ascii="黑体" w:hAnsi="黑体" w:eastAsia="黑体"/>
        </w:rPr>
      </w:pPr>
      <w:bookmarkStart w:id="45" w:name="_Toc15377206"/>
      <w:bookmarkStart w:id="46" w:name="_Toc15396604"/>
      <w:bookmarkStart w:id="47" w:name="_Toc32520_WPSOffice_Level2"/>
      <w:r>
        <w:rPr>
          <w:rStyle w:val="33"/>
          <w:rFonts w:hint="eastAsia" w:ascii="黑体" w:hAnsi="黑体" w:eastAsia="黑体"/>
        </w:rPr>
        <w:t>收</w:t>
      </w:r>
      <w:r>
        <w:rPr>
          <w:rStyle w:val="33"/>
          <w:rFonts w:hint="eastAsia" w:ascii="黑体" w:hAnsi="黑体" w:eastAsia="黑体"/>
          <w:b w:val="0"/>
        </w:rPr>
        <w:t>入决算情况说明</w:t>
      </w:r>
      <w:bookmarkEnd w:id="45"/>
      <w:bookmarkEnd w:id="46"/>
      <w:bookmarkEnd w:id="47"/>
    </w:p>
    <w:p>
      <w:pPr>
        <w:pStyle w:val="31"/>
        <w:spacing w:line="600" w:lineRule="exact"/>
        <w:ind w:firstLine="640"/>
        <w:outlineLvl w:val="1"/>
        <w:rPr>
          <w:rFonts w:ascii="仿宋" w:hAnsi="仿宋" w:eastAsia="仿宋"/>
          <w:sz w:val="32"/>
          <w:szCs w:val="32"/>
        </w:rPr>
      </w:pPr>
      <w:r>
        <w:rPr>
          <w:rFonts w:hint="eastAsia" w:ascii="仿宋_GB2312" w:hAnsi="仿宋_GB2312" w:eastAsia="仿宋_GB2312"/>
          <w:color w:val="000000"/>
          <w:sz w:val="32"/>
          <w:lang w:val="zh-CN"/>
        </w:rPr>
        <w:t>2022年本年收入合计1,163.03万元，其中：一般公共预算财政拨款收入1,163.03万元，占100%；政府性基金预算财政拨款收入0万元，占0%；国有资本经营预算财政拨款收入0万元，占0%；上级补助收入0万元，占0%；事业收入0万元，占0%；经营收入0万元，占0%；附属单位上缴收入0万元，占0%；其他收入0万元，占0%。</w:t>
      </w:r>
    </w:p>
    <w:p>
      <w:pPr>
        <w:pStyle w:val="7"/>
        <w:spacing w:before="93"/>
        <w:rPr>
          <w:rFonts w:ascii="仿宋" w:hAnsi="仿宋" w:eastAsia="仿宋"/>
          <w:sz w:val="32"/>
          <w:szCs w:val="32"/>
        </w:rPr>
      </w:pPr>
      <w:r>
        <w:drawing>
          <wp:inline distT="0" distB="0" distL="114300" distR="114300">
            <wp:extent cx="5271135" cy="2661285"/>
            <wp:effectExtent l="4445" t="4445" r="20320" b="20320"/>
            <wp:docPr id="32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31"/>
        <w:numPr>
          <w:ilvl w:val="0"/>
          <w:numId w:val="3"/>
        </w:numPr>
        <w:spacing w:line="600" w:lineRule="exact"/>
        <w:ind w:firstLineChars="0"/>
        <w:outlineLvl w:val="1"/>
        <w:rPr>
          <w:rStyle w:val="33"/>
          <w:rFonts w:ascii="黑体" w:hAnsi="黑体" w:eastAsia="黑体"/>
          <w:b w:val="0"/>
        </w:rPr>
      </w:pPr>
      <w:bookmarkStart w:id="48" w:name="_Toc20176_WPSOffice_Level2"/>
      <w:bookmarkStart w:id="49" w:name="_Toc15377207"/>
      <w:bookmarkStart w:id="50" w:name="_Toc15396605"/>
      <w:r>
        <w:rPr>
          <w:rFonts w:hint="eastAsia" w:ascii="黑体" w:hAnsi="黑体" w:eastAsia="黑体"/>
          <w:sz w:val="32"/>
          <w:szCs w:val="32"/>
        </w:rPr>
        <w:t>支</w:t>
      </w:r>
      <w:r>
        <w:rPr>
          <w:rStyle w:val="33"/>
          <w:rFonts w:hint="eastAsia" w:ascii="黑体" w:hAnsi="黑体" w:eastAsia="黑体"/>
          <w:b w:val="0"/>
        </w:rPr>
        <w:t>出决算情况说明</w:t>
      </w:r>
      <w:bookmarkEnd w:id="48"/>
      <w:bookmarkEnd w:id="49"/>
      <w:bookmarkEnd w:id="50"/>
    </w:p>
    <w:p>
      <w:pPr>
        <w:keepNext/>
        <w:keepLines/>
        <w:spacing w:line="576" w:lineRule="exact"/>
        <w:ind w:firstLine="640"/>
      </w:pPr>
      <w:r>
        <w:rPr>
          <w:rFonts w:hint="eastAsia" w:ascii="仿宋_GB2312" w:hAnsi="仿宋_GB2312" w:eastAsia="仿宋_GB2312"/>
          <w:color w:val="000000"/>
          <w:sz w:val="32"/>
          <w:lang w:val="zh-CN"/>
        </w:rPr>
        <w:t>2022年本年支出合计1,163.03万元，其中：基本支出955.59万元，占82.2%；项目支出207.44万元，占17.8%；上缴上级支出0万元，占0%；经营支出0万元，占0%；对附属单位补助支出0万元，占0%。</w:t>
      </w:r>
    </w:p>
    <w:p>
      <w:pPr>
        <w:spacing w:line="600" w:lineRule="exact"/>
      </w:pPr>
      <w:r>
        <w:drawing>
          <wp:anchor distT="0" distB="0" distL="114300" distR="114300" simplePos="0" relativeHeight="251659264" behindDoc="1" locked="0" layoutInCell="1" allowOverlap="1">
            <wp:simplePos x="0" y="0"/>
            <wp:positionH relativeFrom="column">
              <wp:posOffset>313055</wp:posOffset>
            </wp:positionH>
            <wp:positionV relativeFrom="paragraph">
              <wp:posOffset>105410</wp:posOffset>
            </wp:positionV>
            <wp:extent cx="5272405" cy="2654300"/>
            <wp:effectExtent l="4445" t="4445" r="19050" b="8255"/>
            <wp:wrapThrough wrapText="bothSides">
              <wp:wrapPolygon>
                <wp:start x="-18" y="-36"/>
                <wp:lineTo x="-18" y="21512"/>
                <wp:lineTo x="21522" y="21512"/>
                <wp:lineTo x="21522" y="-36"/>
                <wp:lineTo x="-18" y="-36"/>
              </wp:wrapPolygon>
            </wp:wrapThrough>
            <wp:docPr id="32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420" w:firstLineChars="200"/>
      </w:pPr>
    </w:p>
    <w:p>
      <w:pPr>
        <w:spacing w:line="600" w:lineRule="exact"/>
      </w:pPr>
    </w:p>
    <w:p>
      <w:pPr>
        <w:spacing w:line="600" w:lineRule="exact"/>
        <w:rPr>
          <w:rFonts w:ascii="仿宋_GB2312" w:eastAsia="仿宋_GB2312"/>
          <w:sz w:val="32"/>
          <w:szCs w:val="32"/>
        </w:rPr>
      </w:pPr>
    </w:p>
    <w:p>
      <w:pPr>
        <w:spacing w:line="600" w:lineRule="exact"/>
        <w:ind w:firstLine="640" w:firstLineChars="200"/>
        <w:outlineLvl w:val="1"/>
        <w:rPr>
          <w:rStyle w:val="33"/>
          <w:rFonts w:ascii="黑体" w:hAnsi="黑体" w:eastAsia="黑体"/>
          <w:b w:val="0"/>
        </w:rPr>
      </w:pPr>
      <w:bookmarkStart w:id="51" w:name="_Toc22929_WPSOffice_Level2"/>
      <w:bookmarkStart w:id="52" w:name="_Toc15396606"/>
      <w:bookmarkStart w:id="53" w:name="_Toc15377208"/>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51"/>
      <w:bookmarkEnd w:id="52"/>
      <w:bookmarkEnd w:id="53"/>
    </w:p>
    <w:p>
      <w:pPr>
        <w:keepNext/>
        <w:keepLines/>
        <w:spacing w:line="576" w:lineRule="exact"/>
        <w:ind w:firstLine="640"/>
        <w:rPr>
          <w:rFonts w:ascii="仿宋_GB2312" w:hAnsi="仿宋_GB2312" w:eastAsia="仿宋_GB2312"/>
          <w:color w:val="000000"/>
          <w:sz w:val="32"/>
          <w:lang w:val="zh-CN"/>
        </w:rPr>
      </w:pPr>
      <w:r>
        <w:rPr>
          <w:rFonts w:hint="eastAsia" w:ascii="仿宋_GB2312" w:hAnsi="仿宋_GB2312" w:eastAsia="仿宋_GB2312"/>
          <w:color w:val="000000"/>
          <w:sz w:val="32"/>
          <w:lang w:val="zh-CN"/>
        </w:rPr>
        <w:t>2022年财政拨款收、支总计1,163.03万元。与2021年相比，财政拨款收、支总计各增加40.15万元，增长3.6%。主要变动原因是基础性绩效纳入工资发放，人员经费增加。</w:t>
      </w:r>
    </w:p>
    <w:p>
      <w:pPr>
        <w:pStyle w:val="2"/>
        <w:rPr>
          <w:rFonts w:ascii="仿宋_GB2312" w:hAnsi="仿宋_GB2312" w:eastAsia="仿宋_GB2312"/>
          <w:color w:val="000000"/>
          <w:sz w:val="32"/>
          <w:lang w:val="zh-CN"/>
        </w:rPr>
      </w:pPr>
      <w:r>
        <w:drawing>
          <wp:anchor distT="0" distB="0" distL="114300" distR="114300" simplePos="0" relativeHeight="251667456" behindDoc="1" locked="0" layoutInCell="1" allowOverlap="1">
            <wp:simplePos x="0" y="0"/>
            <wp:positionH relativeFrom="column">
              <wp:posOffset>247650</wp:posOffset>
            </wp:positionH>
            <wp:positionV relativeFrom="paragraph">
              <wp:posOffset>215265</wp:posOffset>
            </wp:positionV>
            <wp:extent cx="5269230" cy="2743835"/>
            <wp:effectExtent l="4445" t="4445" r="22225" b="13970"/>
            <wp:wrapThrough wrapText="bothSides">
              <wp:wrapPolygon>
                <wp:start x="-18" y="-35"/>
                <wp:lineTo x="-18" y="21560"/>
                <wp:lineTo x="21535" y="21560"/>
                <wp:lineTo x="21535" y="-35"/>
                <wp:lineTo x="-18" y="-35"/>
              </wp:wrapPolygon>
            </wp:wrapThrough>
            <wp:docPr id="323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pStyle w:val="2"/>
        <w:rPr>
          <w:rFonts w:ascii="仿宋_GB2312" w:hAnsi="仿宋_GB2312" w:eastAsia="仿宋_GB2312"/>
          <w:color w:val="000000"/>
          <w:sz w:val="32"/>
          <w:lang w:val="zh-CN"/>
        </w:rPr>
      </w:pPr>
    </w:p>
    <w:p>
      <w:pPr>
        <w:spacing w:line="600" w:lineRule="exact"/>
        <w:ind w:firstLine="640" w:firstLineChars="200"/>
        <w:outlineLvl w:val="1"/>
        <w:rPr>
          <w:rStyle w:val="33"/>
          <w:rFonts w:ascii="黑体" w:hAnsi="黑体" w:eastAsia="黑体"/>
          <w:b w:val="0"/>
        </w:rPr>
      </w:pPr>
      <w:bookmarkStart w:id="54" w:name="_Toc19059_WPSOffice_Level2"/>
      <w:bookmarkStart w:id="55" w:name="_Toc15377209"/>
      <w:bookmarkStart w:id="56" w:name="_Toc15396607"/>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54"/>
      <w:bookmarkEnd w:id="55"/>
      <w:bookmarkEnd w:id="56"/>
    </w:p>
    <w:p>
      <w:pPr>
        <w:spacing w:line="600" w:lineRule="exact"/>
        <w:ind w:firstLine="643" w:firstLineChars="200"/>
        <w:outlineLvl w:val="2"/>
        <w:rPr>
          <w:rFonts w:ascii="仿宋" w:hAnsi="仿宋" w:eastAsia="仿宋"/>
          <w:b/>
          <w:sz w:val="32"/>
          <w:szCs w:val="32"/>
        </w:rPr>
      </w:pPr>
      <w:bookmarkStart w:id="57" w:name="_Toc15377210"/>
      <w:r>
        <w:rPr>
          <w:rFonts w:hint="eastAsia" w:ascii="仿宋" w:hAnsi="仿宋" w:eastAsia="仿宋"/>
          <w:b/>
          <w:sz w:val="32"/>
          <w:szCs w:val="32"/>
        </w:rPr>
        <w:t>（一）一般公共预算财政拨款支出决算总体情况</w:t>
      </w:r>
      <w:bookmarkEnd w:id="57"/>
    </w:p>
    <w:p>
      <w:pPr>
        <w:spacing w:line="600" w:lineRule="exact"/>
        <w:ind w:firstLine="960" w:firstLineChars="300"/>
        <w:outlineLvl w:val="2"/>
        <w:rPr>
          <w:rFonts w:ascii="仿宋_GB2312" w:hAnsi="仿宋_GB2312" w:eastAsia="仿宋_GB2312"/>
          <w:color w:val="000000"/>
          <w:sz w:val="32"/>
          <w:lang w:val="zh-CN"/>
        </w:rPr>
      </w:pPr>
      <w:r>
        <w:rPr>
          <w:rFonts w:hint="eastAsia" w:ascii="仿宋_GB2312" w:hAnsi="仿宋_GB2312" w:eastAsia="仿宋_GB2312"/>
          <w:color w:val="000000"/>
          <w:sz w:val="32"/>
          <w:lang w:val="zh-CN"/>
        </w:rPr>
        <w:t>2022年一般公共预算财政拨款支出1,163.03万元，占本年支出合计的100%。与2021年相比，一般公共预算财政拨款支出增加40.15万元，增长3.6%。主要变动原因是基础性绩效纳入工资发放，人员经费增加。</w:t>
      </w:r>
    </w:p>
    <w:p>
      <w:pPr>
        <w:spacing w:line="600" w:lineRule="exact"/>
        <w:ind w:firstLine="420" w:firstLineChars="200"/>
        <w:rPr>
          <w:rFonts w:ascii="仿宋" w:hAnsi="仿宋" w:eastAsia="仿宋"/>
          <w:sz w:val="32"/>
          <w:szCs w:val="32"/>
        </w:rPr>
      </w:pPr>
      <w:r>
        <w:drawing>
          <wp:anchor distT="0" distB="0" distL="114300" distR="114300" simplePos="0" relativeHeight="251660288" behindDoc="1" locked="0" layoutInCell="1" allowOverlap="1">
            <wp:simplePos x="0" y="0"/>
            <wp:positionH relativeFrom="column">
              <wp:posOffset>-172720</wp:posOffset>
            </wp:positionH>
            <wp:positionV relativeFrom="paragraph">
              <wp:posOffset>210185</wp:posOffset>
            </wp:positionV>
            <wp:extent cx="5273040" cy="2692400"/>
            <wp:effectExtent l="4445" t="4445" r="18415" b="8255"/>
            <wp:wrapThrough wrapText="bothSides">
              <wp:wrapPolygon>
                <wp:start x="-18" y="-36"/>
                <wp:lineTo x="-18" y="21513"/>
                <wp:lineTo x="21519" y="21513"/>
                <wp:lineTo x="21519" y="-36"/>
                <wp:lineTo x="-18" y="-36"/>
              </wp:wrapPolygon>
            </wp:wrapThrough>
            <wp:docPr id="32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sz w:val="32"/>
          <w:szCs w:val="32"/>
        </w:rPr>
      </w:pPr>
      <w:bookmarkStart w:id="58" w:name="_Toc15377211"/>
      <w:r>
        <w:rPr>
          <w:rFonts w:hint="eastAsia" w:ascii="仿宋" w:hAnsi="仿宋" w:eastAsia="仿宋"/>
          <w:b/>
          <w:sz w:val="32"/>
          <w:szCs w:val="32"/>
        </w:rPr>
        <w:t>（二）一般公共预算财政拨款支出决算结构情况</w:t>
      </w:r>
      <w:bookmarkEnd w:id="58"/>
    </w:p>
    <w:p>
      <w:pPr>
        <w:keepNext/>
        <w:keepLines/>
        <w:spacing w:line="576" w:lineRule="exact"/>
        <w:ind w:firstLine="640"/>
        <w:rPr>
          <w:rFonts w:ascii="仿宋_GB2312" w:hAnsi="仿宋_GB2312" w:eastAsia="仿宋_GB2312"/>
          <w:color w:val="000000"/>
          <w:sz w:val="32"/>
          <w:lang w:val="zh-CN"/>
        </w:rPr>
      </w:pPr>
      <w:r>
        <w:rPr>
          <w:rFonts w:hint="eastAsia" w:ascii="仿宋_GB2312" w:hAnsi="仿宋_GB2312" w:eastAsia="仿宋_GB2312"/>
          <w:color w:val="000000"/>
          <w:sz w:val="32"/>
          <w:lang w:val="zh-CN"/>
        </w:rPr>
        <w:t>2022年一般公共预算财政拨款支出1,163.03万元，主要用于以下方面: 公共安全支出931.96万元，占80.1%；社会保障和就业支出87.95万元，占7.6%；卫生健康支出71.84万元，占6.2%；住房保障支出71.28万元，占6.1%。</w:t>
      </w:r>
    </w:p>
    <w:p>
      <w:pPr>
        <w:spacing w:line="600" w:lineRule="exact"/>
        <w:ind w:firstLine="640"/>
      </w:pPr>
    </w:p>
    <w:p>
      <w:pPr>
        <w:spacing w:line="600" w:lineRule="exact"/>
        <w:ind w:firstLine="640"/>
      </w:pPr>
      <w:r>
        <w:drawing>
          <wp:anchor distT="0" distB="0" distL="114300" distR="114300" simplePos="0" relativeHeight="251666432" behindDoc="1" locked="0" layoutInCell="1" allowOverlap="1">
            <wp:simplePos x="0" y="0"/>
            <wp:positionH relativeFrom="column">
              <wp:posOffset>142240</wp:posOffset>
            </wp:positionH>
            <wp:positionV relativeFrom="paragraph">
              <wp:posOffset>31115</wp:posOffset>
            </wp:positionV>
            <wp:extent cx="4824730" cy="3662680"/>
            <wp:effectExtent l="4445" t="4445" r="9525" b="9525"/>
            <wp:wrapThrough wrapText="bothSides">
              <wp:wrapPolygon>
                <wp:start x="-20" y="-26"/>
                <wp:lineTo x="-20" y="21544"/>
                <wp:lineTo x="21557" y="21544"/>
                <wp:lineTo x="21557" y="-26"/>
                <wp:lineTo x="-20" y="-26"/>
              </wp:wrapPolygon>
            </wp:wrapThrough>
            <wp:docPr id="323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pPr>
    </w:p>
    <w:p>
      <w:pPr>
        <w:spacing w:line="600" w:lineRule="exact"/>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59" w:name="_Toc15377212"/>
      <w:r>
        <w:rPr>
          <w:rFonts w:hint="eastAsia" w:ascii="仿宋" w:hAnsi="仿宋" w:eastAsia="仿宋"/>
          <w:b/>
          <w:sz w:val="32"/>
          <w:szCs w:val="32"/>
        </w:rPr>
        <w:t>（三）一般公共预算财政拨款支出决算具体情况</w:t>
      </w:r>
      <w:bookmarkEnd w:id="59"/>
    </w:p>
    <w:p>
      <w:pPr>
        <w:spacing w:line="600" w:lineRule="exact"/>
        <w:ind w:firstLine="643" w:firstLineChars="200"/>
        <w:outlineLvl w:val="2"/>
        <w:rPr>
          <w:rFonts w:ascii="仿宋" w:hAnsi="仿宋" w:eastAsia="仿宋"/>
          <w:sz w:val="32"/>
          <w:szCs w:val="32"/>
        </w:rPr>
      </w:pPr>
      <w:bookmarkStart w:id="60" w:name="_Toc15377444"/>
      <w:bookmarkStart w:id="61" w:name="_Toc15377213"/>
      <w:bookmarkStart w:id="62" w:name="_Toc15378460"/>
      <w:r>
        <w:rPr>
          <w:rFonts w:hint="eastAsia" w:ascii="仿宋" w:hAnsi="仿宋" w:eastAsia="仿宋"/>
          <w:b/>
          <w:sz w:val="32"/>
          <w:szCs w:val="32"/>
        </w:rPr>
        <w:t>2022年一般公共预算支出决算数为1163.03万元</w:t>
      </w:r>
      <w:r>
        <w:rPr>
          <w:rFonts w:hint="eastAsia" w:ascii="仿宋" w:hAnsi="仿宋" w:eastAsia="仿宋"/>
          <w:sz w:val="32"/>
          <w:szCs w:val="32"/>
        </w:rPr>
        <w:t>，</w:t>
      </w:r>
      <w:r>
        <w:rPr>
          <w:rStyle w:val="20"/>
          <w:rFonts w:hint="eastAsia" w:ascii="仿宋" w:hAnsi="仿宋" w:eastAsia="仿宋"/>
          <w:bCs/>
          <w:sz w:val="32"/>
          <w:szCs w:val="32"/>
        </w:rPr>
        <w:t>完成预算100</w:t>
      </w:r>
      <w:r>
        <w:rPr>
          <w:rStyle w:val="20"/>
          <w:rFonts w:ascii="仿宋" w:hAnsi="仿宋" w:eastAsia="仿宋"/>
          <w:bCs/>
          <w:sz w:val="32"/>
          <w:szCs w:val="32"/>
        </w:rPr>
        <w:t>%</w:t>
      </w:r>
      <w:r>
        <w:rPr>
          <w:rStyle w:val="20"/>
          <w:rFonts w:hint="eastAsia" w:ascii="仿宋" w:hAnsi="仿宋" w:eastAsia="仿宋"/>
          <w:bCs/>
          <w:sz w:val="32"/>
          <w:szCs w:val="32"/>
        </w:rPr>
        <w:t>。其中：</w:t>
      </w:r>
      <w:bookmarkEnd w:id="60"/>
      <w:bookmarkEnd w:id="61"/>
      <w:bookmarkEnd w:id="62"/>
    </w:p>
    <w:p>
      <w:pPr>
        <w:spacing w:line="600" w:lineRule="exact"/>
        <w:ind w:firstLine="643" w:firstLineChars="200"/>
        <w:rPr>
          <w:rStyle w:val="20"/>
          <w:rFonts w:ascii="仿宋_GB2312" w:eastAsia="仿宋_GB2312"/>
          <w:color w:val="000000"/>
          <w:sz w:val="32"/>
          <w:szCs w:val="32"/>
        </w:rPr>
      </w:pPr>
      <w:r>
        <w:rPr>
          <w:rStyle w:val="20"/>
          <w:rFonts w:ascii="仿宋_GB2312" w:eastAsia="仿宋_GB2312" w:cs="仿宋_GB2312"/>
          <w:color w:val="000000"/>
          <w:sz w:val="32"/>
          <w:szCs w:val="32"/>
        </w:rPr>
        <w:t>1.</w:t>
      </w:r>
      <w:r>
        <w:rPr>
          <w:rStyle w:val="20"/>
          <w:rFonts w:hint="eastAsia" w:ascii="仿宋_GB2312" w:eastAsia="仿宋_GB2312" w:cs="仿宋_GB2312"/>
          <w:color w:val="000000"/>
          <w:sz w:val="32"/>
          <w:szCs w:val="32"/>
        </w:rPr>
        <w:t>公共安全支出（类）司法（款）</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①、行政运行</w:t>
      </w:r>
      <w:r>
        <w:rPr>
          <w:rStyle w:val="20"/>
          <w:rFonts w:ascii="仿宋_GB2312" w:eastAsia="仿宋_GB2312" w:cs="仿宋_GB2312"/>
          <w:color w:val="000000"/>
          <w:sz w:val="32"/>
          <w:szCs w:val="32"/>
        </w:rPr>
        <w:t>:</w:t>
      </w:r>
      <w:r>
        <w:rPr>
          <w:rStyle w:val="20"/>
          <w:rFonts w:ascii="仿宋_GB2312" w:eastAsia="仿宋_GB2312" w:cs="仿宋_GB2312"/>
          <w:b w:val="0"/>
          <w:color w:val="000000"/>
          <w:sz w:val="32"/>
          <w:szCs w:val="32"/>
        </w:rPr>
        <w:t xml:space="preserve"> </w:t>
      </w:r>
      <w:r>
        <w:rPr>
          <w:rStyle w:val="20"/>
          <w:rFonts w:hint="eastAsia" w:ascii="仿宋_GB2312" w:eastAsia="仿宋_GB2312" w:cs="仿宋_GB2312"/>
          <w:b w:val="0"/>
          <w:color w:val="000000"/>
          <w:sz w:val="32"/>
          <w:szCs w:val="32"/>
        </w:rPr>
        <w:t>支出决算为724.51万元，完成预算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②、一般行政管理事务：</w:t>
      </w:r>
      <w:r>
        <w:rPr>
          <w:rStyle w:val="20"/>
          <w:rFonts w:hint="eastAsia" w:ascii="仿宋_GB2312" w:eastAsia="仿宋_GB2312" w:cs="仿宋_GB2312"/>
          <w:b w:val="0"/>
          <w:color w:val="000000"/>
          <w:sz w:val="32"/>
          <w:szCs w:val="32"/>
        </w:rPr>
        <w:t>支出决算为52.48万元，完成预算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③</w:t>
      </w:r>
      <w:r>
        <w:rPr>
          <w:rStyle w:val="20"/>
          <w:rFonts w:hint="eastAsia" w:ascii="宋体" w:hAnsi="宋体" w:cs="宋体"/>
          <w:color w:val="000000"/>
          <w:sz w:val="32"/>
          <w:szCs w:val="32"/>
        </w:rPr>
        <w:t>、基层司法业务：</w:t>
      </w:r>
      <w:r>
        <w:rPr>
          <w:rStyle w:val="20"/>
          <w:rFonts w:hint="eastAsia" w:ascii="仿宋_GB2312" w:eastAsia="仿宋_GB2312" w:cs="仿宋_GB2312"/>
          <w:b w:val="0"/>
          <w:color w:val="000000"/>
          <w:sz w:val="32"/>
          <w:szCs w:val="32"/>
        </w:rPr>
        <w:t>支出决算为63.24万元，完成预算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olor w:val="000000"/>
          <w:sz w:val="32"/>
          <w:szCs w:val="32"/>
        </w:rPr>
      </w:pPr>
      <w:r>
        <w:rPr>
          <w:rStyle w:val="20"/>
          <w:rFonts w:hint="eastAsia" w:ascii="仿宋_GB2312" w:eastAsia="仿宋_GB2312" w:cs="仿宋_GB2312"/>
          <w:color w:val="000000"/>
          <w:sz w:val="32"/>
          <w:szCs w:val="32"/>
        </w:rPr>
        <w:t>④</w:t>
      </w:r>
      <w:r>
        <w:rPr>
          <w:rStyle w:val="20"/>
          <w:rFonts w:hint="eastAsia" w:ascii="宋体" w:hAnsi="宋体" w:cs="宋体"/>
          <w:color w:val="000000"/>
          <w:sz w:val="32"/>
          <w:szCs w:val="32"/>
        </w:rPr>
        <w:t>、其他司法支出：</w:t>
      </w:r>
      <w:r>
        <w:rPr>
          <w:rStyle w:val="20"/>
          <w:rFonts w:hint="eastAsia" w:ascii="仿宋_GB2312" w:eastAsia="仿宋_GB2312" w:cs="仿宋_GB2312"/>
          <w:b w:val="0"/>
          <w:color w:val="000000"/>
          <w:sz w:val="32"/>
          <w:szCs w:val="32"/>
        </w:rPr>
        <w:t>支出决算为10.00万元，完成预算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Fonts w:ascii="仿宋_GB2312" w:eastAsia="仿宋_GB2312"/>
          <w:b/>
          <w:color w:val="000000"/>
          <w:sz w:val="32"/>
          <w:szCs w:val="32"/>
        </w:rPr>
      </w:pPr>
      <w:r>
        <w:rPr>
          <w:rStyle w:val="20"/>
          <w:rFonts w:hint="eastAsia" w:ascii="仿宋_GB2312" w:eastAsia="仿宋_GB2312" w:cs="仿宋_GB2312"/>
          <w:color w:val="000000"/>
          <w:sz w:val="32"/>
          <w:szCs w:val="32"/>
        </w:rPr>
        <w:t>⑤</w:t>
      </w:r>
      <w:r>
        <w:rPr>
          <w:rStyle w:val="20"/>
          <w:rFonts w:hint="eastAsia" w:ascii="宋体" w:hAnsi="宋体" w:cs="宋体"/>
          <w:color w:val="000000"/>
          <w:sz w:val="32"/>
          <w:szCs w:val="32"/>
        </w:rPr>
        <w:t>、社区矫正：</w:t>
      </w:r>
      <w:r>
        <w:rPr>
          <w:rStyle w:val="20"/>
          <w:rFonts w:hint="eastAsia" w:ascii="仿宋_GB2312" w:eastAsia="仿宋_GB2312" w:cs="仿宋_GB2312"/>
          <w:b w:val="0"/>
          <w:color w:val="000000"/>
          <w:sz w:val="32"/>
          <w:szCs w:val="32"/>
        </w:rPr>
        <w:t>支出决算为53.94万元，完成预算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pStyle w:val="2"/>
        <w:ind w:firstLine="643" w:firstLineChars="200"/>
        <w:jc w:val="both"/>
      </w:pPr>
      <w:r>
        <w:rPr>
          <w:rStyle w:val="20"/>
          <w:rFonts w:hint="eastAsia" w:ascii="仿宋_GB2312" w:eastAsia="仿宋_GB2312" w:cs="仿宋_GB2312"/>
          <w:b/>
          <w:color w:val="000000"/>
          <w:sz w:val="32"/>
        </w:rPr>
        <w:t>2.公共安全支出（类）其他公共安全支出（款）其他公共安全支出（项）：</w:t>
      </w:r>
      <w:r>
        <w:rPr>
          <w:rStyle w:val="20"/>
          <w:rFonts w:hint="eastAsia" w:ascii="仿宋_GB2312" w:eastAsia="仿宋_GB2312" w:cs="仿宋_GB2312"/>
          <w:b w:val="0"/>
          <w:bCs w:val="0"/>
          <w:color w:val="000000"/>
          <w:sz w:val="32"/>
        </w:rPr>
        <w:t>支出决算为27.78万元，完成预算</w:t>
      </w:r>
      <w:r>
        <w:rPr>
          <w:rStyle w:val="20"/>
          <w:rFonts w:ascii="仿宋_GB2312" w:eastAsia="仿宋_GB2312" w:cs="仿宋_GB2312"/>
          <w:b w:val="0"/>
          <w:bCs w:val="0"/>
          <w:color w:val="000000"/>
          <w:sz w:val="32"/>
        </w:rPr>
        <w:t>100%</w:t>
      </w:r>
      <w:r>
        <w:rPr>
          <w:rStyle w:val="20"/>
          <w:rFonts w:hint="eastAsia" w:ascii="仿宋_GB2312" w:eastAsia="仿宋_GB2312" w:cs="仿宋_GB2312"/>
          <w:b w:val="0"/>
          <w:bCs w:val="0"/>
          <w:color w:val="000000"/>
          <w:sz w:val="32"/>
        </w:rPr>
        <w:t>。</w:t>
      </w:r>
    </w:p>
    <w:p>
      <w:pPr>
        <w:spacing w:line="600" w:lineRule="exact"/>
        <w:ind w:firstLine="643" w:firstLineChars="200"/>
        <w:rPr>
          <w:rStyle w:val="20"/>
          <w:rFonts w:ascii="仿宋_GB2312" w:eastAsia="仿宋_GB2312"/>
          <w:color w:val="000000"/>
          <w:sz w:val="32"/>
          <w:szCs w:val="32"/>
        </w:rPr>
      </w:pPr>
      <w:r>
        <w:rPr>
          <w:rStyle w:val="20"/>
          <w:rFonts w:hint="eastAsia" w:ascii="仿宋_GB2312" w:eastAsia="仿宋_GB2312" w:cs="仿宋_GB2312"/>
          <w:color w:val="000000"/>
          <w:sz w:val="32"/>
          <w:szCs w:val="32"/>
        </w:rPr>
        <w:t>3</w:t>
      </w:r>
      <w:r>
        <w:rPr>
          <w:rStyle w:val="20"/>
          <w:rFonts w:ascii="仿宋_GB2312" w:eastAsia="仿宋_GB2312" w:cs="仿宋_GB2312"/>
          <w:color w:val="000000"/>
          <w:sz w:val="32"/>
          <w:szCs w:val="32"/>
        </w:rPr>
        <w:t>.</w:t>
      </w:r>
      <w:r>
        <w:rPr>
          <w:rStyle w:val="20"/>
          <w:rFonts w:hint="eastAsia" w:ascii="仿宋_GB2312" w:eastAsia="仿宋_GB2312" w:cs="仿宋_GB2312"/>
          <w:color w:val="000000"/>
          <w:sz w:val="32"/>
          <w:szCs w:val="32"/>
        </w:rPr>
        <w:t>社会保障和就业（类）行政事业单位养老支出（款）</w:t>
      </w:r>
      <w:r>
        <w:rPr>
          <w:rStyle w:val="20"/>
          <w:rFonts w:ascii="仿宋_GB2312" w:eastAsia="仿宋_GB2312" w:cs="仿宋_GB2312"/>
          <w:color w:val="000000"/>
          <w:sz w:val="32"/>
          <w:szCs w:val="32"/>
        </w:rPr>
        <w:t xml:space="preserve">  </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①、行政单位离退休</w:t>
      </w:r>
      <w:r>
        <w:rPr>
          <w:rStyle w:val="20"/>
          <w:rFonts w:ascii="仿宋_GB2312" w:eastAsia="仿宋_GB2312" w:cs="仿宋_GB2312"/>
          <w:color w:val="000000"/>
          <w:sz w:val="32"/>
          <w:szCs w:val="32"/>
        </w:rPr>
        <w:t>:</w:t>
      </w:r>
      <w:r>
        <w:rPr>
          <w:rStyle w:val="20"/>
          <w:rFonts w:ascii="仿宋_GB2312" w:eastAsia="仿宋_GB2312" w:cs="仿宋_GB2312"/>
          <w:b w:val="0"/>
          <w:color w:val="000000"/>
          <w:sz w:val="32"/>
          <w:szCs w:val="32"/>
        </w:rPr>
        <w:t xml:space="preserve"> </w:t>
      </w:r>
      <w:r>
        <w:rPr>
          <w:rStyle w:val="20"/>
          <w:rFonts w:hint="eastAsia" w:ascii="仿宋_GB2312" w:eastAsia="仿宋_GB2312" w:cs="仿宋_GB2312"/>
          <w:b w:val="0"/>
          <w:color w:val="000000"/>
          <w:sz w:val="32"/>
          <w:szCs w:val="32"/>
        </w:rPr>
        <w:t>支出决算为24.76万元，完成预算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s="仿宋_GB2312"/>
          <w:b w:val="0"/>
          <w:color w:val="000000"/>
          <w:sz w:val="32"/>
          <w:szCs w:val="32"/>
        </w:rPr>
      </w:pPr>
      <w:r>
        <w:rPr>
          <w:rStyle w:val="20"/>
          <w:rFonts w:hint="eastAsia" w:ascii="仿宋_GB2312" w:eastAsia="仿宋_GB2312" w:cs="仿宋_GB2312"/>
          <w:color w:val="000000"/>
          <w:sz w:val="32"/>
          <w:szCs w:val="32"/>
        </w:rPr>
        <w:t>②</w:t>
      </w:r>
      <w:r>
        <w:rPr>
          <w:rFonts w:hint="eastAsia" w:ascii="仿宋_GB2312" w:eastAsia="仿宋_GB2312" w:cs="仿宋_GB2312"/>
          <w:b/>
          <w:bCs/>
          <w:color w:val="000000"/>
          <w:sz w:val="32"/>
          <w:szCs w:val="32"/>
        </w:rPr>
        <w:t>、机关事业单位基本养老保险缴费支出：</w:t>
      </w:r>
      <w:r>
        <w:rPr>
          <w:rStyle w:val="20"/>
          <w:rFonts w:hint="eastAsia" w:ascii="仿宋_GB2312" w:eastAsia="仿宋_GB2312" w:cs="仿宋_GB2312"/>
          <w:b w:val="0"/>
          <w:color w:val="000000"/>
          <w:sz w:val="32"/>
          <w:szCs w:val="32"/>
        </w:rPr>
        <w:t>支出决算为57.01万元，完成预算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pPr>
      <w:r>
        <w:rPr>
          <w:rStyle w:val="20"/>
          <w:rFonts w:hint="eastAsia" w:ascii="仿宋_GB2312" w:eastAsia="仿宋_GB2312" w:cs="仿宋_GB2312"/>
          <w:color w:val="000000"/>
          <w:sz w:val="32"/>
          <w:szCs w:val="32"/>
        </w:rPr>
        <w:sym w:font="Wingdings" w:char="F083"/>
      </w:r>
      <w:r>
        <w:rPr>
          <w:rStyle w:val="20"/>
          <w:rFonts w:hint="eastAsia"/>
          <w:b w:val="0"/>
        </w:rPr>
        <w:t>、</w:t>
      </w:r>
      <w:r>
        <w:rPr>
          <w:rFonts w:hint="eastAsia" w:ascii="仿宋_GB2312" w:eastAsia="仿宋_GB2312" w:cs="仿宋_GB2312"/>
          <w:b/>
          <w:bCs/>
          <w:color w:val="000000"/>
          <w:sz w:val="32"/>
          <w:szCs w:val="32"/>
        </w:rPr>
        <w:t>机关事业单位职业年金缴费支出：</w:t>
      </w:r>
      <w:r>
        <w:rPr>
          <w:rStyle w:val="20"/>
          <w:rFonts w:hint="eastAsia" w:ascii="仿宋_GB2312" w:eastAsia="仿宋_GB2312" w:cs="仿宋_GB2312"/>
          <w:b w:val="0"/>
          <w:color w:val="000000"/>
          <w:sz w:val="32"/>
          <w:szCs w:val="32"/>
        </w:rPr>
        <w:t>支出决算为6.19万元，完成预算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s="仿宋_GB2312"/>
          <w:b w:val="0"/>
          <w:color w:val="000000"/>
          <w:sz w:val="32"/>
          <w:szCs w:val="32"/>
        </w:rPr>
      </w:pPr>
      <w:r>
        <w:rPr>
          <w:rStyle w:val="20"/>
          <w:rFonts w:hint="eastAsia" w:ascii="仿宋_GB2312" w:eastAsia="仿宋_GB2312" w:cs="仿宋_GB2312"/>
          <w:bCs/>
          <w:color w:val="000000"/>
          <w:sz w:val="32"/>
          <w:szCs w:val="32"/>
        </w:rPr>
        <w:t>4.住房保障支出（类）住房改革支出（款）住房公积金（项）：</w:t>
      </w:r>
      <w:r>
        <w:rPr>
          <w:rStyle w:val="20"/>
          <w:rFonts w:hint="eastAsia" w:ascii="仿宋_GB2312" w:eastAsia="仿宋_GB2312" w:cs="仿宋_GB2312"/>
          <w:b w:val="0"/>
          <w:color w:val="000000"/>
          <w:sz w:val="32"/>
          <w:szCs w:val="32"/>
        </w:rPr>
        <w:t>支出决算为71.28万元，完成预算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pPr>
        <w:spacing w:line="560" w:lineRule="exact"/>
        <w:ind w:firstLine="643" w:firstLineChars="200"/>
        <w:rPr>
          <w:rFonts w:eastAsia="仿宋_GB2312"/>
          <w:sz w:val="32"/>
          <w:szCs w:val="32"/>
        </w:rPr>
      </w:pPr>
      <w:r>
        <w:rPr>
          <w:rFonts w:hint="eastAsia" w:ascii="仿宋_GB2312" w:hAnsi="仿宋_GB2312" w:eastAsia="仿宋_GB2312" w:cs="仿宋_GB2312"/>
          <w:b/>
          <w:bCs/>
          <w:sz w:val="32"/>
          <w:szCs w:val="32"/>
        </w:rPr>
        <w:sym w:font="Wingdings" w:char="F081"/>
      </w:r>
      <w:r>
        <w:rPr>
          <w:rFonts w:hint="eastAsia" w:ascii="仿宋_GB2312" w:hAnsi="仿宋_GB2312" w:eastAsia="仿宋_GB2312" w:cs="仿宋_GB2312"/>
          <w:b/>
          <w:bCs/>
          <w:sz w:val="32"/>
          <w:szCs w:val="32"/>
        </w:rPr>
        <w:t>行政单位医疗：</w:t>
      </w:r>
      <w:r>
        <w:rPr>
          <w:rFonts w:eastAsia="仿宋_GB2312"/>
          <w:sz w:val="32"/>
          <w:szCs w:val="32"/>
        </w:rPr>
        <w:t>支出决算为</w:t>
      </w:r>
      <w:r>
        <w:rPr>
          <w:rFonts w:hint="eastAsia" w:eastAsia="仿宋_GB2312"/>
          <w:sz w:val="32"/>
          <w:szCs w:val="32"/>
        </w:rPr>
        <w:t>45.92</w:t>
      </w:r>
      <w:r>
        <w:rPr>
          <w:rFonts w:eastAsia="仿宋_GB2312"/>
          <w:sz w:val="32"/>
          <w:szCs w:val="32"/>
        </w:rPr>
        <w:t>万元，完成预算100%，决算数等于预算数。</w:t>
      </w:r>
    </w:p>
    <w:p>
      <w:pPr>
        <w:spacing w:line="560" w:lineRule="exact"/>
        <w:ind w:firstLine="643" w:firstLineChars="200"/>
        <w:jc w:val="left"/>
        <w:rPr>
          <w:rFonts w:eastAsia="仿宋_GB2312"/>
          <w:sz w:val="32"/>
          <w:szCs w:val="32"/>
        </w:rPr>
      </w:pPr>
      <w:r>
        <w:rPr>
          <w:rFonts w:hint="eastAsia"/>
          <w:b/>
          <w:bCs/>
          <w:sz w:val="32"/>
          <w:szCs w:val="32"/>
        </w:rPr>
        <w:sym w:font="Wingdings" w:char="F082"/>
      </w:r>
      <w:r>
        <w:rPr>
          <w:rFonts w:hint="eastAsia"/>
          <w:b/>
          <w:bCs/>
          <w:sz w:val="32"/>
          <w:szCs w:val="32"/>
        </w:rPr>
        <w:t>公务员医疗补助：</w:t>
      </w:r>
      <w:r>
        <w:rPr>
          <w:rFonts w:eastAsia="仿宋_GB2312"/>
          <w:sz w:val="32"/>
          <w:szCs w:val="32"/>
        </w:rPr>
        <w:t>支出决算为</w:t>
      </w:r>
      <w:r>
        <w:rPr>
          <w:rFonts w:hint="eastAsia" w:eastAsia="仿宋_GB2312"/>
          <w:sz w:val="32"/>
          <w:szCs w:val="32"/>
        </w:rPr>
        <w:t>25.92</w:t>
      </w:r>
      <w:r>
        <w:rPr>
          <w:rFonts w:eastAsia="仿宋_GB2312"/>
          <w:sz w:val="32"/>
          <w:szCs w:val="32"/>
        </w:rPr>
        <w:t>万元，完成预算100%，决算数等于预算数。</w:t>
      </w:r>
    </w:p>
    <w:p>
      <w:pPr>
        <w:tabs>
          <w:tab w:val="right" w:pos="8306"/>
        </w:tabs>
        <w:spacing w:line="600" w:lineRule="exact"/>
        <w:ind w:firstLine="640"/>
        <w:outlineLvl w:val="1"/>
        <w:rPr>
          <w:rStyle w:val="33"/>
        </w:rPr>
      </w:pPr>
      <w:bookmarkStart w:id="63" w:name="_Toc1550_WPSOffice_Level2"/>
      <w:bookmarkStart w:id="64" w:name="_Toc15396608"/>
      <w:bookmarkStart w:id="6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63"/>
      <w:bookmarkEnd w:id="64"/>
      <w:bookmarkEnd w:id="65"/>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22年一般公共预算财政拨款基本支出955.59万元，其中：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878.51万元，主要包括：基本工资、津贴补贴、奖金、机关事业单位基本养老保险缴费、职业年金缴费、职工基本医疗保险缴费、公务员医疗补助缴费、其他社会保障缴费、其他工资福利支出、生活补助、医疗费补助、奖励金、住房公积金等。</w:t>
      </w:r>
      <w:r>
        <w:rPr>
          <w:rFonts w:ascii="仿宋" w:hAnsi="仿宋" w:eastAsia="仿宋"/>
          <w:sz w:val="32"/>
          <w:szCs w:val="32"/>
        </w:rPr>
        <w:br w:type="textWrapping"/>
      </w:r>
      <w:r>
        <w:rPr>
          <w:rFonts w:hint="eastAsia" w:ascii="仿宋" w:hAnsi="仿宋" w:eastAsia="仿宋"/>
          <w:sz w:val="32"/>
          <w:szCs w:val="32"/>
        </w:rPr>
        <w:t>　　公用经费77.08万元，主要包括：办公费、水费、电费、邮电费、差旅费、维修（护）费、租赁费、会议费、培训费、公务接待费、劳务费、委托业务费、工会经费、福利费、公务用车运行维护费、其他交通费、其他商品和服务支出等。</w:t>
      </w:r>
    </w:p>
    <w:p>
      <w:pPr>
        <w:spacing w:line="600" w:lineRule="exact"/>
        <w:ind w:firstLine="640"/>
        <w:outlineLvl w:val="1"/>
        <w:rPr>
          <w:rStyle w:val="33"/>
          <w:rFonts w:ascii="黑体" w:hAnsi="黑体" w:eastAsia="黑体"/>
          <w:b w:val="0"/>
        </w:rPr>
      </w:pPr>
      <w:bookmarkStart w:id="66" w:name="_Toc15377215"/>
      <w:bookmarkStart w:id="67" w:name="_Toc15396609"/>
      <w:bookmarkStart w:id="68" w:name="_Toc9063_WPSOffice_Level2"/>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66"/>
      <w:bookmarkEnd w:id="67"/>
      <w:bookmarkEnd w:id="68"/>
    </w:p>
    <w:p>
      <w:pPr>
        <w:spacing w:line="600" w:lineRule="exact"/>
        <w:ind w:firstLine="640"/>
        <w:outlineLvl w:val="2"/>
        <w:rPr>
          <w:rFonts w:ascii="仿宋" w:hAnsi="仿宋" w:eastAsia="仿宋"/>
          <w:b/>
          <w:sz w:val="32"/>
          <w:szCs w:val="32"/>
        </w:rPr>
      </w:pPr>
      <w:bookmarkStart w:id="69" w:name="_Toc15377216"/>
      <w:r>
        <w:rPr>
          <w:rFonts w:hint="eastAsia" w:ascii="仿宋" w:hAnsi="仿宋" w:eastAsia="仿宋"/>
          <w:b/>
          <w:sz w:val="32"/>
          <w:szCs w:val="32"/>
        </w:rPr>
        <w:t>（一）“三公”经费财政拨款支出决算总体情况说明</w:t>
      </w:r>
      <w:bookmarkEnd w:id="69"/>
    </w:p>
    <w:p>
      <w:pPr>
        <w:keepNext/>
        <w:keepLines/>
        <w:spacing w:line="576" w:lineRule="exact"/>
        <w:ind w:firstLine="640"/>
        <w:rPr>
          <w:rFonts w:ascii="仿宋_GB2312" w:hAnsi="仿宋_GB2312" w:eastAsia="仿宋_GB2312"/>
          <w:color w:val="000000"/>
          <w:sz w:val="32"/>
          <w:lang w:val="zh-CN"/>
        </w:rPr>
      </w:pPr>
      <w:r>
        <w:rPr>
          <w:rFonts w:hint="eastAsia" w:ascii="仿宋_GB2312" w:hAnsi="仿宋_GB2312" w:eastAsia="仿宋_GB2312"/>
          <w:color w:val="000000"/>
          <w:sz w:val="32"/>
          <w:lang w:val="zh-CN"/>
        </w:rPr>
        <w:t>2022年</w:t>
      </w:r>
      <w:r>
        <w:rPr>
          <w:rFonts w:ascii="仿宋_GB2312" w:hAnsi="仿宋_GB2312" w:eastAsia="仿宋_GB2312"/>
          <w:color w:val="000000"/>
          <w:sz w:val="32"/>
          <w:lang w:val="zh-CN"/>
        </w:rPr>
        <w:t>“</w:t>
      </w:r>
      <w:r>
        <w:rPr>
          <w:rFonts w:hint="eastAsia" w:ascii="仿宋_GB2312" w:hAnsi="仿宋_GB2312" w:eastAsia="仿宋_GB2312"/>
          <w:color w:val="000000"/>
          <w:sz w:val="32"/>
          <w:lang w:val="zh-CN"/>
        </w:rPr>
        <w:t>三公</w:t>
      </w:r>
      <w:r>
        <w:rPr>
          <w:rFonts w:ascii="仿宋_GB2312" w:hAnsi="仿宋_GB2312" w:eastAsia="仿宋_GB2312"/>
          <w:color w:val="000000"/>
          <w:sz w:val="32"/>
          <w:lang w:val="zh-CN"/>
        </w:rPr>
        <w:t>”</w:t>
      </w:r>
      <w:r>
        <w:rPr>
          <w:rFonts w:hint="eastAsia" w:ascii="仿宋_GB2312" w:hAnsi="仿宋_GB2312" w:eastAsia="仿宋_GB2312"/>
          <w:color w:val="000000"/>
          <w:sz w:val="32"/>
          <w:lang w:val="zh-CN"/>
        </w:rPr>
        <w:t>经费财政拨款支出决算为5.56万元，完成预算100%；较上年增减少7.17万元，下降56.3%。</w:t>
      </w:r>
      <w:r>
        <w:rPr>
          <w:rFonts w:hint="eastAsia" w:ascii="仿宋" w:hAnsi="仿宋" w:eastAsia="仿宋"/>
          <w:sz w:val="32"/>
          <w:szCs w:val="32"/>
        </w:rPr>
        <w:t>决算数与预算数持平</w:t>
      </w:r>
      <w:r>
        <w:rPr>
          <w:rFonts w:hint="eastAsia" w:ascii="仿宋_GB2312" w:hAnsi="仿宋_GB2312" w:eastAsia="仿宋_GB2312"/>
          <w:color w:val="000000"/>
          <w:sz w:val="32"/>
          <w:lang w:val="zh-CN"/>
        </w:rPr>
        <w:t>。</w:t>
      </w:r>
    </w:p>
    <w:p>
      <w:pPr>
        <w:spacing w:line="600" w:lineRule="exact"/>
        <w:ind w:firstLine="640"/>
        <w:outlineLvl w:val="2"/>
        <w:rPr>
          <w:rFonts w:ascii="仿宋" w:hAnsi="仿宋" w:eastAsia="仿宋"/>
          <w:b/>
          <w:sz w:val="32"/>
          <w:szCs w:val="32"/>
        </w:rPr>
      </w:pPr>
      <w:bookmarkStart w:id="70" w:name="_Toc15377217"/>
      <w:r>
        <w:rPr>
          <w:rFonts w:hint="eastAsia" w:ascii="仿宋" w:hAnsi="仿宋" w:eastAsia="仿宋"/>
          <w:b/>
          <w:sz w:val="32"/>
          <w:szCs w:val="32"/>
        </w:rPr>
        <w:t>（二）“三公”经费财政拨款支出决算具体情况说明</w:t>
      </w:r>
      <w:bookmarkEnd w:id="70"/>
    </w:p>
    <w:p>
      <w:pPr>
        <w:keepNext/>
        <w:keepLines/>
        <w:spacing w:line="576" w:lineRule="exact"/>
        <w:ind w:firstLine="640"/>
        <w:rPr>
          <w:rFonts w:ascii="仿宋_GB2312" w:hAnsi="仿宋_GB2312" w:eastAsia="仿宋_GB2312"/>
          <w:color w:val="000000"/>
          <w:sz w:val="32"/>
          <w:lang w:val="zh-CN"/>
        </w:rPr>
      </w:pPr>
      <w:r>
        <w:rPr>
          <w:rFonts w:hint="eastAsia" w:ascii="仿宋_GB2312" w:hAnsi="仿宋_GB2312" w:eastAsia="仿宋_GB2312"/>
          <w:color w:val="000000"/>
          <w:sz w:val="32"/>
          <w:lang w:val="zh-CN"/>
        </w:rPr>
        <w:t>2022年</w:t>
      </w:r>
      <w:r>
        <w:rPr>
          <w:rFonts w:ascii="仿宋_GB2312" w:hAnsi="仿宋_GB2312" w:eastAsia="仿宋_GB2312"/>
          <w:color w:val="000000"/>
          <w:sz w:val="32"/>
          <w:lang w:val="zh-CN"/>
        </w:rPr>
        <w:t>“</w:t>
      </w:r>
      <w:r>
        <w:rPr>
          <w:rFonts w:hint="eastAsia" w:ascii="仿宋_GB2312" w:hAnsi="仿宋_GB2312" w:eastAsia="仿宋_GB2312"/>
          <w:color w:val="000000"/>
          <w:sz w:val="32"/>
          <w:lang w:val="zh-CN"/>
        </w:rPr>
        <w:t>三公</w:t>
      </w:r>
      <w:r>
        <w:rPr>
          <w:rFonts w:ascii="仿宋_GB2312" w:hAnsi="仿宋_GB2312" w:eastAsia="仿宋_GB2312"/>
          <w:color w:val="000000"/>
          <w:sz w:val="32"/>
          <w:lang w:val="zh-CN"/>
        </w:rPr>
        <w:t>”</w:t>
      </w:r>
      <w:r>
        <w:rPr>
          <w:rFonts w:hint="eastAsia" w:ascii="仿宋_GB2312" w:hAnsi="仿宋_GB2312" w:eastAsia="仿宋_GB2312"/>
          <w:color w:val="000000"/>
          <w:sz w:val="32"/>
          <w:lang w:val="zh-CN"/>
        </w:rPr>
        <w:t>经费财政拨款支出决算中，因公出国（境）费支出决算0万元，占0%；公务用车购置及运行维护费支出决算5.5万元，占98.9%；公务接待费支出决算0.06万元，占1.1%。具体情况如下：</w:t>
      </w:r>
      <w:r>
        <w:drawing>
          <wp:anchor distT="0" distB="0" distL="114300" distR="114300" simplePos="0" relativeHeight="251661312" behindDoc="1" locked="0" layoutInCell="1" allowOverlap="1">
            <wp:simplePos x="0" y="0"/>
            <wp:positionH relativeFrom="column">
              <wp:posOffset>304800</wp:posOffset>
            </wp:positionH>
            <wp:positionV relativeFrom="paragraph">
              <wp:posOffset>71755</wp:posOffset>
            </wp:positionV>
            <wp:extent cx="5268595" cy="2740660"/>
            <wp:effectExtent l="4445" t="4445" r="22860" b="17145"/>
            <wp:wrapThrough wrapText="bothSides">
              <wp:wrapPolygon>
                <wp:start x="-18" y="-35"/>
                <wp:lineTo x="-18" y="21435"/>
                <wp:lineTo x="21538" y="21435"/>
                <wp:lineTo x="21538" y="-35"/>
                <wp:lineTo x="-18" y="-35"/>
              </wp:wrapPolygon>
            </wp:wrapThrough>
            <wp:docPr id="323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20"/>
          <w:rFonts w:hint="eastAsia" w:ascii="仿宋" w:hAnsi="仿宋" w:eastAsia="仿宋"/>
          <w:b w:val="0"/>
          <w:bCs/>
          <w:sz w:val="32"/>
          <w:szCs w:val="32"/>
        </w:rPr>
        <w:t>完成预算0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21年无增减变动。主要原因是2022年无因公出国（境）支出。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仿宋_GB2312" w:eastAsia="仿宋_GB2312"/>
          <w:b/>
          <w:color w:val="000000"/>
          <w:sz w:val="32"/>
          <w:lang w:val="zh-CN"/>
        </w:rPr>
        <w:t>公务用车购置及运行维护费</w:t>
      </w:r>
      <w:r>
        <w:rPr>
          <w:rFonts w:hint="eastAsia" w:ascii="仿宋_GB2312" w:hAnsi="仿宋_GB2312" w:eastAsia="仿宋_GB2312"/>
          <w:color w:val="000000"/>
          <w:sz w:val="32"/>
          <w:lang w:val="zh-CN"/>
        </w:rPr>
        <w:t>支出5.5万元，完成预算100%。公务用车购置及运行维护费支出决算比2021年减少6.33万元，下降53.5%。主要原因是严格按相关规定压减三公经费支出。</w:t>
      </w:r>
    </w:p>
    <w:p>
      <w:pPr>
        <w:spacing w:line="600" w:lineRule="exact"/>
        <w:ind w:firstLine="640"/>
        <w:rPr>
          <w:rFonts w:ascii="仿宋_GB2312" w:hAnsi="仿宋_GB2312" w:eastAsia="仿宋_GB2312"/>
          <w:color w:val="000000"/>
          <w:sz w:val="32"/>
          <w:lang w:val="zh-CN"/>
        </w:rPr>
      </w:pPr>
      <w:r>
        <w:rPr>
          <w:rFonts w:hint="eastAsia" w:ascii="仿宋_GB2312" w:hAnsi="仿宋_GB2312" w:eastAsia="仿宋_GB2312"/>
          <w:color w:val="000000"/>
          <w:sz w:val="32"/>
          <w:lang w:val="zh-CN"/>
        </w:rPr>
        <w:t>其中：</w:t>
      </w:r>
      <w:r>
        <w:rPr>
          <w:rFonts w:hint="eastAsia" w:ascii="仿宋_GB2312" w:hAnsi="仿宋_GB2312" w:eastAsia="仿宋_GB2312"/>
          <w:b/>
          <w:color w:val="000000"/>
          <w:sz w:val="32"/>
          <w:lang w:val="zh-CN"/>
        </w:rPr>
        <w:t>公务用车购置费</w:t>
      </w:r>
      <w:r>
        <w:rPr>
          <w:rFonts w:hint="eastAsia" w:ascii="仿宋_GB2312" w:hAnsi="仿宋_GB2312" w:eastAsia="仿宋_GB2312"/>
          <w:color w:val="000000"/>
          <w:sz w:val="32"/>
          <w:lang w:val="zh-CN"/>
        </w:rPr>
        <w:t>支出0万元。全年按规定更新购置公务用车0辆，其中：轿车</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辆、金额</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万元，越野车</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辆、金额</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万元，小型载客汽车</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辆、金额</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万元，大中型载客汽车</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辆、金额</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万元，其他车型</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辆、金额</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万元，</w:t>
      </w:r>
      <w:r>
        <w:rPr>
          <w:rFonts w:hint="eastAsia" w:ascii="仿宋_GB2312" w:eastAsia="仿宋_GB2312" w:cs="仿宋_GB2312"/>
          <w:color w:val="000000"/>
          <w:sz w:val="32"/>
          <w:szCs w:val="32"/>
        </w:rPr>
        <w:t>主要</w:t>
      </w:r>
      <w:r>
        <w:rPr>
          <w:rFonts w:hint="eastAsia" w:ascii="仿宋_GB2312" w:eastAsia="仿宋_GB2312" w:cs="仿宋_GB2312"/>
          <w:sz w:val="32"/>
          <w:szCs w:val="32"/>
        </w:rPr>
        <w:t>用于各股室下乡出差等所需的公务用车燃料费、过路过桥费，单位车辆全年所需的维修费、保险费支出。</w:t>
      </w:r>
      <w:r>
        <w:rPr>
          <w:rFonts w:hint="eastAsia" w:ascii="仿宋_GB2312" w:hAnsi="仿宋_GB2312" w:eastAsia="仿宋_GB2312"/>
          <w:color w:val="000000"/>
          <w:sz w:val="32"/>
          <w:lang w:val="zh-CN"/>
        </w:rPr>
        <w:t>截至2022年12月底，本部门共有公务用车3辆，其中：轿车</w:t>
      </w:r>
      <w:r>
        <w:rPr>
          <w:rFonts w:hint="eastAsia" w:ascii="仿宋_GB2312" w:hAnsi="仿宋_GB2312" w:eastAsia="仿宋_GB2312"/>
          <w:color w:val="000000"/>
          <w:sz w:val="32"/>
        </w:rPr>
        <w:t>2</w:t>
      </w:r>
      <w:r>
        <w:rPr>
          <w:rFonts w:hint="eastAsia" w:ascii="仿宋_GB2312" w:hAnsi="仿宋_GB2312" w:eastAsia="仿宋_GB2312"/>
          <w:color w:val="000000"/>
          <w:sz w:val="32"/>
          <w:lang w:val="zh-CN"/>
        </w:rPr>
        <w:t>辆、越野车</w:t>
      </w:r>
      <w:r>
        <w:rPr>
          <w:rFonts w:hint="eastAsia" w:ascii="仿宋_GB2312" w:hAnsi="仿宋_GB2312" w:eastAsia="仿宋_GB2312"/>
          <w:color w:val="000000"/>
          <w:sz w:val="32"/>
        </w:rPr>
        <w:t>1</w:t>
      </w:r>
      <w:r>
        <w:rPr>
          <w:rFonts w:hint="eastAsia" w:ascii="仿宋_GB2312" w:hAnsi="仿宋_GB2312" w:eastAsia="仿宋_GB2312"/>
          <w:color w:val="000000"/>
          <w:sz w:val="32"/>
          <w:lang w:val="zh-CN"/>
        </w:rPr>
        <w:t>辆、小型载客汽车</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辆、大中型载客汽车</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辆、其他车型</w:t>
      </w:r>
      <w:r>
        <w:rPr>
          <w:rFonts w:hint="eastAsia" w:ascii="仿宋_GB2312" w:hAnsi="仿宋_GB2312" w:eastAsia="仿宋_GB2312"/>
          <w:color w:val="000000"/>
          <w:sz w:val="32"/>
        </w:rPr>
        <w:t>0</w:t>
      </w:r>
      <w:r>
        <w:rPr>
          <w:rFonts w:hint="eastAsia" w:ascii="仿宋_GB2312" w:hAnsi="仿宋_GB2312" w:eastAsia="仿宋_GB2312"/>
          <w:color w:val="000000"/>
          <w:sz w:val="32"/>
          <w:lang w:val="zh-CN"/>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公务用车运行维护费支出5.5</w:t>
      </w:r>
      <w:r>
        <w:rPr>
          <w:rFonts w:hint="eastAsia" w:ascii="仿宋_GB2312" w:eastAsia="仿宋_GB2312"/>
          <w:sz w:val="32"/>
          <w:szCs w:val="32"/>
        </w:rPr>
        <w:t>万元。</w:t>
      </w:r>
      <w:r>
        <w:rPr>
          <w:rFonts w:hint="eastAsia" w:ascii="仿宋_GB2312" w:eastAsia="仿宋_GB2312" w:cs="仿宋_GB2312"/>
          <w:color w:val="000000"/>
          <w:sz w:val="32"/>
          <w:szCs w:val="32"/>
        </w:rPr>
        <w:t>主要</w:t>
      </w:r>
      <w:r>
        <w:rPr>
          <w:rFonts w:hint="eastAsia" w:ascii="仿宋_GB2312" w:eastAsia="仿宋_GB2312" w:cs="仿宋_GB2312"/>
          <w:sz w:val="32"/>
          <w:szCs w:val="32"/>
        </w:rPr>
        <w:t>用于各股室下乡出差等所需的公务用车燃料费、过路过桥费，单位车辆全年所需的维修费、保险费支出。</w:t>
      </w:r>
    </w:p>
    <w:p>
      <w:pPr>
        <w:spacing w:line="600" w:lineRule="exact"/>
        <w:ind w:firstLine="640"/>
        <w:rPr>
          <w:rFonts w:ascii="仿宋_GB2312" w:hAnsi="仿宋_GB2312" w:eastAsia="仿宋_GB2312"/>
          <w:color w:val="000000"/>
          <w:sz w:val="32"/>
          <w:lang w:val="zh-CN"/>
        </w:rPr>
      </w:pPr>
      <w:r>
        <w:rPr>
          <w:rFonts w:hint="eastAsia" w:ascii="仿宋_GB2312" w:hAnsi="仿宋_GB2312" w:eastAsia="仿宋_GB2312"/>
          <w:b/>
          <w:color w:val="000000"/>
          <w:sz w:val="32"/>
          <w:lang w:val="zh-CN"/>
        </w:rPr>
        <w:t>3.公务接待费</w:t>
      </w:r>
      <w:r>
        <w:rPr>
          <w:rFonts w:hint="eastAsia" w:ascii="仿宋_GB2312" w:hAnsi="仿宋_GB2312" w:eastAsia="仿宋_GB2312"/>
          <w:color w:val="000000"/>
          <w:sz w:val="32"/>
          <w:lang w:val="zh-CN"/>
        </w:rPr>
        <w:t>支出0.06万元，完成预算100%。公务接待费支出决算比2021年减少0.85万元，下降93.4%。主要原因是主要原因是严格按相关规定压减三公经费支出。其中：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国内公务接待支出0.06</w:t>
      </w:r>
      <w:r>
        <w:rPr>
          <w:rFonts w:hint="eastAsia" w:ascii="仿宋_GB2312" w:eastAsia="仿宋_GB2312"/>
          <w:sz w:val="32"/>
          <w:szCs w:val="32"/>
        </w:rPr>
        <w:t>万元，</w:t>
      </w:r>
      <w:r>
        <w:rPr>
          <w:rFonts w:hint="eastAsia" w:ascii="仿宋_GB2312" w:eastAsia="仿宋_GB2312" w:cs="仿宋_GB2312"/>
          <w:color w:val="000000"/>
          <w:sz w:val="32"/>
          <w:szCs w:val="32"/>
        </w:rPr>
        <w:t>主要用于执行公务、开展业务活动开支的住宿费、用餐费等</w:t>
      </w:r>
      <w:r>
        <w:rPr>
          <w:rFonts w:hint="eastAsia" w:ascii="仿宋_GB2312" w:eastAsia="仿宋_GB2312"/>
          <w:sz w:val="32"/>
          <w:szCs w:val="32"/>
        </w:rPr>
        <w:t>。国内公务接待1批次，10人次（不包括陪同人员），共计支出0.06万元，</w:t>
      </w:r>
      <w:r>
        <w:rPr>
          <w:rFonts w:hint="eastAsia" w:ascii="仿宋_GB2312" w:eastAsia="仿宋_GB2312" w:cs="仿宋_GB2312"/>
          <w:color w:val="000000"/>
          <w:sz w:val="32"/>
          <w:szCs w:val="32"/>
        </w:rPr>
        <w:t>具体内容包括上级单位到我单位检查工作接待支出。</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71" w:name="_Toc15396610"/>
      <w:bookmarkStart w:id="72" w:name="_Toc15377218"/>
    </w:p>
    <w:p>
      <w:pPr>
        <w:spacing w:line="600" w:lineRule="exact"/>
        <w:ind w:firstLine="640"/>
        <w:outlineLvl w:val="1"/>
        <w:rPr>
          <w:rStyle w:val="33"/>
          <w:rFonts w:ascii="黑体" w:hAnsi="黑体" w:eastAsia="黑体"/>
        </w:rPr>
      </w:pPr>
      <w:bookmarkStart w:id="73" w:name="_Toc10766_WPSOffice_Level2"/>
      <w:r>
        <w:rPr>
          <w:rFonts w:hint="eastAsia" w:ascii="黑体" w:eastAsia="黑体"/>
          <w:sz w:val="32"/>
          <w:szCs w:val="32"/>
        </w:rPr>
        <w:t>八、</w:t>
      </w:r>
      <w:r>
        <w:rPr>
          <w:rStyle w:val="33"/>
          <w:rFonts w:hint="eastAsia" w:ascii="黑体" w:hAnsi="黑体" w:eastAsia="黑体"/>
          <w:b w:val="0"/>
        </w:rPr>
        <w:t>政府性基金预算支出决算情况说明</w:t>
      </w:r>
      <w:bookmarkEnd w:id="71"/>
      <w:bookmarkEnd w:id="72"/>
      <w:bookmarkEnd w:id="7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4"/>
        </w:numPr>
        <w:spacing w:line="600" w:lineRule="exact"/>
        <w:ind w:firstLine="640"/>
        <w:outlineLvl w:val="1"/>
        <w:rPr>
          <w:rStyle w:val="33"/>
          <w:rFonts w:ascii="黑体" w:hAnsi="黑体" w:eastAsia="黑体"/>
          <w:b w:val="0"/>
        </w:rPr>
      </w:pPr>
      <w:bookmarkStart w:id="74" w:name="_Toc19571_WPSOffice_Level2"/>
      <w:bookmarkStart w:id="75" w:name="_Toc15396611"/>
      <w:bookmarkStart w:id="76" w:name="_Toc15377219"/>
      <w:r>
        <w:rPr>
          <w:rStyle w:val="33"/>
          <w:rFonts w:hint="eastAsia" w:ascii="黑体" w:hAnsi="黑体" w:eastAsia="黑体"/>
          <w:b w:val="0"/>
        </w:rPr>
        <w:t>国有资本经营预算支出决算情况说明</w:t>
      </w:r>
      <w:bookmarkEnd w:id="74"/>
      <w:bookmarkEnd w:id="75"/>
      <w:bookmarkEnd w:id="7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4"/>
        </w:numPr>
        <w:spacing w:line="600" w:lineRule="exact"/>
        <w:ind w:firstLine="640"/>
        <w:outlineLvl w:val="1"/>
        <w:rPr>
          <w:rStyle w:val="33"/>
          <w:rFonts w:ascii="黑体" w:hAnsi="黑体" w:eastAsia="黑体"/>
          <w:b w:val="0"/>
        </w:rPr>
      </w:pPr>
      <w:bookmarkStart w:id="77" w:name="_Toc15396612"/>
      <w:bookmarkStart w:id="78" w:name="_Toc2789_WPSOffice_Level2"/>
      <w:bookmarkStart w:id="79" w:name="_Toc15377221"/>
      <w:r>
        <w:rPr>
          <w:rStyle w:val="33"/>
          <w:rFonts w:hint="eastAsia" w:ascii="黑体" w:hAnsi="黑体" w:eastAsia="黑体"/>
          <w:b w:val="0"/>
        </w:rPr>
        <w:t>其他重要事项的情况说明</w:t>
      </w:r>
      <w:bookmarkEnd w:id="77"/>
      <w:bookmarkEnd w:id="78"/>
      <w:bookmarkEnd w:id="79"/>
    </w:p>
    <w:p>
      <w:pPr>
        <w:spacing w:line="600" w:lineRule="exact"/>
        <w:ind w:firstLine="643" w:firstLineChars="200"/>
        <w:outlineLvl w:val="2"/>
        <w:rPr>
          <w:rFonts w:ascii="仿宋" w:hAnsi="仿宋" w:eastAsia="仿宋"/>
          <w:sz w:val="32"/>
          <w:szCs w:val="32"/>
        </w:rPr>
      </w:pPr>
      <w:bookmarkStart w:id="80" w:name="_Toc15377222"/>
      <w:r>
        <w:rPr>
          <w:rFonts w:hint="eastAsia" w:ascii="仿宋" w:hAnsi="仿宋" w:eastAsia="仿宋"/>
          <w:b/>
          <w:sz w:val="32"/>
          <w:szCs w:val="32"/>
        </w:rPr>
        <w:t>（一）机关运行经费支出情况</w:t>
      </w:r>
      <w:bookmarkEnd w:id="80"/>
    </w:p>
    <w:p>
      <w:pPr>
        <w:spacing w:line="576" w:lineRule="exact"/>
        <w:ind w:firstLine="640"/>
        <w:rPr>
          <w:rFonts w:ascii="仿宋" w:hAnsi="仿宋" w:eastAsia="仿宋"/>
          <w:b/>
          <w:sz w:val="32"/>
          <w:szCs w:val="32"/>
        </w:rPr>
      </w:pPr>
      <w:r>
        <w:rPr>
          <w:rFonts w:hint="eastAsia" w:ascii="仿宋_GB2312" w:hAnsi="仿宋_GB2312" w:eastAsia="仿宋_GB2312"/>
          <w:color w:val="000000"/>
          <w:sz w:val="32"/>
          <w:lang w:val="zh-CN"/>
        </w:rPr>
        <w:t>2022年，盐边县司法局机关运行经费支出77.08万元，比2021年减少14.7万元，下降16%。主要原因是厉行节约、较少经费支出。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1" w:name="_Toc15377223"/>
      <w:r>
        <w:rPr>
          <w:rFonts w:hint="eastAsia" w:ascii="仿宋" w:hAnsi="仿宋" w:eastAsia="仿宋"/>
          <w:b/>
          <w:sz w:val="32"/>
          <w:szCs w:val="32"/>
        </w:rPr>
        <w:t>（二）政府采购支出情况</w:t>
      </w:r>
      <w:bookmarkEnd w:id="81"/>
    </w:p>
    <w:p>
      <w:pPr>
        <w:spacing w:line="576" w:lineRule="exact"/>
        <w:ind w:firstLine="640"/>
        <w:rPr>
          <w:rFonts w:ascii="仿宋" w:hAnsi="仿宋" w:eastAsia="仿宋"/>
          <w:b/>
          <w:sz w:val="32"/>
          <w:szCs w:val="32"/>
        </w:rPr>
      </w:pPr>
      <w:r>
        <w:rPr>
          <w:rFonts w:hint="eastAsia" w:ascii="仿宋_GB2312" w:hAnsi="仿宋_GB2312" w:eastAsia="仿宋_GB2312"/>
          <w:color w:val="000000"/>
          <w:sz w:val="32"/>
          <w:lang w:val="zh-CN"/>
        </w:rPr>
        <w:t>2022年，盐边县司法局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仿宋_GB2312" w:hAnsi="仿宋_GB2312" w:eastAsia="仿宋_GB2312"/>
          <w:sz w:val="32"/>
        </w:rPr>
        <w:t>占政府采购支出总额的</w:t>
      </w:r>
      <w:r>
        <w:rPr>
          <w:rFonts w:hint="eastAsia" w:ascii="仿宋_GB2312" w:hAnsi="仿宋_GB2312" w:eastAsia="仿宋_GB2312"/>
          <w:color w:val="000000"/>
          <w:sz w:val="32"/>
          <w:lang w:val="zh-CN"/>
        </w:rPr>
        <w:t>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15377224"/>
      <w:r>
        <w:rPr>
          <w:rFonts w:hint="eastAsia" w:ascii="仿宋" w:hAnsi="仿宋" w:eastAsia="仿宋"/>
          <w:b/>
          <w:sz w:val="32"/>
          <w:szCs w:val="32"/>
        </w:rPr>
        <w:t>（三）国有资产占有使用情况</w:t>
      </w:r>
      <w:bookmarkEnd w:id="82"/>
    </w:p>
    <w:p>
      <w:pPr>
        <w:spacing w:line="576" w:lineRule="exact"/>
        <w:ind w:firstLine="640"/>
        <w:rPr>
          <w:rFonts w:ascii="仿宋" w:hAnsi="仿宋" w:eastAsia="仿宋"/>
          <w:b/>
          <w:sz w:val="32"/>
          <w:szCs w:val="32"/>
        </w:rPr>
      </w:pPr>
      <w:r>
        <w:rPr>
          <w:rFonts w:hint="eastAsia" w:ascii="仿宋_GB2312" w:hAnsi="仿宋_GB2312" w:eastAsia="仿宋_GB2312"/>
          <w:color w:val="000000"/>
          <w:sz w:val="32"/>
          <w:lang w:val="zh-CN"/>
        </w:rPr>
        <w:t>截至2022年12月31日，盐边县司法局共有车辆3辆，其中：副部（省）级及以上领导用车0辆、主要领导干部用车0辆、机要通信用车0辆、应急保障用车0辆、执法执勤用车1辆、特种专业技术用车0辆、离退休干部用车0辆、其他用车2辆。其中：其他用车主要是用于</w:t>
      </w:r>
      <w:r>
        <w:rPr>
          <w:rFonts w:hint="eastAsia" w:ascii="仿宋_GB2312" w:eastAsia="仿宋_GB2312" w:cs="仿宋_GB2312"/>
          <w:sz w:val="32"/>
          <w:szCs w:val="32"/>
        </w:rPr>
        <w:t>各股室下乡出差等办案所需。</w:t>
      </w:r>
      <w:r>
        <w:rPr>
          <w:rFonts w:hint="eastAsia" w:ascii="仿宋_GB2312" w:hAnsi="仿宋_GB2312" w:eastAsia="仿宋_GB2312"/>
          <w:color w:val="000000"/>
          <w:sz w:val="32"/>
          <w:lang w:val="zh-CN"/>
        </w:rPr>
        <w:t>单价100万元（含）以上设备0台（套)。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中央转移支付办案业务及业务装备经费、“法律援助专项经费”等2个项目开展了预算事前绩效评估，对2个项目编制了绩效目标，预算执行过程中，选取2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组织对2022年度部门所有预算资金全面开展绩效自评，形成盐边县司法</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部门整体绩效自评报告，其中盐边县司法</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部门整体（含部门预算项目）绩效自评得分为</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8分，《盐边县司法</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部门整体</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绩效评价报告》</w:t>
      </w:r>
      <w:r>
        <w:rPr>
          <w:rFonts w:hint="eastAsia" w:ascii="仿宋_GB2312" w:hAnsi="仿宋_GB2312" w:eastAsia="仿宋_GB2312" w:cs="仿宋_GB2312"/>
          <w:sz w:val="32"/>
          <w:szCs w:val="32"/>
        </w:rPr>
        <w:t>详见附件。</w:t>
      </w: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32"/>
          <w:rFonts w:ascii="黑体" w:hAnsi="黑体" w:eastAsia="黑体"/>
          <w:b w:val="0"/>
        </w:rPr>
      </w:pPr>
      <w:bookmarkStart w:id="83" w:name="_Toc15377225"/>
      <w:bookmarkStart w:id="84" w:name="_Toc15396613"/>
      <w:bookmarkStart w:id="85" w:name="_Toc26687_WPSOffice_Level1"/>
      <w:r>
        <w:rPr>
          <w:rFonts w:hint="eastAsia" w:ascii="黑体" w:hAnsi="黑体" w:eastAsia="黑体"/>
          <w:sz w:val="44"/>
          <w:szCs w:val="44"/>
        </w:rPr>
        <w:t>名</w:t>
      </w:r>
      <w:r>
        <w:rPr>
          <w:rStyle w:val="32"/>
          <w:rFonts w:hint="eastAsia" w:ascii="黑体" w:hAnsi="黑体" w:eastAsia="黑体"/>
          <w:b w:val="0"/>
        </w:rPr>
        <w:t>词解释</w:t>
      </w:r>
      <w:bookmarkEnd w:id="83"/>
      <w:bookmarkEnd w:id="84"/>
      <w:bookmarkEnd w:id="85"/>
    </w:p>
    <w:p>
      <w:pPr>
        <w:spacing w:line="600" w:lineRule="exact"/>
        <w:jc w:val="left"/>
        <w:rPr>
          <w:rFonts w:ascii="宋体"/>
          <w:b/>
          <w:sz w:val="44"/>
          <w:szCs w:val="44"/>
        </w:rPr>
      </w:pPr>
    </w:p>
    <w:p>
      <w:pPr>
        <w:pStyle w:val="30"/>
        <w:spacing w:line="560" w:lineRule="exact"/>
        <w:ind w:firstLine="640" w:firstLineChars="200"/>
        <w:rPr>
          <w:rFonts w:ascii="仿宋_GB2312" w:eastAsia="仿宋_GB2312"/>
          <w:sz w:val="32"/>
          <w:szCs w:val="32"/>
        </w:rPr>
      </w:pPr>
      <w:bookmarkStart w:id="86" w:name="_Toc15396614"/>
      <w:bookmarkStart w:id="87" w:name="_Toc15377226"/>
      <w:r>
        <w:rPr>
          <w:rFonts w:hint="eastAsia" w:ascii="仿宋_GB2312" w:eastAsia="仿宋_GB2312"/>
          <w:sz w:val="32"/>
          <w:szCs w:val="32"/>
        </w:rPr>
        <w:t>1.财政拨款收入：指单位从同级财政部门取得的财政预算资金。</w:t>
      </w:r>
    </w:p>
    <w:p>
      <w:pPr>
        <w:spacing w:line="600" w:lineRule="exact"/>
        <w:ind w:firstLine="640" w:firstLineChars="200"/>
        <w:outlineLvl w:val="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9.公共安全支出（类）司法（款）</w:t>
      </w:r>
    </w:p>
    <w:p>
      <w:pPr>
        <w:widowControl/>
        <w:shd w:val="clear" w:color="auto" w:fill="FFFFFF"/>
        <w:spacing w:line="600" w:lineRule="atLeast"/>
        <w:ind w:firstLine="640" w:firstLineChars="200"/>
        <w:jc w:val="left"/>
        <w:rPr>
          <w:rFonts w:ascii="仿宋_GB2312" w:hAnsi="宋体" w:eastAsia="仿宋_GB2312" w:cs="宋体"/>
          <w:color w:val="333333"/>
          <w:kern w:val="0"/>
          <w:sz w:val="32"/>
          <w:szCs w:val="32"/>
        </w:rPr>
      </w:pPr>
      <w:r>
        <w:rPr>
          <w:rStyle w:val="20"/>
          <w:rFonts w:hint="eastAsia" w:ascii="仿宋_GB2312" w:eastAsia="仿宋_GB2312"/>
          <w:b w:val="0"/>
          <w:color w:val="000000"/>
          <w:sz w:val="32"/>
          <w:szCs w:val="32"/>
        </w:rPr>
        <w:t xml:space="preserve">①、行政运行: </w:t>
      </w:r>
      <w:r>
        <w:rPr>
          <w:rFonts w:hint="eastAsia" w:ascii="仿宋_GB2312" w:hAnsi="宋体" w:eastAsia="仿宋_GB2312" w:cs="宋体"/>
          <w:color w:val="000000"/>
          <w:kern w:val="0"/>
          <w:sz w:val="32"/>
          <w:szCs w:val="32"/>
        </w:rPr>
        <w:t>指行政单位（包括实行公务员管理的事业单位）的基本支出。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②、一般行政管理事务：指行政单位（包括实行公务员管理的事业单位）未单独设置项级科目的其他项目支出。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③、基层司法业务：指各级司法行政部门用于基层业务的支出，包括基层工作指导费、调解费、安置帮教费、司法所经费和公共法律服务平台相关支出、人民陪审员选任管理费用、人民监督员选任管理费用支出。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④、社区矫正：指各级司法行政部门用于社区的支出。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⑤、其他司法支出：反映除上述项目以外其他用于司法方面的支出。</w:t>
      </w:r>
    </w:p>
    <w:p>
      <w:pPr>
        <w:spacing w:line="600" w:lineRule="exact"/>
        <w:ind w:firstLine="640" w:firstLineChars="200"/>
      </w:pPr>
      <w:r>
        <w:rPr>
          <w:rStyle w:val="20"/>
          <w:rFonts w:hint="eastAsia" w:ascii="仿宋_GB2312" w:eastAsia="仿宋_GB2312"/>
          <w:b w:val="0"/>
          <w:color w:val="000000"/>
          <w:sz w:val="32"/>
          <w:szCs w:val="32"/>
        </w:rPr>
        <w:t>10.公共安全支出（类）其他公共安全支出（款）其他公共安全支出（项）：反映除上述项目以外其他用于公共安全支出方面的支出。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 xml:space="preserve">11.社会保障和就业（类）行政事业单位离退休（款）  </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①、行政单位离退休: 指行政单位（包括实行公务员管理的事业单位）开支的离退休支出。</w:t>
      </w:r>
    </w:p>
    <w:p>
      <w:pPr>
        <w:spacing w:line="600" w:lineRule="exact"/>
        <w:ind w:firstLine="640" w:firstLineChars="200"/>
        <w:rPr>
          <w:rStyle w:val="20"/>
          <w:rFonts w:ascii="仿宋_GB2312" w:eastAsia="仿宋_GB2312"/>
          <w:b w:val="0"/>
          <w:color w:val="000000"/>
          <w:sz w:val="32"/>
          <w:szCs w:val="32"/>
        </w:rPr>
      </w:pPr>
      <w:r>
        <w:rPr>
          <w:rFonts w:hint="eastAsia" w:ascii="仿宋_GB2312" w:eastAsia="仿宋_GB2312"/>
          <w:color w:val="000000"/>
          <w:sz w:val="32"/>
          <w:szCs w:val="32"/>
        </w:rPr>
        <w:t>②、机关事业单位基本养老保险缴费支出：</w:t>
      </w:r>
      <w:r>
        <w:rPr>
          <w:rStyle w:val="20"/>
          <w:rFonts w:hint="eastAsia" w:ascii="仿宋_GB2312" w:eastAsia="仿宋_GB2312"/>
          <w:b w:val="0"/>
          <w:color w:val="000000"/>
          <w:sz w:val="32"/>
          <w:szCs w:val="32"/>
        </w:rPr>
        <w:t>指机关事业单位实施养老保险制度有单位缴纳的基本养老保险费支出。</w:t>
      </w:r>
    </w:p>
    <w:p>
      <w:pPr>
        <w:pStyle w:val="6"/>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w:t>
      </w:r>
      <w:r>
        <w:rPr>
          <w:rFonts w:hint="eastAsia" w:ascii="仿宋_GB2312" w:eastAsia="仿宋_GB2312"/>
          <w:color w:val="000000"/>
          <w:sz w:val="32"/>
          <w:szCs w:val="32"/>
        </w:rPr>
        <w:t>机关事业单位职业年金缴费支出：指机关事业单位实施养老保险制度由单位实际缴纳的职业年金。</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12、住房保障支出（类）住房改革支出（款）住房公积金（项）：指行政事业单位按人力资源和社会保障部、财政部规定的基本工资和津贴补贴以及规定比例为职工缴纳的住房公积金。</w:t>
      </w:r>
    </w:p>
    <w:p>
      <w:pPr>
        <w:pStyle w:val="6"/>
        <w:spacing w:line="560" w:lineRule="exact"/>
        <w:ind w:firstLine="640" w:firstLineChars="200"/>
        <w:rPr>
          <w:rFonts w:eastAsia="仿宋_GB2312"/>
          <w:bCs/>
          <w:sz w:val="32"/>
          <w:szCs w:val="32"/>
        </w:rPr>
      </w:pPr>
      <w:r>
        <w:rPr>
          <w:rFonts w:eastAsia="仿宋_GB2312"/>
          <w:bCs/>
          <w:sz w:val="32"/>
          <w:szCs w:val="32"/>
        </w:rPr>
        <w:t>13.卫生健康支出（类）</w:t>
      </w:r>
      <w:r>
        <w:rPr>
          <w:rFonts w:hint="eastAsia" w:eastAsia="仿宋_GB2312"/>
          <w:bCs/>
          <w:sz w:val="32"/>
          <w:szCs w:val="32"/>
        </w:rPr>
        <w:t>行政事业单位医疗</w:t>
      </w:r>
      <w:r>
        <w:rPr>
          <w:rFonts w:eastAsia="仿宋_GB2312"/>
          <w:bCs/>
          <w:sz w:val="32"/>
          <w:szCs w:val="32"/>
        </w:rPr>
        <w:t>（款）</w:t>
      </w:r>
    </w:p>
    <w:p>
      <w:pPr>
        <w:rPr>
          <w:rFonts w:eastAsia="仿宋_GB2312"/>
          <w:bCs/>
        </w:rPr>
      </w:pPr>
      <w:r>
        <w:rPr>
          <w:rFonts w:hint="eastAsia" w:eastAsia="仿宋_GB2312"/>
          <w:b/>
          <w:sz w:val="32"/>
          <w:szCs w:val="32"/>
        </w:rPr>
        <w:t xml:space="preserve">   </w:t>
      </w:r>
      <w:r>
        <w:rPr>
          <w:rFonts w:hint="eastAsia" w:eastAsia="仿宋_GB2312"/>
          <w:bCs/>
          <w:sz w:val="32"/>
          <w:szCs w:val="32"/>
        </w:rPr>
        <w:t xml:space="preserve"> </w:t>
      </w: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r>
        <w:rPr>
          <w:rFonts w:hint="eastAsia" w:eastAsia="仿宋_GB2312"/>
          <w:b/>
          <w:sz w:val="32"/>
          <w:szCs w:val="32"/>
        </w:rPr>
        <w:t xml:space="preserve">     </w:t>
      </w:r>
      <w:r>
        <w:rPr>
          <w:rFonts w:hint="eastAsia" w:eastAsia="仿宋_GB2312"/>
          <w:bCs/>
          <w:sz w:val="32"/>
          <w:szCs w:val="32"/>
        </w:rPr>
        <w:sym w:font="Wingdings" w:char="F082"/>
      </w:r>
      <w:r>
        <w:rPr>
          <w:rFonts w:hint="eastAsia"/>
          <w:bCs/>
          <w:sz w:val="32"/>
          <w:szCs w:val="32"/>
        </w:rPr>
        <w:t>公务员医疗补助：指财政部门安排的公务员医疗补助经费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16.项目支出：指在基本支出之外为完成特定行政任务和事业发展目标所发生的支出。 </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w:t>
      </w:r>
      <w:r>
        <w:rPr>
          <w:rFonts w:eastAsia="仿宋_GB2312"/>
          <w:sz w:val="32"/>
          <w:szCs w:val="32"/>
        </w:rPr>
        <w:t>公务用车购置及运行费反映单位公务用车车辆购置支出（含车辆购置税）及</w:t>
      </w:r>
      <w:r>
        <w:rPr>
          <w:rFonts w:hint="eastAsia" w:eastAsia="仿宋_GB2312"/>
          <w:sz w:val="32"/>
          <w:szCs w:val="32"/>
        </w:rPr>
        <w:t>按规定保留的公务用车</w:t>
      </w:r>
      <w:r>
        <w:rPr>
          <w:rFonts w:eastAsia="仿宋_GB2312"/>
          <w:sz w:val="32"/>
          <w:szCs w:val="32"/>
        </w:rPr>
        <w:t>燃料费、维修费、过路过桥费、保险费</w:t>
      </w:r>
      <w:r>
        <w:rPr>
          <w:rFonts w:hint="eastAsia" w:eastAsia="仿宋_GB2312"/>
          <w:sz w:val="32"/>
          <w:szCs w:val="32"/>
        </w:rPr>
        <w:t>、安全奖励费用</w:t>
      </w:r>
      <w:r>
        <w:rPr>
          <w:rFonts w:eastAsia="仿宋_GB2312"/>
          <w:sz w:val="32"/>
          <w:szCs w:val="32"/>
        </w:rPr>
        <w:t>等支出</w:t>
      </w:r>
      <w:r>
        <w:rPr>
          <w:rFonts w:hint="eastAsia" w:ascii="仿宋_GB2312" w:eastAsia="仿宋_GB2312"/>
          <w:sz w:val="32"/>
          <w:szCs w:val="32"/>
        </w:rPr>
        <w:t>；公务接待费反映单位按规定开支的各类公务接待（含外宾接待）支出。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ascii="黑体" w:hAnsi="黑体" w:eastAsia="黑体"/>
          <w:b w:val="0"/>
        </w:rPr>
      </w:pPr>
      <w:r>
        <w:rPr>
          <w:rFonts w:ascii="宋体"/>
          <w:b/>
          <w:sz w:val="44"/>
          <w:szCs w:val="44"/>
        </w:rPr>
        <w:br w:type="page"/>
      </w:r>
      <w:bookmarkStart w:id="88" w:name="_Toc19130_WPSOffice_Level1"/>
      <w:r>
        <w:rPr>
          <w:rFonts w:hint="eastAsia" w:ascii="黑体" w:hAnsi="黑体" w:eastAsia="黑体"/>
          <w:sz w:val="44"/>
          <w:szCs w:val="44"/>
        </w:rPr>
        <w:t>第</w:t>
      </w:r>
      <w:r>
        <w:rPr>
          <w:rStyle w:val="32"/>
          <w:rFonts w:hint="eastAsia" w:ascii="黑体" w:hAnsi="黑体" w:eastAsia="黑体"/>
          <w:b w:val="0"/>
        </w:rPr>
        <w:t>四部分 附件</w:t>
      </w:r>
      <w:bookmarkEnd w:id="86"/>
      <w:bookmarkEnd w:id="88"/>
    </w:p>
    <w:p>
      <w:pPr>
        <w:widowControl/>
        <w:spacing w:line="560" w:lineRule="exact"/>
        <w:contextualSpacing/>
        <w:rPr>
          <w:rFonts w:ascii="宋体" w:hAnsi="宋体"/>
          <w:b/>
          <w:sz w:val="32"/>
          <w:szCs w:val="32"/>
          <w:shd w:val="clear" w:color="auto" w:fill="FFFFFF"/>
        </w:rPr>
      </w:pPr>
      <w:r>
        <w:rPr>
          <w:rFonts w:hint="eastAsia" w:ascii="宋体" w:hAnsi="宋体"/>
          <w:b/>
          <w:sz w:val="32"/>
          <w:szCs w:val="32"/>
          <w:shd w:val="clear" w:color="auto" w:fill="FFFFFF"/>
        </w:rPr>
        <w:t>附件1</w:t>
      </w:r>
    </w:p>
    <w:p>
      <w:pPr>
        <w:spacing w:line="560" w:lineRule="exact"/>
        <w:jc w:val="center"/>
        <w:rPr>
          <w:rFonts w:ascii="方正小标宋_GBK" w:hAnsi="方正小标宋_GBK" w:eastAsia="方正小标宋_GBK" w:cs="方正小标宋_GBK"/>
          <w:sz w:val="36"/>
          <w:szCs w:val="36"/>
        </w:rPr>
      </w:pPr>
      <w:bookmarkStart w:id="89" w:name="_Toc17566_WPSOffice_Level2"/>
      <w:bookmarkStart w:id="90" w:name="_Toc25672_WPSOffice_Level2"/>
      <w:r>
        <w:rPr>
          <w:rFonts w:hint="eastAsia" w:ascii="方正小标宋_GBK" w:hAnsi="方正小标宋_GBK" w:eastAsia="方正小标宋_GBK" w:cs="方正小标宋_GBK"/>
          <w:sz w:val="36"/>
          <w:szCs w:val="36"/>
        </w:rPr>
        <w:t>盐边县司法局</w:t>
      </w:r>
      <w:bookmarkEnd w:id="89"/>
      <w:bookmarkEnd w:id="90"/>
    </w:p>
    <w:p>
      <w:pPr>
        <w:spacing w:line="560" w:lineRule="exact"/>
        <w:jc w:val="center"/>
        <w:rPr>
          <w:rFonts w:ascii="方正小标宋_GBK" w:hAnsi="方正小标宋_GBK" w:eastAsia="方正小标宋_GBK" w:cs="方正小标宋_GBK"/>
          <w:sz w:val="36"/>
          <w:szCs w:val="36"/>
        </w:rPr>
      </w:pPr>
      <w:bookmarkStart w:id="91" w:name="_Toc352_WPSOffice_Level2"/>
      <w:bookmarkStart w:id="92" w:name="_Toc18040_WPSOffice_Level2"/>
      <w:r>
        <w:rPr>
          <w:rFonts w:hint="eastAsia" w:ascii="方正小标宋_GBK" w:hAnsi="方正小标宋_GBK" w:eastAsia="方正小标宋_GBK" w:cs="方正小标宋_GBK"/>
          <w:sz w:val="36"/>
          <w:szCs w:val="36"/>
        </w:rPr>
        <w:t>2022年部门整体支出绩效评价报告</w:t>
      </w:r>
      <w:bookmarkEnd w:id="91"/>
      <w:bookmarkEnd w:id="92"/>
    </w:p>
    <w:p>
      <w:pPr>
        <w:widowControl/>
        <w:adjustRightInd w:val="0"/>
        <w:snapToGrid w:val="0"/>
        <w:spacing w:line="560" w:lineRule="exact"/>
        <w:ind w:firstLine="640"/>
        <w:jc w:val="left"/>
        <w:rPr>
          <w:rFonts w:ascii="仿宋_GB2312" w:hAnsi="仿宋_GB2312" w:eastAsia="仿宋_GB2312" w:cs="仿宋_GB2312"/>
          <w:color w:val="000000"/>
          <w:sz w:val="32"/>
          <w:szCs w:val="32"/>
          <w:lang w:bidi="ar"/>
        </w:rPr>
      </w:pPr>
    </w:p>
    <w:p>
      <w:pPr>
        <w:spacing w:line="560" w:lineRule="exact"/>
        <w:jc w:val="left"/>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 xml:space="preserve">    为牢固树立预算绩效理念，进一步规范财政资金管理，提高资金使用效益及部门预算整体绩效目标管理水平，按照《盐边县财政局关于开展2022年度部门预算整体及项目支出绩效自评工作的通知》（盐边财绩〔2023〕1号）要求，结合我局的实际情况，通过自查收入支出情况、账表一致情况，对相关资料进行收集整理、分析汇总，现将县司法局2022年预算整体绩效评价结果报告如下。</w:t>
      </w:r>
    </w:p>
    <w:p>
      <w:pPr>
        <w:spacing w:line="56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 xml:space="preserve">     </w:t>
      </w:r>
      <w:bookmarkStart w:id="93" w:name="_Toc19251_WPSOffice_Level2"/>
      <w:bookmarkStart w:id="94" w:name="_Toc18758_WPSOffice_Level2"/>
      <w:r>
        <w:rPr>
          <w:rFonts w:hint="eastAsia" w:ascii="仿宋_GB2312" w:hAnsi="仿宋_GB2312" w:eastAsia="仿宋_GB2312" w:cs="仿宋_GB2312"/>
          <w:b/>
          <w:color w:val="000000"/>
          <w:sz w:val="32"/>
          <w:szCs w:val="32"/>
        </w:rPr>
        <w:t>一、部门概况</w:t>
      </w:r>
      <w:bookmarkEnd w:id="93"/>
      <w:bookmarkEnd w:id="94"/>
    </w:p>
    <w:p>
      <w:pPr>
        <w:widowControl/>
        <w:adjustRightInd w:val="0"/>
        <w:snapToGrid w:val="0"/>
        <w:spacing w:line="560" w:lineRule="exact"/>
        <w:jc w:val="left"/>
        <w:rPr>
          <w:rFonts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color w:val="000000"/>
          <w:kern w:val="0"/>
          <w:sz w:val="32"/>
          <w:szCs w:val="32"/>
          <w:shd w:val="clear" w:color="auto" w:fill="FFFFFF"/>
        </w:rPr>
        <w:t xml:space="preserve"> </w:t>
      </w: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一</w:t>
      </w: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机构组成。</w:t>
      </w:r>
    </w:p>
    <w:p>
      <w:pPr>
        <w:pStyle w:val="7"/>
        <w:adjustRightInd w:val="0"/>
        <w:spacing w:beforeLines="0" w:line="560" w:lineRule="exact"/>
        <w:ind w:firstLine="672" w:firstLineChars="210"/>
        <w:rPr>
          <w:rFonts w:hAnsi="仿宋_GB2312" w:cs="仿宋_GB2312"/>
          <w:color w:val="000000"/>
          <w:sz w:val="32"/>
          <w:szCs w:val="32"/>
        </w:rPr>
      </w:pPr>
      <w:r>
        <w:rPr>
          <w:rFonts w:hint="eastAsia" w:hAnsi="仿宋_GB2312" w:cs="仿宋_GB2312"/>
          <w:color w:val="000000"/>
          <w:sz w:val="32"/>
          <w:szCs w:val="32"/>
        </w:rPr>
        <w:t>盐边县司法局下属非独立核算单位2个，其中参照公务员法管理的事业单位1个，事业单位1个，主要包括：盐边县法律援助中心和四川省盐边县公证处。</w:t>
      </w:r>
    </w:p>
    <w:p>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color w:val="000000"/>
          <w:kern w:val="0"/>
          <w:sz w:val="32"/>
          <w:szCs w:val="32"/>
          <w:shd w:val="clear" w:color="auto" w:fill="FFFFFF"/>
          <w:lang w:val="zh-CN"/>
        </w:rPr>
        <w:t>（二）</w:t>
      </w:r>
      <w:r>
        <w:rPr>
          <w:rFonts w:hint="eastAsia" w:ascii="仿宋_GB2312" w:hAnsi="仿宋_GB2312" w:eastAsia="仿宋_GB2312" w:cs="仿宋_GB2312"/>
          <w:b/>
          <w:bCs/>
          <w:sz w:val="32"/>
          <w:szCs w:val="32"/>
          <w:lang w:val="zh-CN"/>
        </w:rPr>
        <w:t>机构职能。</w:t>
      </w:r>
    </w:p>
    <w:p>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1、贯彻执行国家关于司法行政工作的方针、政策和法律、法规及规章，制定全县司法行政规范性文件和工作发展规划、工作计划并组织实施。</w:t>
      </w:r>
    </w:p>
    <w:p>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2、拟定全县普及法律常识规划和法制宣传教育计划并组织实施，指导全县各行业的法制宣传和依法治理工作。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3、负责指导、管理和监督全县律师工作、公证工作、基层法律服务工作，负责行政处罚工作。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4、组织实施法律援助工作。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5、指导全县人民调解工作和基层司法所工作。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6、组织开展对非监禁刑罚执行对象的社区矫正工作；协助当地政府做好刑释解教人员的安置帮教工作。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7、组织开展全县司法行政系统队伍建设和思想政治工作。</w:t>
      </w:r>
    </w:p>
    <w:p>
      <w:pPr>
        <w:pStyle w:val="16"/>
        <w:shd w:val="clear" w:color="auto" w:fill="FFFFFF"/>
        <w:spacing w:before="0" w:beforeAutospacing="0" w:after="0" w:afterAutospacing="0" w:line="560" w:lineRule="exact"/>
        <w:ind w:firstLine="672"/>
        <w:jc w:val="both"/>
        <w:rPr>
          <w:rFonts w:ascii="仿宋_GB2312" w:hAnsi="仿宋_GB2312" w:cs="仿宋_GB2312"/>
          <w:bCs/>
          <w:sz w:val="32"/>
          <w:szCs w:val="32"/>
          <w:u w:val="single"/>
        </w:rPr>
      </w:pPr>
      <w:r>
        <w:rPr>
          <w:rFonts w:hint="eastAsia" w:ascii="仿宋_GB2312" w:hAnsi="仿宋_GB2312" w:cs="仿宋_GB2312"/>
          <w:color w:val="333333"/>
          <w:sz w:val="32"/>
          <w:szCs w:val="32"/>
        </w:rPr>
        <w:t>8、承办县政府交办的其他事项。</w:t>
      </w:r>
    </w:p>
    <w:p>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（三）人员概况。</w:t>
      </w:r>
    </w:p>
    <w:p>
      <w:pPr>
        <w:pStyle w:val="6"/>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2022年末在职人员43人，其中行政在编人员40人，参照公务员管理人员3人，退休人员12人。</w:t>
      </w:r>
    </w:p>
    <w:p>
      <w:pPr>
        <w:pStyle w:val="10"/>
        <w:numPr>
          <w:ilvl w:val="0"/>
          <w:numId w:val="6"/>
        </w:numPr>
        <w:spacing w:line="560" w:lineRule="exact"/>
        <w:ind w:firstLine="643" w:firstLineChars="200"/>
        <w:jc w:val="left"/>
        <w:rPr>
          <w:rFonts w:ascii="仿宋_GB2312" w:hAnsi="仿宋_GB2312" w:eastAsia="仿宋_GB2312" w:cs="仿宋_GB2312"/>
          <w:sz w:val="32"/>
          <w:szCs w:val="32"/>
        </w:rPr>
      </w:pPr>
      <w:bookmarkStart w:id="95" w:name="_Toc10105_WPSOffice_Level2"/>
      <w:bookmarkStart w:id="96" w:name="_Toc18643_WPSOffice_Level2"/>
      <w:r>
        <w:rPr>
          <w:rFonts w:hint="eastAsia" w:ascii="仿宋_GB2312" w:hAnsi="仿宋_GB2312" w:eastAsia="仿宋_GB2312" w:cs="仿宋_GB2312"/>
          <w:b/>
          <w:color w:val="000000"/>
          <w:sz w:val="32"/>
          <w:szCs w:val="32"/>
        </w:rPr>
        <w:t>部门财政资金基本情况</w:t>
      </w:r>
      <w:bookmarkEnd w:id="95"/>
      <w:bookmarkEnd w:id="96"/>
    </w:p>
    <w:p>
      <w:pPr>
        <w:pStyle w:val="10"/>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（一）部门财政资金收入情况</w:t>
      </w:r>
    </w:p>
    <w:p>
      <w:pPr>
        <w:pStyle w:val="10"/>
        <w:spacing w:line="560" w:lineRule="exact"/>
        <w:jc w:val="left"/>
        <w:rPr>
          <w:rFonts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lang w:bidi="ar"/>
        </w:rPr>
        <w:t xml:space="preserve"> 2022年年初部门预算安排收入为833.59万元。当年调增及调减后实际预算下达收入1163.03万元</w:t>
      </w:r>
      <w:r>
        <w:rPr>
          <w:rFonts w:hint="eastAsia" w:ascii="仿宋_GB2312" w:hAnsi="仿宋_GB2312" w:eastAsia="仿宋_GB2312" w:cs="仿宋_GB2312"/>
          <w:color w:val="000000"/>
          <w:sz w:val="32"/>
          <w:szCs w:val="32"/>
          <w:lang w:bidi="ar"/>
        </w:rPr>
        <w:t>。</w:t>
      </w:r>
    </w:p>
    <w:p>
      <w:pPr>
        <w:pStyle w:val="10"/>
        <w:spacing w:line="560" w:lineRule="exact"/>
        <w:ind w:firstLine="643" w:firstLineChars="200"/>
        <w:jc w:val="left"/>
        <w:rPr>
          <w:rFonts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sz w:val="32"/>
          <w:szCs w:val="32"/>
        </w:rPr>
        <w:t>部门财政资金</w:t>
      </w:r>
      <w:r>
        <w:rPr>
          <w:rFonts w:hint="eastAsia" w:ascii="仿宋_GB2312" w:hAnsi="仿宋_GB2312" w:eastAsia="仿宋_GB2312" w:cs="仿宋_GB2312"/>
          <w:b/>
          <w:bCs/>
          <w:color w:val="000000"/>
          <w:sz w:val="32"/>
          <w:szCs w:val="32"/>
        </w:rPr>
        <w:t>支出情况</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1.部门预算基本支出情况</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2022年年初部门预算安排基本支出为693.69万元。其中：工资福利支出604.17万元，日常公用支出89.51万元。当年调增及调减后实际预算下达基本支出955.59万元。</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2.部门预算项目安排及支出情况。</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2022年年初部门预算安排项目支出为139.89万元；2022年调增及调减后实际预算下达项目支出207.44万元。</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项目支出主要用于法律援助、社区矫正、人民调解等方面支出。</w:t>
      </w:r>
    </w:p>
    <w:p>
      <w:pPr>
        <w:pStyle w:val="10"/>
        <w:numPr>
          <w:ilvl w:val="0"/>
          <w:numId w:val="7"/>
        </w:num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结转结余情况</w:t>
      </w:r>
    </w:p>
    <w:p>
      <w:pPr>
        <w:pStyle w:val="10"/>
        <w:spacing w:line="560" w:lineRule="exact"/>
        <w:jc w:val="left"/>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lang w:bidi="ar"/>
        </w:rPr>
        <w:t>无结转结余。</w:t>
      </w:r>
    </w:p>
    <w:p>
      <w:pPr>
        <w:pStyle w:val="10"/>
        <w:spacing w:line="56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 xml:space="preserve">    </w:t>
      </w:r>
      <w:bookmarkStart w:id="97" w:name="_Toc17240_WPSOffice_Level2"/>
      <w:bookmarkStart w:id="98" w:name="_Toc6654_WPSOffice_Level2"/>
      <w:r>
        <w:rPr>
          <w:rFonts w:hint="eastAsia" w:ascii="仿宋_GB2312" w:hAnsi="仿宋_GB2312" w:eastAsia="仿宋_GB2312" w:cs="仿宋_GB2312"/>
          <w:sz w:val="32"/>
          <w:szCs w:val="32"/>
        </w:rPr>
        <w:t>三</w:t>
      </w:r>
      <w:r>
        <w:rPr>
          <w:rFonts w:hint="eastAsia" w:ascii="仿宋_GB2312" w:hAnsi="仿宋_GB2312" w:eastAsia="仿宋_GB2312" w:cs="仿宋_GB2312"/>
          <w:b/>
          <w:color w:val="000000"/>
          <w:sz w:val="32"/>
          <w:szCs w:val="32"/>
        </w:rPr>
        <w:t>、部门预算绩效管理情况</w:t>
      </w:r>
      <w:bookmarkEnd w:id="97"/>
      <w:bookmarkEnd w:id="98"/>
    </w:p>
    <w:p>
      <w:pPr>
        <w:numPr>
          <w:ilvl w:val="0"/>
          <w:numId w:val="8"/>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部门预算绩效管理。</w:t>
      </w:r>
    </w:p>
    <w:p>
      <w:pPr>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 xml:space="preserve"> 1.绩效目标制定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盐边县司法局在县委、县政府坚强领导下，在县委政法委精心指导下，围绕市委“一三三三”总体发展战略，聚焦“钒钛首县、滋味盐边”发展定位，围绕中心、服务大局，充分发挥司法行政职能，稳步推进各项工作，为盐边经济社会发展提供强有力的法治保障。</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lang w:bidi="ar"/>
        </w:rPr>
        <w:t>绩效目标执行情况</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盐边县司法局2022年度全年资金拨付和使用均按计划进度完成，在资金的使用上，严守法律底线、纪律底线，无违反财务管理、财经纪律情况发生，会计核算真实完整，项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（1）人员类</w:t>
      </w:r>
    </w:p>
    <w:p>
      <w:pPr>
        <w:snapToGrid w:val="0"/>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2022年度人员经费支出878.51万元，主要用于职工工资及福利待遇支出，未将人员工资福利支出等大平台指标挪作他用，基本支出保障有力，确保全年平稳保障职工工资支出，维持基本行政运转，预算执行率100%。</w:t>
      </w:r>
    </w:p>
    <w:p>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（2）运转类</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2022年度公用经费支出77.07万元，主要用于办公费、印刷费、水电费、差旅费、维修（护）费等日常公用经费，严格按照资金用途申报、使用资金，均已足额按时支付，有力保障了各项工作的顺利开展。预算执行率100%。</w:t>
      </w:r>
    </w:p>
    <w:p>
      <w:pPr>
        <w:widowControl/>
        <w:adjustRightInd w:val="0"/>
        <w:snapToGrid w:val="0"/>
        <w:spacing w:line="560" w:lineRule="exact"/>
        <w:ind w:firstLine="643" w:firstLineChars="200"/>
        <w:contextualSpacing/>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（3）特定目标类</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2022年项目支出207.44万元，有效保障了司法开展法律援助、人民调解、社区矫正等办案业务工作正常运行。预算执行率100%。</w:t>
      </w:r>
    </w:p>
    <w:p>
      <w:pPr>
        <w:numPr>
          <w:ilvl w:val="0"/>
          <w:numId w:val="9"/>
        </w:num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绩效目标完成情况</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（一）坚持党建引领，强化思想政治建设。</w:t>
      </w:r>
      <w:r>
        <w:rPr>
          <w:rFonts w:hint="eastAsia" w:ascii="仿宋_GB2312" w:hAnsi="仿宋_GB2312" w:eastAsia="仿宋_GB2312" w:cs="仿宋_GB2312"/>
          <w:sz w:val="32"/>
          <w:szCs w:val="32"/>
        </w:rPr>
        <w:t>深入学习贯彻党的二十大精神，把思想和行动统一到党的二十大精神上来。始终把深入学习领会党的二十大精神作为当前和今后一个时期的重要政治任务。“线上+线下”同步，积极构建学习多样性，利用微信群、QQ群等途径，广泛推送党的二十大精神解读，使党的二十大学习遍及全局干部职工；组织50名干部职工参加“学习之星”攀枝花市直机关学习宣传贯彻党的二十大精神线上答题竞赛，深入学习党的二十大精神；利用职工大会、党员大会、党组理论学习中心组等多种方式，准确解读党的二十大精神实质、核心要义，真正做到融会贯通、触类旁通、入脑入心，将党的二十大精神转化为推动司法行政工作的发展动力。深入学习贯彻习近平法治思想和习近平总书记来川视察重要指示精神及对四川工作、政法工作重要指示。准确把握习近平总书记对谱写四川发展新篇章所提出的基本要求和方向路径，通过理论</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中心组学习、党支部“三会一课”等开展学习、分组讨论、撰写心得体会，营造浓厚氛围，做到真学真懂，推动学习贯彻走深走心走实。不断贯彻落实《中国共产党政法工作条例》、</w:t>
      </w:r>
      <w:bookmarkStart w:id="159" w:name="_GoBack"/>
      <w:bookmarkEnd w:id="159"/>
      <w:r>
        <w:rPr>
          <w:rFonts w:hint="eastAsia" w:ascii="仿宋_GB2312" w:hAnsi="仿宋_GB2312" w:eastAsia="仿宋_GB2312" w:cs="仿宋_GB2312"/>
          <w:sz w:val="32"/>
          <w:szCs w:val="32"/>
        </w:rPr>
        <w:t>四川省《实施细则》及我市《实施意见》，印发《2022年县司法局党组理论学习中心组专题学习安排意见》，定期组织开展学习，党组理论学习中心组学习12次。严格落实意识形态工作责任制，建立和完善意识形态应急处置机制，加强意识形态领域分析研判，定期研判干部思想动态，及时发现和应对意识形态领域的苗头性、倾向性问题。不断深化党史教育，集中开展党史学习教育39场次，班子成员带头讲党课4次。强化纪律作风建设，填报《干部、职工个人参加培训情况排查表》38份，填报《盐边县司法局干部职工“八小时以外”违法违纪行为自查表》《盐边县司法局纪律作风整肃个人自查自纠表》110份。开展“温馨家访”活动，通过分层级开展全覆盖谈心谈话53人次，及时掌握干警家属思想动态和家庭情况。对新招录的5名公务员开展入职培训，提高思想认识、增强素质修养；确定5名帮带领导帮带10名帮带对象，注重谈心谈话、思想教育。</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（二）发挥司法优势，护航党的二十大。</w:t>
      </w:r>
      <w:r>
        <w:rPr>
          <w:rFonts w:hint="eastAsia" w:ascii="仿宋_GB2312" w:hAnsi="仿宋_GB2312" w:eastAsia="仿宋_GB2312" w:cs="仿宋_GB2312"/>
          <w:sz w:val="32"/>
          <w:szCs w:val="32"/>
        </w:rPr>
        <w:t>党的二十大召开前夕，县司法局高度重视，召开党组会、局长办公会共6次，专题研究部署党的二十大维护安保工作，成立党的二十大期间维稳安保专项工作组，建立督导检查制度，由班子成员分别带队到各司法所开展督导检查，落实主体责任。充分利用各种节点、赶集日和村（社区）法律顾问送法进乡村等有利时机，采取以案释法、以案警示等多种形式，切实提高群众的法律意识和法治素养，教育引导广大群众自觉尊法学法守法用法，依靠法律手段解决矛盾纠纷。做好重大舆情的处置应对工作，加强网络舆情管理，健全网络信息收集和处置机制，对涉及群众关心、社会关注的热点问题，第一时间及时、准确回应社会公众关切，从源头上筑牢社会安全稳定的思想防线。结合“三大攻坚战”、“重点项目突破行动”，全面排查精准掌握影响本辖区社会安全稳定的各类矛盾纠纷。对排查出的矛盾纠纷和苗头隐患，逐项分类梳理，逐一登记建档，采取挂牌督办、蹲点化解等办法进行调处化解。对党的二十大召开前、期间发生的几起事故，县司法局联合多方力量，采取果断措施，及时化解纠纷。如10月15日、10月17日发生在红格镇、新九镇境内的两起交通事故，事故死亡者均属少数民族，如处理不当，将会引发群体性事件，县司法局协调多方力量，经4天2夜反复做工作，及时、慎重调处化解了两起涉及少数民族的交通死亡事故的赔偿纠纷。今年以来，各级人民调解组织共调解矛盾纠纷632件、调解成功631件（其中重大矛盾纠纷48件）、涉及金额800余万元、调解成功率为98%，排查重大矛盾纠纷隐患58起。加强与公安、检察院、法院以及属地乡（镇）、村（社区）的沟通协作，密切关注“两类”人员动向。今年9月集中对165名社区矫正对象、739名安置帮教对象进行全覆盖摸排走访，对他们的行踪动态和思想状况进行全面掌握，疏导心理情绪，解决实际问题，做到不脱管、不漏管，避免重新违法犯罪；对7名刑满释放涉黑涉恶人员作为重点人员建立台账，由公安机关纳入重点人口管理。今年以来，共接收社区矫正对象139名，解除矫正108名，提请撤销缓刑2人，训戒24人次，警告处分9人次，开展社会调查评估80件，走访社区矫正对象1600人次，远程探视预约243次，会见148场次384人次。</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（三）持续深化改革，不断抓出实效。</w:t>
      </w:r>
      <w:r>
        <w:rPr>
          <w:rFonts w:hint="eastAsia" w:ascii="仿宋_GB2312" w:hAnsi="仿宋_GB2312" w:eastAsia="仿宋_GB2312" w:cs="仿宋_GB2312"/>
          <w:sz w:val="32"/>
          <w:szCs w:val="32"/>
        </w:rPr>
        <w:t>一是推进政法领域全面深化改革，规范“暂予监外执行”案件办理。目前在册4人，4人每月均按照管理级别落实管理措施，其中1人因精神分裂症不能参加集中教育学习和公益活动，已办理审批手续予以免除，其余3人因病不能参加公益活动，已办理审批手续予以免除，但按时参加集中教育学习。4人均每月按时提交书面报告，汇报病情情况，每季度提交病情诊断报告，司法所按时社区矫正规定进行考核。不断加快推进政法系统跨部门办案平台建设和应用。截至目前共收到案件19件，2件调查评估，反馈21件送达回执和法律文书。二是深化司法责任制综合配套改革，贯彻落实四川省人民监督员选任管理实施办法。已完成2022年人民监督员选任工作。市司法局和市检察院联合下发了关于选任2022-2027年度市级人民检察院人民监督员任命文件，选任白海等35名同志为市级人民检察院人民监督员，任期五年，任期至2027年6月16日止。盐边县有三名同志入选。7月8日，市司法局、市检察院联合召开了攀枝花市第二届市级人民监督员颁证宣誓仪式暨任前培训会议。三是稳妥推进行政复议体制改革，根据省、市行政复议体制改革要求，设立了“盐边县人民政府行政复议办公室”，履行县政府行政复议机构职责，依法办理行政复议事项，基本形成公正权威、统一高效的行政复议体制。四是完善政法公共服务体系，推进一站式多元解纷和诉讼服务体系建设。根据省厅、市局《关于完善矛盾纠纷多元化解机制的意》、《关于进一步加强专职人民调解员队伍建设工作》等文件的要求，结合盐边实际，3月上报今年专职调解员配备计划，建立完善公调、法调、访调相互衔接、紧密协作、良性互动、科学高效的矛盾纠纷调处机制，有效整合人民调解和公安机关、法院、信访的调解资源，加大矛盾纠纷多元化解力度，有效预防和化解社会矛盾，促进盐边县社会和谐稳定，草拟《盐边县关于构建“三调对接”矛盾纠纷大调解体系的实施方案》，拟成立派驻调解室14个。草拟《关于成立盐边县矛盾纠纷多元化解中心暨人民调解中心的通知》、《关于成立盐边县司法局矛盾纠纷多元化解中心暨人民调解中心领导小组的通知》。</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（四）突出统筹协调，依法治县全面推进</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起草《盐边县法治社会建设实施方案（2021—2025年）》和《法治盐边建设规划（2021—2025年）》，已经县委全面依法治县委员会会议、县委常委会会议审议通过，待印发实施。印发《中共盐边县委全面依法治县委员会2022年工作要点》，明确6个方面18项工作任务，细化责任单位，确保2022年全面依法治县工作有抓手、有措施、有保障。召开中共盐边县委全面依法治县委员会第四次（扩大）会议暨推广应用“1+8”示范试点成果动员部署会，对全面推广“1+8”示范试点成果工作进行动员部署；印发《盐边县全面推广“1+8”示范试点成果责任分工方案》，明确推广步骤，确定主要任务，细化责任单位，确保推广应用工作在盐边落地落实。报送攀枝花市2022年度法治实践课题4篇。积极开展2022年省级法治政府建设示范创建活动，以“行政裁决试点建设”申报创建“四川省法治政府建设示范项目”。</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（五）规范行政执法，推进法治政府建设。</w:t>
      </w:r>
      <w:r>
        <w:rPr>
          <w:rFonts w:hint="eastAsia" w:ascii="仿宋_GB2312" w:hAnsi="仿宋_GB2312" w:eastAsia="仿宋_GB2312" w:cs="仿宋_GB2312"/>
          <w:sz w:val="32"/>
          <w:szCs w:val="32"/>
        </w:rPr>
        <w:t>完成2021年行政执法和行政执法监督情况公示备案统计工作，公布行政执法主体、依据、职责权限、和执法人员等执法相关信息40余条。开展盐边县2022年通用法律知识培训暨考试，全县12个乡（镇）、31个行政执法单位432人参加学习、考试，合格率99％。在全市首创制发《盐边县行政裁决程序规定（试行）》并在全县推广使用。开展合法性审核56件（其中：重大合同26件，重大决策30件）。完成2011—2022年行政规范性文件清理工作，全县继续有效行政规范性文件19件、废止规范性文件3件、失效规范性文件64件。开展行政规范性文件审核5件，完成备案4件，1件正在备案中。积极稳妥推进行政复议体制改革，成立“盐边县人民政府行政复议办公室”，县司法局作为县政府的行政复议机构，履行县政府行政复议机构职责，依法办理行政复议事项，以县政府名义作出行政复议决定；今年以来受（审）理行政复议案件16件（维持3件、撤销1件、不予受理4件、当事人自愿撤回申请5件、办理中3件），办理行政诉讼案件46件（其中一审案件16件，二审案件21件，再审案件9件）。及时协调我县行政负责人出庭应诉，出庭应诉率100%。</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（六）突出工作重点，抓实普法宣传教育</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rPr>
        <w:t>出台《盐边县2022年普法依法治理工作要点》《盐边县2022年“一月一主题”活动方案》，细化明确各单位普法职责，构建多部门联动普法、齐抓共管的法治宣传格局。印发《盐边县法治宣传教育第八个五年规划（2021—2025年）》，持续提升公民法治素养和社会治理法治化水平，不断提升普法质效。利用“3.15”国际消费者权益日、“4.15”全民国家安全教育日、民法典宣传月等重要时间节点开展法治宣传，切实提高群众的法律意识和法治素养，教育引导广大群众自觉尊法学法守法用法。组织全县2673名工作人员运用四川省国家工作人员学法考法平台开展学法考试，进一步落实国家工作人员学法用法制度，做到应学尽学。积极争取将法治文化元素融入月潭公园改造项目，打造道角村、金河村2个村级法治文化阵地，城南社区成功创建省级民主法治示范社区。今年以来开展普法宣传活动150次，发放宣传资料15000余份、法治环保袋2600余个、法治围裙1000余条、发放法治春联500余副，解答群众法律咨询980余次，培养法律明白人350人。</w:t>
      </w:r>
    </w:p>
    <w:p>
      <w:pPr>
        <w:pStyle w:val="16"/>
        <w:widowControl w:val="0"/>
        <w:shd w:val="clear" w:color="auto" w:fill="FFFFFF"/>
        <w:spacing w:line="560" w:lineRule="exact"/>
        <w:ind w:firstLine="643" w:firstLineChars="200"/>
        <w:rPr>
          <w:rFonts w:ascii="仿宋_GB2312" w:hAnsi="仿宋_GB2312" w:cs="仿宋_GB2312"/>
          <w:kern w:val="34"/>
          <w:sz w:val="32"/>
          <w:szCs w:val="32"/>
        </w:rPr>
      </w:pPr>
      <w:r>
        <w:rPr>
          <w:rFonts w:hint="eastAsia" w:ascii="仿宋_GB2312" w:hAnsi="仿宋_GB2312" w:cs="仿宋_GB2312"/>
          <w:b/>
          <w:bCs/>
          <w:kern w:val="34"/>
          <w:sz w:val="32"/>
          <w:szCs w:val="32"/>
        </w:rPr>
        <w:t>（七）完善服务体系，服务质效普惠高效</w:t>
      </w:r>
      <w:r>
        <w:rPr>
          <w:rFonts w:hint="eastAsia" w:ascii="仿宋_GB2312" w:hAnsi="仿宋_GB2312" w:cs="仿宋_GB2312"/>
          <w:b/>
          <w:bCs/>
          <w:sz w:val="32"/>
          <w:szCs w:val="32"/>
        </w:rPr>
        <w:t>。</w:t>
      </w:r>
      <w:r>
        <w:rPr>
          <w:rFonts w:hint="eastAsia" w:ascii="仿宋_GB2312" w:hAnsi="仿宋_GB2312" w:cs="仿宋_GB2312"/>
          <w:kern w:val="34"/>
          <w:sz w:val="32"/>
          <w:szCs w:val="32"/>
        </w:rPr>
        <w:t>全面推进12个乡（镇）公共法律服务工作站、88个村（社区）公共法律服务工作室规范化建设，已完成红格镇、渔门镇公共法律服务工作站，新九镇安宁村、渔门镇犀牛村、温泉乡道角村公共法律服务室规范化建设。依托盐边县退役军人服务中心完成盐边县退役军人公共法律服务工作站建设，全力维护退役军人合法权益。充分发挥县、乡（镇）、村三级公共法律服务实体平台作用，全面落实“一村（社区）一法律顾问”制度。进一步加快推进党政机关法律顾问和公职律师工作，目前完成22个部门聘用法律顾问、7名公职律师备案登记工作。以12个司法所为依托，在全县成立17个法律援助工作站，进行法律援助申请初审，基层群众就近就能获得法律援助。今年以来村（社区）法律顾问走村入社58次，咨询1961人次（含电话咨询），张贴农村法制宣传稿67份，为村民免费代书166件、开展普法讲座50场次，共发放宣传资料5690余份，审查合同345份，办理涉村（社区）案件21件（含调解），参与信访调解8件；律师办理民事诉讼案件316件，刑事诉讼案件17件，行政诉讼39件；法律援助中心办理法律援助案件405件（其中：民事案件60件，刑事案件188件，认罪认罚167件），涉及农民工案件42件，妇女儿童案件31件，未成年人案件7件，接待法律咨询764件、1436人次；县公证处开展便捷公证服务,办理各类公证104件、修改法律文书112份，法律咨询520人次。</w:t>
      </w:r>
    </w:p>
    <w:p>
      <w:pPr>
        <w:spacing w:line="560" w:lineRule="exact"/>
        <w:ind w:firstLine="633" w:firstLineChars="197"/>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（八）强化基层基础，维护社会稳定大局。</w:t>
      </w:r>
      <w:r>
        <w:rPr>
          <w:rFonts w:hint="eastAsia" w:ascii="仿宋_GB2312" w:hAnsi="仿宋_GB2312" w:eastAsia="仿宋_GB2312" w:cs="仿宋_GB2312"/>
          <w:sz w:val="32"/>
          <w:szCs w:val="32"/>
        </w:rPr>
        <w:t>建立1个县级、12个乡（镇）矛盾纠纷多元化解中心暨人民调解中心。拟在法院、公安局、信访局成立派驻调解室14个，加强法调、公调、访调“三调”对接。通过以会代训、现场观摩、考察交流等方式，开展司法助理员暨专职人民调解员培训会10余次，821人参训。完成村级建制改革后全县120个乡（镇）、村（社区）、企事业调委会公章的挂失、销毁、新刻工作。审核2021年人民调解合格案件1430件，兑现“个案补助”41.24万元。桐子林司法所正在创建第三批省级“枫桥式”司法所。履职尽责、发挥优势，圆满完成党的二十大期间安保维稳各项任务。今年以来各级人民调解组织共调解矛盾纠纷632件、调解成功631件（其中重大矛盾纠纷48件）、涉及金额800余万元、调解成功率为98%，排查重大矛盾纠纷隐患58起。</w:t>
      </w:r>
    </w:p>
    <w:p>
      <w:pPr>
        <w:spacing w:line="560" w:lineRule="exact"/>
        <w:ind w:firstLine="633" w:firstLineChars="197"/>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（九）监管教育并重，提升特殊人群管控水平。</w:t>
      </w:r>
      <w:r>
        <w:rPr>
          <w:rFonts w:hint="eastAsia" w:ascii="仿宋_GB2312" w:hAnsi="仿宋_GB2312" w:eastAsia="仿宋_GB2312" w:cs="仿宋_GB2312"/>
          <w:sz w:val="32"/>
          <w:szCs w:val="32"/>
        </w:rPr>
        <w:t>严格开展刑罚执行工作，规范做好接收宣告、管理教育、考核奖惩、解除终止等环节，把好“入矫关”。强化安全监管力度，对在册社区矫正对象实施分级、电子定位管理，定期通报社区矫正对象日常监督管理情况，发现问题，及时整改。每月召开安全分析会议，开展好每月督导检查，对重点人员采取“学、访、谈、管”四项措施，确保重点管控人员安全稳定。集中对165名社区矫正对象、739名安置帮教对象进行全覆盖摸排走访，对他们的行踪动态和思想状况进行全面掌握，疏导心理情绪，解决实际问题，做到不脱管、不漏管，避免重新违法犯罪；对7名刑满释放涉黑涉恶人员作为重点人员建立台账，由公安机关纳入重点人口管理。今年以来共接收社区矫正对象139名，解除矫正108名，提请撤销缓刑2人，训戒24人次，警告处分9人次，开展社会调查评估80件，走访社区矫正对象1600人次，远程探视预约243次，会见148场次384人次，发出《社区矫正督查问题清单》70份，为2名重点帮教对象协调解决住房及推荐就业，安置率100%、帮教率100%。</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（十）两手抓两不误，工作活动齐头并进</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rPr>
        <w:t>按照省、市、县委政法委“忠诚铸魂、铁纪担当”专项活动安排部署要求，盐边县司法局党组切实扛起第一责任，精心组织谋划，迅速启动推动，成立盐边县司法局“忠诚铸魂、铁纪担当”专项活动领导小组，制定《盐边县司法局“忠诚铸魂、铁纪担当”专项活动实施方案》、“7+3”工作方案、任务清单，组建7个专项行动工作组和3个工作专班，抽调3名干警充实局活动领导小组办公室，形成工作合力。坚持把上级部署要求与本系统实际相结合，每日一调度、每周一小结，制定任务清单压实工作职责，明确工作任务，以机制化规范化统筹推进，全面部署压实专项活动工作。一是将专项活动与提高队伍素质结合起来。强化思想引领，印发《“忠诚铸魂、铁纪担当”专项活动资料汇编》，强化个人自学和集中学习计划执行，多种方式组织学习党的二十大精神、习近平总书记关于政法工作、四川工作重要指示精神、《习近平谈治国理政》第四卷、《中国共产党政法工作条例》及《我省实施细则》《新时代政法干警“十个严禁”》等铁规禁令，进一步筑牢政治忠诚根基；二是将专项活动与党的二十大安保维稳结合起来。成立党的二十大期间维稳安保工作领导小组，建立督导检查制度，严格落实值班备勤、执行领导带班、零报告和24小时值班制度；三是将专项活动与法治惠民结合起来。充分发挥公共法律服务体系作用，做好“法治体检”、助民（企）纾困解难、便捷公证服务；四是将专项活动与依法治县结合起来。深入推进“八五”普法规划，推进月潭公园法治文化阵地建设，打造安宁、金河、城南民主法治示范村（社区），开展“一月一主题”“民法典进乡村（社区）”“三个一百”等法治主题宣传活动；五是将专项活动与暖警爱警制度落实结合起来。印发《干部荣誉退休制度实施方案》，开展分层级全覆盖“温馨家访”、“贯彻党的二十大精神·聚力奋进新时代”主题工会活动，进一步用实际行动温暖警心，提升队伍凝聚力和向心力，营造团结协作的良好氛围。今年9月至12月，召开党组会1次、安排部署会3次、领导小组会2次，对专项活动作安排。制作活动宣传展板10幅、播放宣传标语4条，报送工作简报24期，“每周动态”5期，特色亮点、经验类信息7期，制作“唱响巴蜀”法治宣传微视频1个。开展干部职工“八小时以外”违法违纪行为、纪律作风督查及队伍管理风险自查110人次，干部个人有关事项报告42人。</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（十一）加强内部执法监督，构建高效监督体系。</w:t>
      </w:r>
      <w:r>
        <w:rPr>
          <w:rFonts w:hint="eastAsia" w:ascii="仿宋_GB2312" w:hAnsi="仿宋_GB2312" w:eastAsia="仿宋_GB2312" w:cs="仿宋_GB2312"/>
          <w:sz w:val="32"/>
          <w:szCs w:val="32"/>
        </w:rPr>
        <w:t>构建刑事执行制约监督体系，成立盐边县社区矫正管理局，建立《盐边县司法局社区矫正工作月督查制度》《盐边县司法局社区矫正档案管理制度》《盐边县司法局社区矫正对象外出管理制度》，成立社区矫正重点案件评查组，定期对全县社区矫正档案卷宗进行随机集中交叉评查，定期接受县检察院对社区矫正工作的督导检查，对检查出的问题做好汇总梳理，剖析原因，及时整改。 构建法律服务管理监督体系。加强《人民调解法》《法律援助法》《公证法》执行情况监督检查，强化对律师、公证员、法律工作者的监督管理，开展行业突出问题专项治理“回头看”；认真做好“万案大评查”，对照《省委政法委案件评查标准》，扎实开展公证、法律援助案卷评查工作，对查找出的问题深入分析原因，建立问题台账，明确整改措施，确保整改到位，不断提高法律服务机构办案质量。构建行政执法制约监督体系。全面落实行政执法“三项制度”，加强行政执法人员的监督管理，严格执行行政执法人员持证上岗和资格管理制度，组织全县行政执法部门及各乡（镇）470人进行线上培训，并完成对拟申领或换证人员的通用法律知识考试，合格率99％；组织参加行政复议业务培训，对标优秀案例开展自查，全面提升办案水平和案卷质量。常态推进顽瘴痼疾整治。严格执行防止干预司法“三个规定”，落实干警配偶、子女及其配偶“禁业清单”，季度全覆盖开展自查填报和督导检查，规范司法行政干警从业行为，开展警示教育和突出问题专项整治，驰而不息纠正“四风”。</w:t>
      </w:r>
    </w:p>
    <w:p>
      <w:pPr>
        <w:widowControl/>
        <w:adjustRightInd w:val="0"/>
        <w:snapToGrid w:val="0"/>
        <w:spacing w:line="560" w:lineRule="exact"/>
        <w:contextualSpacing/>
        <w:jc w:val="left"/>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shd w:val="clear" w:color="auto" w:fill="FFFFFF"/>
        </w:rPr>
        <w:t xml:space="preserve">   </w:t>
      </w:r>
      <w:r>
        <w:rPr>
          <w:rFonts w:hint="eastAsia" w:ascii="仿宋_GB2312" w:hAnsi="仿宋_GB2312" w:eastAsia="仿宋_GB2312" w:cs="仿宋_GB2312"/>
          <w:b/>
          <w:bCs/>
          <w:sz w:val="32"/>
          <w:szCs w:val="32"/>
        </w:rPr>
        <w:t>（二）结果应用情况。</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pPr>
        <w:adjustRightInd w:val="0"/>
        <w:snapToGrid w:val="0"/>
        <w:spacing w:line="560" w:lineRule="exact"/>
        <w:ind w:firstLine="640"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lang w:bidi="ar"/>
        </w:rPr>
        <w:t>绩效自评工作完成后将结果在“盐边县公众信息网”财政信息版块下的“财政绩效评价信息专栏”进行公示。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 </w:t>
      </w:r>
      <w:bookmarkStart w:id="99" w:name="_Toc6213_WPSOffice_Level2"/>
      <w:bookmarkStart w:id="100" w:name="_Toc11150_WPSOffice_Level2"/>
      <w:r>
        <w:rPr>
          <w:rFonts w:hint="eastAsia" w:ascii="仿宋_GB2312" w:hAnsi="仿宋_GB2312" w:eastAsia="仿宋_GB2312" w:cs="仿宋_GB2312"/>
          <w:sz w:val="32"/>
          <w:szCs w:val="32"/>
        </w:rPr>
        <w:t>五、评价结论及建议</w:t>
      </w:r>
      <w:bookmarkEnd w:id="99"/>
      <w:bookmarkEnd w:id="100"/>
    </w:p>
    <w:p>
      <w:pPr>
        <w:numPr>
          <w:ilvl w:val="0"/>
          <w:numId w:val="10"/>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评价结论。</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val="zh-CN" w:bidi="ar"/>
        </w:rPr>
        <w:t>通过自评，2022年度县司法局</w:t>
      </w:r>
      <w:r>
        <w:rPr>
          <w:rFonts w:hint="eastAsia" w:ascii="仿宋_GB2312" w:hAnsi="仿宋_GB2312" w:eastAsia="仿宋_GB2312" w:cs="仿宋_GB2312"/>
          <w:color w:val="000000"/>
          <w:sz w:val="32"/>
          <w:szCs w:val="32"/>
          <w:shd w:val="clear" w:color="auto" w:fill="FFFFFF"/>
          <w:lang w:bidi="ar"/>
        </w:rPr>
        <w:t>各项经费达到对应的绩效目标，圆满完成了县委、县政府下达的各项工作任务。达到预期绩效目标，总体较满意。</w:t>
      </w:r>
    </w:p>
    <w:p>
      <w:pPr>
        <w:numPr>
          <w:ilvl w:val="0"/>
          <w:numId w:val="10"/>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1. 绩效目标设立不够明确、细化和量化。项目单位虽然设立了项目资金绩效目标，但目标不够明确、细化和量化。</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 资金使用效益有待进一步提高。</w:t>
      </w:r>
    </w:p>
    <w:p>
      <w:p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改进建议。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val="zh-CN" w:bidi="ar"/>
        </w:rPr>
        <w:t>遵循预算管理办法，从严控制年中追加预算规模。对于年度无法预计的临时追加的相关工作所需经费，严格按照预算调整追加程序，逐级申报报批，有效降低预算控制率。</w:t>
      </w:r>
      <w:r>
        <w:rPr>
          <w:rFonts w:hint="eastAsia" w:ascii="仿宋_GB2312" w:hAnsi="仿宋_GB2312" w:eastAsia="仿宋_GB2312" w:cs="仿宋_GB2312"/>
          <w:color w:val="000000"/>
          <w:sz w:val="32"/>
          <w:szCs w:val="32"/>
          <w:lang w:bidi="ar"/>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2.</w:t>
      </w:r>
      <w:r>
        <w:rPr>
          <w:rFonts w:hint="eastAsia" w:ascii="仿宋_GB2312" w:hAnsi="仿宋_GB2312" w:eastAsia="仿宋_GB2312" w:cs="仿宋_GB2312"/>
          <w:color w:val="000000"/>
          <w:sz w:val="32"/>
          <w:szCs w:val="32"/>
          <w:lang w:val="zh-CN" w:bidi="ar"/>
        </w:rPr>
        <w:t>保障预算执行进度。加快推进项目实施进度，加强项目开展进度的跟踪，开展项目绩效的跟踪和评价，确保项目绩效的完成，发挥资金的使用效益，提高预算完成率。</w:t>
      </w:r>
    </w:p>
    <w:p>
      <w:pPr>
        <w:spacing w:line="560" w:lineRule="exact"/>
        <w:ind w:firstLine="640" w:firstLineChars="200"/>
        <w:rPr>
          <w:rFonts w:ascii="仿宋_GB2312" w:hAnsi="仿宋_GB2312" w:eastAsia="仿宋_GB2312" w:cs="仿宋_GB2312"/>
          <w:sz w:val="32"/>
          <w:szCs w:val="32"/>
        </w:rPr>
      </w:pPr>
    </w:p>
    <w:p>
      <w:pPr>
        <w:pStyle w:val="39"/>
        <w:rPr>
          <w:rFonts w:ascii="仿宋_GB2312" w:hAnsi="仿宋_GB2312" w:eastAsia="仿宋_GB2312" w:cs="仿宋_GB2312"/>
        </w:rPr>
      </w:pPr>
    </w:p>
    <w:p>
      <w:pPr>
        <w:pStyle w:val="39"/>
        <w:rPr>
          <w:rFonts w:ascii="仿宋_GB2312" w:hAnsi="仿宋_GB2312" w:eastAsia="仿宋_GB2312" w:cs="仿宋_GB2312"/>
        </w:rPr>
      </w:pPr>
    </w:p>
    <w:p>
      <w:pPr>
        <w:pStyle w:val="17"/>
        <w:spacing w:line="560" w:lineRule="exact"/>
        <w:ind w:left="0" w:leftChars="0" w:firstLine="640"/>
        <w:rPr>
          <w:rFonts w:hAnsi="仿宋_GB2312" w:eastAsia="仿宋_GB2312" w:cs="仿宋_GB2312"/>
          <w:color w:val="000000" w:themeColor="text1"/>
          <w:sz w:val="32"/>
          <w:lang w:val="zh-CN"/>
          <w14:textFill>
            <w14:solidFill>
              <w14:schemeClr w14:val="tx1"/>
            </w14:solidFill>
          </w14:textFill>
        </w:rPr>
      </w:pPr>
      <w:bookmarkStart w:id="101" w:name="_Toc5580_WPSOffice_Level2"/>
      <w:bookmarkStart w:id="102" w:name="_Toc25690_WPSOffice_Level2"/>
      <w:r>
        <w:rPr>
          <w:rFonts w:hint="eastAsia" w:hAnsi="仿宋_GB2312" w:eastAsia="仿宋_GB2312" w:cs="仿宋_GB2312"/>
          <w:color w:val="000000" w:themeColor="text1"/>
          <w:sz w:val="32"/>
          <w:lang w:val="zh-CN"/>
          <w14:textFill>
            <w14:solidFill>
              <w14:schemeClr w14:val="tx1"/>
            </w14:solidFill>
          </w14:textFill>
        </w:rPr>
        <w:t>附表：</w:t>
      </w:r>
      <w:r>
        <w:rPr>
          <w:rFonts w:hint="eastAsia" w:hAnsi="仿宋_GB2312" w:eastAsia="仿宋_GB2312" w:cs="仿宋_GB2312"/>
          <w:color w:val="000000" w:themeColor="text1"/>
          <w:sz w:val="32"/>
          <w14:textFill>
            <w14:solidFill>
              <w14:schemeClr w14:val="tx1"/>
            </w14:solidFill>
          </w14:textFill>
        </w:rPr>
        <w:t>2022年度部门预算项目支出绩效自评表（详见附件）</w:t>
      </w:r>
      <w:bookmarkEnd w:id="101"/>
      <w:bookmarkEnd w:id="102"/>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17"/>
        <w:spacing w:line="560" w:lineRule="exact"/>
        <w:ind w:left="0" w:leftChars="0" w:firstLine="0" w:firstLineChars="0"/>
        <w:rPr>
          <w:color w:val="FF0000"/>
          <w:sz w:val="32"/>
          <w:lang w:val="zh-CN"/>
        </w:rPr>
      </w:pP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spacing w:line="600" w:lineRule="exact"/>
        <w:rPr>
          <w:rFonts w:eastAsia="黑体"/>
          <w:color w:val="000000"/>
          <w:kern w:val="0"/>
          <w:sz w:val="44"/>
          <w:szCs w:val="44"/>
        </w:rPr>
      </w:pPr>
    </w:p>
    <w:p>
      <w:pPr>
        <w:spacing w:line="600" w:lineRule="exact"/>
        <w:jc w:val="center"/>
        <w:rPr>
          <w:rFonts w:eastAsia="方正小标宋简体"/>
          <w:color w:val="000000"/>
          <w:kern w:val="0"/>
          <w:sz w:val="44"/>
          <w:szCs w:val="44"/>
        </w:rPr>
      </w:pPr>
    </w:p>
    <w:p>
      <w:pPr>
        <w:spacing w:line="640" w:lineRule="exact"/>
        <w:jc w:val="center"/>
        <w:rPr>
          <w:rFonts w:eastAsia="方正小标宋_GBK"/>
          <w:sz w:val="36"/>
          <w:szCs w:val="36"/>
        </w:rPr>
      </w:pPr>
      <w:bookmarkStart w:id="103" w:name="_Toc12255_WPSOffice_Level2"/>
      <w:bookmarkStart w:id="104" w:name="_Toc4621_WPSOffice_Level2"/>
      <w:r>
        <w:rPr>
          <w:rFonts w:hint="eastAsia" w:eastAsia="方正小标宋_GBK"/>
          <w:sz w:val="36"/>
          <w:szCs w:val="36"/>
        </w:rPr>
        <w:t>盐边县司法局</w:t>
      </w:r>
      <w:bookmarkEnd w:id="103"/>
      <w:bookmarkEnd w:id="104"/>
    </w:p>
    <w:p>
      <w:pPr>
        <w:spacing w:line="640" w:lineRule="exact"/>
        <w:jc w:val="center"/>
        <w:rPr>
          <w:rFonts w:eastAsia="方正小标宋_GBK"/>
          <w:sz w:val="36"/>
          <w:szCs w:val="36"/>
        </w:rPr>
      </w:pPr>
      <w:bookmarkStart w:id="105" w:name="_Toc21237_WPSOffice_Level2"/>
      <w:bookmarkStart w:id="106" w:name="_Toc24333_WPSOffice_Level2"/>
      <w:r>
        <w:rPr>
          <w:rFonts w:hint="eastAsia" w:eastAsia="方正小标宋_GBK"/>
          <w:sz w:val="36"/>
          <w:szCs w:val="36"/>
        </w:rPr>
        <w:t>中央转移支付（办案业务经费及业务装备经费）资金</w:t>
      </w:r>
      <w:bookmarkEnd w:id="105"/>
      <w:bookmarkEnd w:id="106"/>
    </w:p>
    <w:p>
      <w:pPr>
        <w:spacing w:line="640" w:lineRule="exact"/>
        <w:jc w:val="center"/>
        <w:rPr>
          <w:rFonts w:eastAsia="方正小标宋_GBK"/>
          <w:sz w:val="36"/>
          <w:szCs w:val="36"/>
        </w:rPr>
      </w:pPr>
      <w:bookmarkStart w:id="107" w:name="_Toc25270_WPSOffice_Level2"/>
      <w:bookmarkStart w:id="108" w:name="_Toc4594_WPSOffice_Level2"/>
      <w:r>
        <w:rPr>
          <w:rFonts w:hint="eastAsia" w:eastAsia="方正小标宋_GBK"/>
          <w:sz w:val="36"/>
          <w:szCs w:val="36"/>
        </w:rPr>
        <w:t>绩效自评报告</w:t>
      </w:r>
      <w:bookmarkEnd w:id="107"/>
      <w:bookmarkEnd w:id="108"/>
    </w:p>
    <w:p>
      <w:pPr>
        <w:pStyle w:val="10"/>
        <w:spacing w:line="600" w:lineRule="exact"/>
        <w:ind w:firstLine="640" w:firstLineChars="200"/>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bookmarkStart w:id="109" w:name="_Toc5894_WPSOffice_Level2"/>
      <w:bookmarkStart w:id="110" w:name="_Toc8597_WPSOffice_Level2"/>
      <w:r>
        <w:rPr>
          <w:rFonts w:hint="eastAsia" w:ascii="仿宋_GB2312" w:hAnsi="仿宋_GB2312" w:eastAsia="仿宋_GB2312" w:cs="仿宋_GB2312"/>
          <w:sz w:val="32"/>
          <w:szCs w:val="32"/>
        </w:rPr>
        <w:t>一、项目概况</w:t>
      </w:r>
      <w:bookmarkEnd w:id="109"/>
      <w:bookmarkEnd w:id="110"/>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（一）项目基本情况。</w:t>
      </w:r>
    </w:p>
    <w:p>
      <w:pPr>
        <w:spacing w:line="560" w:lineRule="exact"/>
        <w:ind w:firstLine="640" w:firstLineChars="200"/>
        <w:rPr>
          <w:rFonts w:eastAsia="仿宋_GB2312"/>
          <w:sz w:val="32"/>
          <w:szCs w:val="32"/>
        </w:rPr>
      </w:pPr>
      <w:r>
        <w:rPr>
          <w:rFonts w:hint="eastAsia" w:ascii="仿宋_GB2312" w:hAnsi="仿宋_GB2312" w:eastAsia="仿宋_GB2312" w:cs="仿宋_GB2312"/>
          <w:kern w:val="0"/>
          <w:sz w:val="32"/>
          <w:szCs w:val="32"/>
        </w:rPr>
        <w:t xml:space="preserve"> </w:t>
      </w:r>
      <w:r>
        <w:rPr>
          <w:rFonts w:eastAsia="仿宋_GB2312"/>
          <w:sz w:val="32"/>
          <w:szCs w:val="32"/>
        </w:rPr>
        <w:t>1.说明项目主管部门（单位）在该项目管理中的职能。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该项目实施单位为：盐边县司法局，项目名称为：</w:t>
      </w:r>
      <w:r>
        <w:rPr>
          <w:rFonts w:hint="eastAsia" w:ascii="仿宋_GB2312" w:hAnsi="仿宋_GB2312" w:eastAsia="仿宋_GB2312" w:cs="仿宋_GB2312"/>
          <w:sz w:val="32"/>
          <w:szCs w:val="32"/>
        </w:rPr>
        <w:t>中央转移支付（办案业务经费及业务装备经费）资金。</w:t>
      </w:r>
      <w:r>
        <w:rPr>
          <w:rFonts w:hint="eastAsia" w:ascii="仿宋_GB2312" w:hAnsi="宋体" w:eastAsia="仿宋_GB2312" w:cs="宋体"/>
          <w:sz w:val="32"/>
          <w:szCs w:val="32"/>
        </w:rPr>
        <w:t>为司法机关的日常运转、安保维稳、应急处突等工作提供了物力保障，满足了司法装备技术与时俱进的需求。</w:t>
      </w:r>
    </w:p>
    <w:p>
      <w:pPr>
        <w:spacing w:line="560" w:lineRule="exact"/>
        <w:ind w:firstLine="640" w:firstLineChars="200"/>
        <w:rPr>
          <w:rFonts w:eastAsia="仿宋_GB2312"/>
          <w:sz w:val="32"/>
          <w:szCs w:val="32"/>
        </w:rPr>
      </w:pPr>
      <w:r>
        <w:rPr>
          <w:rFonts w:hint="eastAsia" w:ascii="仿宋_GB2312" w:hAnsi="仿宋_GB2312" w:eastAsia="仿宋_GB2312" w:cs="仿宋_GB2312"/>
          <w:kern w:val="0"/>
          <w:sz w:val="32"/>
          <w:szCs w:val="32"/>
        </w:rPr>
        <w:t xml:space="preserve"> </w:t>
      </w:r>
      <w:r>
        <w:rPr>
          <w:rFonts w:eastAsia="仿宋_GB2312"/>
          <w:sz w:val="32"/>
          <w:szCs w:val="32"/>
        </w:rPr>
        <w:t>2.项目立项、资金申报的依据。</w:t>
      </w:r>
    </w:p>
    <w:p>
      <w:pPr>
        <w:spacing w:line="560" w:lineRule="exact"/>
        <w:ind w:firstLine="640" w:firstLineChars="200"/>
        <w:rPr>
          <w:rFonts w:eastAsia="仿宋_GB2312"/>
          <w:sz w:val="32"/>
          <w:szCs w:val="32"/>
        </w:rPr>
      </w:pPr>
      <w:r>
        <w:rPr>
          <w:rFonts w:hint="eastAsia" w:ascii="仿宋_GB2312" w:hAnsi="仿宋" w:eastAsia="仿宋_GB2312"/>
          <w:sz w:val="32"/>
          <w:szCs w:val="32"/>
        </w:rPr>
        <w:t>依据川财行【2020】207号、川财行【2021】131号、盐财资行【2022】413号下达</w:t>
      </w:r>
      <w:r>
        <w:rPr>
          <w:rFonts w:hint="eastAsia" w:ascii="仿宋_GB2312" w:hAnsi="仿宋_GB2312" w:eastAsia="仿宋_GB2312" w:cs="仿宋_GB2312"/>
          <w:sz w:val="32"/>
          <w:szCs w:val="32"/>
        </w:rPr>
        <w:t>中央转移支付（办案业务经费及业务装备经费）资金</w:t>
      </w:r>
      <w:r>
        <w:rPr>
          <w:rFonts w:hint="eastAsia" w:ascii="仿宋_GB2312" w:hAnsi="仿宋" w:eastAsia="仿宋_GB2312"/>
          <w:sz w:val="32"/>
          <w:szCs w:val="32"/>
        </w:rPr>
        <w:t>共计56.96万元。</w:t>
      </w:r>
    </w:p>
    <w:p>
      <w:pPr>
        <w:spacing w:line="560" w:lineRule="exact"/>
        <w:ind w:firstLine="640" w:firstLineChars="200"/>
        <w:rPr>
          <w:rFonts w:eastAsia="仿宋_GB2312"/>
          <w:sz w:val="32"/>
          <w:szCs w:val="32"/>
        </w:rPr>
      </w:pPr>
      <w:r>
        <w:rPr>
          <w:rFonts w:eastAsia="仿宋_GB2312"/>
          <w:sz w:val="32"/>
          <w:szCs w:val="32"/>
        </w:rPr>
        <w:t>3.资金管理办法制定情况，资金支持具体项目的条件、范围与支持方式概况。</w:t>
      </w:r>
    </w:p>
    <w:p>
      <w:pPr>
        <w:autoSpaceDE w:val="0"/>
        <w:autoSpaceDN w:val="0"/>
        <w:adjustRightInd w:val="0"/>
        <w:spacing w:line="560" w:lineRule="exact"/>
        <w:jc w:val="left"/>
        <w:rPr>
          <w:rFonts w:eastAsia="仿宋_GB2312"/>
          <w:color w:val="FF0000"/>
          <w:kern w:val="0"/>
          <w:sz w:val="32"/>
          <w:szCs w:val="32"/>
        </w:rPr>
      </w:pPr>
      <w:r>
        <w:rPr>
          <w:rFonts w:hint="eastAsia" w:ascii="仿宋_GB2312" w:hAnsi="仿宋" w:eastAsia="仿宋_GB2312"/>
          <w:sz w:val="32"/>
          <w:szCs w:val="32"/>
        </w:rPr>
        <w:t xml:space="preserve">    该笔项目资金的管理，依据盐边财政关于项目资金的使用要求进行资金管理，专款专用，及时用于</w:t>
      </w:r>
      <w:r>
        <w:rPr>
          <w:rFonts w:hint="eastAsia" w:ascii="仿宋_GB2312" w:hAnsi="仿宋_GB2312" w:eastAsia="仿宋_GB2312" w:cs="仿宋_GB2312"/>
          <w:sz w:val="32"/>
          <w:szCs w:val="32"/>
        </w:rPr>
        <w:t>宣传人社相关服务知识，帮助广大群众更加深入了解政府推出的各项便民优惠政策</w:t>
      </w:r>
      <w:r>
        <w:rPr>
          <w:rFonts w:hint="eastAsia" w:ascii="仿宋_GB2312" w:hAnsi="仿宋"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4.资金分配的原则及考虑因素。</w:t>
      </w:r>
    </w:p>
    <w:p>
      <w:pPr>
        <w:spacing w:line="580" w:lineRule="exact"/>
        <w:ind w:firstLine="640" w:firstLineChars="200"/>
        <w:rPr>
          <w:rFonts w:ascii="仿宋_GB2312" w:hAnsi="仿宋" w:eastAsia="仿宋_GB2312"/>
          <w:sz w:val="32"/>
          <w:szCs w:val="32"/>
        </w:rPr>
      </w:pPr>
      <w:r>
        <w:rPr>
          <w:rFonts w:hint="eastAsia" w:eastAsia="仿宋_GB2312"/>
          <w:sz w:val="32"/>
          <w:szCs w:val="32"/>
        </w:rPr>
        <w:t>根据</w:t>
      </w:r>
      <w:r>
        <w:rPr>
          <w:rFonts w:hint="eastAsia" w:ascii="仿宋_GB2312" w:hAnsi="仿宋" w:eastAsia="仿宋_GB2312"/>
          <w:sz w:val="32"/>
          <w:szCs w:val="32"/>
        </w:rPr>
        <w:t>文件要求及该工作实际情况，</w:t>
      </w:r>
      <w:r>
        <w:rPr>
          <w:rFonts w:hint="eastAsia" w:ascii="仿宋_GB2312" w:hAnsi="仿宋_GB2312" w:eastAsia="仿宋_GB2312" w:cs="仿宋_GB2312"/>
          <w:sz w:val="32"/>
          <w:szCs w:val="32"/>
        </w:rPr>
        <w:t>专项用于保障了县内困难人群、农民工、低保人员等援助对象的法律援助诉求，促进了依法治县和法治政府建设，提高了法律知晓度和法律维权意识，解决了困难人群的基本法律咨询和援助问题。</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p>
    <w:p>
      <w:pPr>
        <w:spacing w:line="580" w:lineRule="exact"/>
        <w:ind w:firstLine="640" w:firstLineChars="200"/>
        <w:rPr>
          <w:rFonts w:eastAsia="仿宋_GB2312"/>
          <w:sz w:val="32"/>
          <w:szCs w:val="32"/>
        </w:rPr>
      </w:pPr>
      <w:r>
        <w:rPr>
          <w:rFonts w:hint="eastAsia" w:ascii="仿宋_GB2312" w:hAnsi="仿宋" w:eastAsia="仿宋_GB2312"/>
          <w:sz w:val="32"/>
          <w:szCs w:val="32"/>
        </w:rPr>
        <w:t>项目主要内容为：</w:t>
      </w:r>
      <w:r>
        <w:rPr>
          <w:rFonts w:hint="eastAsia" w:ascii="仿宋_GB2312" w:hAnsi="宋体" w:eastAsia="仿宋_GB2312" w:cs="宋体"/>
          <w:sz w:val="32"/>
          <w:szCs w:val="32"/>
        </w:rPr>
        <w:t>为司法机关的日常运转、安保维稳、应急处突等工作提供了物力保障，满足了司法装备技术与时俱进的需求。</w:t>
      </w:r>
    </w:p>
    <w:p>
      <w:pPr>
        <w:spacing w:line="56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pPr>
        <w:spacing w:line="580" w:lineRule="exact"/>
        <w:ind w:firstLine="640" w:firstLineChars="200"/>
        <w:rPr>
          <w:rFonts w:eastAsia="仿宋_GB2312"/>
          <w:sz w:val="32"/>
          <w:szCs w:val="32"/>
        </w:rPr>
      </w:pPr>
      <w:r>
        <w:rPr>
          <w:rFonts w:eastAsia="仿宋_GB2312"/>
          <w:kern w:val="0"/>
          <w:sz w:val="32"/>
          <w:szCs w:val="32"/>
        </w:rPr>
        <w:t>项目应实现的具体绩效目标</w:t>
      </w:r>
      <w:r>
        <w:rPr>
          <w:rFonts w:hint="eastAsia" w:eastAsia="仿宋_GB2312"/>
          <w:kern w:val="0"/>
          <w:sz w:val="32"/>
          <w:szCs w:val="32"/>
        </w:rPr>
        <w:t>：</w:t>
      </w:r>
      <w:r>
        <w:rPr>
          <w:rFonts w:hint="eastAsia" w:ascii="仿宋_GB2312" w:hAnsi="宋体" w:eastAsia="仿宋_GB2312" w:cs="宋体"/>
          <w:sz w:val="32"/>
          <w:szCs w:val="32"/>
        </w:rPr>
        <w:t>为司法机关的日常运转、安保维稳、应急处突等工作提供了物力保障，满足了司法装备技术与时俱进的需求</w:t>
      </w:r>
      <w:r>
        <w:rPr>
          <w:rFonts w:hint="eastAsia" w:ascii="仿宋_GB2312" w:hAnsi="仿宋_GB2312" w:eastAsia="仿宋_GB2312" w:cs="仿宋_GB2312"/>
          <w:sz w:val="32"/>
          <w:szCs w:val="32"/>
        </w:rPr>
        <w:t>。</w:t>
      </w:r>
      <w:r>
        <w:rPr>
          <w:rFonts w:hint="eastAsia" w:eastAsia="仿宋_GB2312"/>
          <w:kern w:val="0"/>
          <w:sz w:val="32"/>
          <w:szCs w:val="32"/>
        </w:rPr>
        <w:t>年终决算时，纳入项目支出的资金共计</w:t>
      </w:r>
      <w:r>
        <w:rPr>
          <w:rFonts w:hint="eastAsia" w:ascii="仿宋_GB2312" w:hAnsi="仿宋" w:eastAsia="仿宋_GB2312"/>
          <w:sz w:val="32"/>
          <w:szCs w:val="32"/>
        </w:rPr>
        <w:t>56.96万</w:t>
      </w:r>
      <w:r>
        <w:rPr>
          <w:rFonts w:hint="eastAsia" w:eastAsia="仿宋_GB2312"/>
          <w:kern w:val="0"/>
          <w:sz w:val="32"/>
          <w:szCs w:val="32"/>
        </w:rPr>
        <w:t>元。</w:t>
      </w:r>
    </w:p>
    <w:p>
      <w:pPr>
        <w:spacing w:line="560" w:lineRule="exact"/>
        <w:ind w:firstLine="640" w:firstLineChars="200"/>
        <w:rPr>
          <w:rFonts w:eastAsia="仿宋_GB2312"/>
          <w:sz w:val="32"/>
          <w:szCs w:val="32"/>
        </w:rPr>
      </w:pPr>
      <w:r>
        <w:rPr>
          <w:rFonts w:eastAsia="仿宋_GB2312"/>
          <w:sz w:val="32"/>
          <w:szCs w:val="32"/>
        </w:rPr>
        <w:t>3.分析评价申报内容是否与实际相符，申报目标是否合理可行。</w:t>
      </w:r>
    </w:p>
    <w:p>
      <w:pPr>
        <w:spacing w:line="560" w:lineRule="exact"/>
        <w:ind w:firstLine="640" w:firstLineChars="200"/>
        <w:rPr>
          <w:rFonts w:eastAsia="仿宋_GB2312"/>
          <w:sz w:val="32"/>
          <w:szCs w:val="32"/>
        </w:rPr>
      </w:pPr>
      <w:r>
        <w:rPr>
          <w:rFonts w:eastAsia="仿宋_GB2312"/>
          <w:kern w:val="0"/>
          <w:sz w:val="32"/>
          <w:szCs w:val="32"/>
        </w:rPr>
        <w:t>分析评价申报内容与实际相符，申报目标合理可行。</w:t>
      </w:r>
    </w:p>
    <w:p>
      <w:pPr>
        <w:spacing w:line="560" w:lineRule="exact"/>
        <w:ind w:firstLine="640" w:firstLineChars="200"/>
        <w:rPr>
          <w:rFonts w:eastAsia="黑体"/>
          <w:sz w:val="32"/>
          <w:szCs w:val="32"/>
        </w:rPr>
      </w:pPr>
      <w:bookmarkStart w:id="111" w:name="_Toc11312_WPSOffice_Level2"/>
      <w:bookmarkStart w:id="112" w:name="_Toc20225_WPSOffice_Level2"/>
      <w:r>
        <w:rPr>
          <w:rFonts w:eastAsia="黑体"/>
          <w:sz w:val="32"/>
          <w:szCs w:val="32"/>
        </w:rPr>
        <w:t>二、项目资金申报及使用情况</w:t>
      </w:r>
      <w:bookmarkEnd w:id="111"/>
      <w:bookmarkEnd w:id="112"/>
    </w:p>
    <w:p>
      <w:pPr>
        <w:spacing w:line="560" w:lineRule="exact"/>
        <w:ind w:firstLine="640" w:firstLineChars="200"/>
        <w:rPr>
          <w:rFonts w:eastAsia="楷体_GB2312"/>
          <w:sz w:val="32"/>
          <w:szCs w:val="32"/>
        </w:rPr>
      </w:pPr>
      <w:r>
        <w:rPr>
          <w:rFonts w:eastAsia="楷体_GB2312"/>
          <w:sz w:val="32"/>
          <w:szCs w:val="32"/>
        </w:rPr>
        <w:t>（一）项目资金申报及批复情况。</w:t>
      </w:r>
    </w:p>
    <w:p>
      <w:pPr>
        <w:spacing w:line="560" w:lineRule="exact"/>
        <w:ind w:firstLine="640" w:firstLineChars="200"/>
        <w:rPr>
          <w:rFonts w:eastAsia="仿宋_GB2312"/>
          <w:sz w:val="32"/>
          <w:szCs w:val="32"/>
        </w:rPr>
      </w:pPr>
      <w:r>
        <w:rPr>
          <w:rFonts w:hint="eastAsia" w:ascii="仿宋_GB2312" w:hAnsi="仿宋" w:eastAsia="仿宋_GB2312"/>
          <w:sz w:val="32"/>
          <w:szCs w:val="32"/>
        </w:rPr>
        <w:t>根据川财行【2020】207号、川财行【2021】131号、盐财资行【2022】413号文件要求，</w:t>
      </w:r>
      <w:r>
        <w:rPr>
          <w:rFonts w:hint="eastAsia" w:eastAsia="仿宋_GB2312"/>
          <w:sz w:val="32"/>
          <w:szCs w:val="32"/>
        </w:rPr>
        <w:t>2022年1月、2022年9月及2022年10月县财政局拨付资金。</w:t>
      </w:r>
    </w:p>
    <w:p>
      <w:pPr>
        <w:spacing w:line="560" w:lineRule="exact"/>
        <w:ind w:firstLine="640" w:firstLineChars="200"/>
        <w:rPr>
          <w:rFonts w:eastAsia="楷体_GB2312"/>
          <w:sz w:val="32"/>
          <w:szCs w:val="32"/>
        </w:rPr>
      </w:pPr>
      <w:r>
        <w:rPr>
          <w:rFonts w:eastAsia="楷体_GB2312"/>
          <w:sz w:val="32"/>
          <w:szCs w:val="32"/>
        </w:rPr>
        <w:t>（二）资金计划、到位及使用情况。</w:t>
      </w:r>
    </w:p>
    <w:p>
      <w:pPr>
        <w:spacing w:line="560" w:lineRule="exact"/>
        <w:ind w:firstLine="643" w:firstLineChars="200"/>
        <w:rPr>
          <w:rFonts w:eastAsia="仿宋_GB2312"/>
          <w:sz w:val="32"/>
          <w:szCs w:val="32"/>
        </w:rPr>
      </w:pPr>
      <w:r>
        <w:rPr>
          <w:rFonts w:eastAsia="仿宋_GB2312"/>
          <w:b/>
          <w:sz w:val="32"/>
          <w:szCs w:val="32"/>
        </w:rPr>
        <w:t>1.资金计划。</w:t>
      </w:r>
      <w:r>
        <w:rPr>
          <w:rFonts w:hint="eastAsia" w:eastAsia="仿宋_GB2312"/>
          <w:sz w:val="32"/>
          <w:szCs w:val="32"/>
        </w:rPr>
        <w:t>根据县司法局拨付资金的请求，县级财政拟同意拨付该笔专项资金。</w:t>
      </w:r>
    </w:p>
    <w:p>
      <w:pPr>
        <w:autoSpaceDE w:val="0"/>
        <w:autoSpaceDN w:val="0"/>
        <w:adjustRightInd w:val="0"/>
        <w:spacing w:line="560" w:lineRule="exact"/>
        <w:ind w:firstLine="643" w:firstLineChars="200"/>
        <w:jc w:val="left"/>
        <w:rPr>
          <w:rFonts w:ascii="仿宋_GB2312" w:hAnsi="仿宋_GB2312" w:eastAsia="仿宋_GB2312" w:cs="仿宋_GB2312"/>
          <w:bCs/>
          <w:kern w:val="0"/>
          <w:sz w:val="32"/>
          <w:szCs w:val="32"/>
        </w:rPr>
      </w:pPr>
      <w:r>
        <w:rPr>
          <w:rFonts w:eastAsia="仿宋_GB2312"/>
          <w:b/>
          <w:sz w:val="32"/>
          <w:szCs w:val="32"/>
        </w:rPr>
        <w:t>2.资金到位。</w:t>
      </w:r>
      <w:r>
        <w:rPr>
          <w:rFonts w:hint="eastAsia" w:eastAsia="仿宋_GB2312"/>
          <w:sz w:val="32"/>
          <w:szCs w:val="32"/>
        </w:rPr>
        <w:t>2022年1月、2022年9月及2022年10月</w:t>
      </w:r>
      <w:r>
        <w:rPr>
          <w:rFonts w:hint="eastAsia" w:ascii="仿宋_GB2312" w:hAnsi="仿宋_GB2312" w:eastAsia="仿宋_GB2312" w:cs="仿宋_GB2312"/>
          <w:bCs/>
          <w:kern w:val="0"/>
          <w:sz w:val="32"/>
          <w:szCs w:val="32"/>
        </w:rPr>
        <w:t>，该笔项目资金由县财政局批复，并及时走完申报审批流程。</w:t>
      </w:r>
    </w:p>
    <w:p>
      <w:pPr>
        <w:spacing w:line="560" w:lineRule="exact"/>
        <w:ind w:firstLine="643" w:firstLineChars="200"/>
        <w:rPr>
          <w:rFonts w:eastAsia="仿宋_GB2312"/>
          <w:sz w:val="32"/>
          <w:szCs w:val="32"/>
        </w:rPr>
      </w:pPr>
      <w:r>
        <w:rPr>
          <w:rFonts w:eastAsia="仿宋_GB2312"/>
          <w:b/>
          <w:sz w:val="32"/>
          <w:szCs w:val="32"/>
        </w:rPr>
        <w:t>3.资金使用。</w:t>
      </w:r>
      <w:r>
        <w:rPr>
          <w:rFonts w:hint="eastAsia" w:eastAsia="仿宋_GB2312"/>
          <w:sz w:val="32"/>
          <w:szCs w:val="32"/>
        </w:rPr>
        <w:t>我局于通过预算管理一体化系统拨付，依据资金使用申报流程，资金划转安全、及时、规范，资金支付合规合法、与预算相符。</w:t>
      </w:r>
    </w:p>
    <w:p>
      <w:pPr>
        <w:spacing w:line="560" w:lineRule="exact"/>
        <w:ind w:firstLine="640" w:firstLineChars="200"/>
        <w:rPr>
          <w:rFonts w:eastAsia="楷体_GB2312"/>
          <w:sz w:val="32"/>
          <w:szCs w:val="32"/>
        </w:rPr>
      </w:pPr>
      <w:r>
        <w:rPr>
          <w:rFonts w:eastAsia="楷体_GB2312"/>
          <w:sz w:val="32"/>
          <w:szCs w:val="32"/>
        </w:rPr>
        <w:t>（三）项目财务管理情况。</w:t>
      </w:r>
    </w:p>
    <w:p>
      <w:pPr>
        <w:spacing w:line="560" w:lineRule="exact"/>
        <w:ind w:firstLine="640" w:firstLineChars="200"/>
        <w:rPr>
          <w:rFonts w:eastAsia="仿宋_GB2312"/>
          <w:sz w:val="32"/>
          <w:szCs w:val="32"/>
        </w:rPr>
      </w:pPr>
      <w:r>
        <w:rPr>
          <w:rFonts w:hint="eastAsia" w:eastAsia="仿宋_GB2312"/>
          <w:kern w:val="0"/>
          <w:sz w:val="32"/>
          <w:szCs w:val="32"/>
        </w:rPr>
        <w:t>我局</w:t>
      </w:r>
      <w:r>
        <w:rPr>
          <w:rFonts w:eastAsia="仿宋_GB2312"/>
          <w:kern w:val="0"/>
          <w:sz w:val="32"/>
          <w:szCs w:val="32"/>
        </w:rPr>
        <w:t>严格执行</w:t>
      </w:r>
      <w:r>
        <w:rPr>
          <w:rFonts w:hint="eastAsia" w:eastAsia="仿宋_GB2312"/>
          <w:kern w:val="0"/>
          <w:sz w:val="32"/>
          <w:szCs w:val="32"/>
        </w:rPr>
        <w:t>《行政事业单位财务管理制度》等财务管理制度</w:t>
      </w:r>
      <w:r>
        <w:rPr>
          <w:rFonts w:eastAsia="仿宋_GB2312"/>
          <w:kern w:val="0"/>
          <w:sz w:val="32"/>
          <w:szCs w:val="32"/>
        </w:rPr>
        <w:t>，</w:t>
      </w:r>
      <w:r>
        <w:rPr>
          <w:rFonts w:hint="eastAsia" w:eastAsia="仿宋_GB2312"/>
          <w:kern w:val="0"/>
          <w:sz w:val="32"/>
          <w:szCs w:val="32"/>
        </w:rPr>
        <w:t>权限管理规范，内控较为严谨，</w:t>
      </w:r>
      <w:r>
        <w:rPr>
          <w:rFonts w:eastAsia="仿宋_GB2312"/>
          <w:kern w:val="0"/>
          <w:sz w:val="32"/>
          <w:szCs w:val="32"/>
        </w:rPr>
        <w:t>账务处理及时，会计核算规范</w:t>
      </w:r>
      <w:r>
        <w:rPr>
          <w:rFonts w:hint="eastAsia" w:eastAsia="仿宋_GB2312"/>
          <w:kern w:val="0"/>
          <w:sz w:val="32"/>
          <w:szCs w:val="32"/>
        </w:rPr>
        <w:t>，该笔项目资金从申报到支付，均严格遵守资金使用流程，专款专用，依法依规进行全流程、精细化管理，确保资金安全。</w:t>
      </w:r>
    </w:p>
    <w:p>
      <w:pPr>
        <w:spacing w:line="560" w:lineRule="exact"/>
        <w:ind w:firstLine="640" w:firstLineChars="200"/>
        <w:rPr>
          <w:rFonts w:eastAsia="黑体"/>
          <w:sz w:val="32"/>
          <w:szCs w:val="32"/>
        </w:rPr>
      </w:pPr>
      <w:bookmarkStart w:id="113" w:name="_Toc11092_WPSOffice_Level2"/>
      <w:bookmarkStart w:id="114" w:name="_Toc18034_WPSOffice_Level2"/>
      <w:r>
        <w:rPr>
          <w:rFonts w:eastAsia="黑体"/>
          <w:sz w:val="32"/>
          <w:szCs w:val="32"/>
        </w:rPr>
        <w:t>三、项目实施及管理情况</w:t>
      </w:r>
      <w:bookmarkEnd w:id="113"/>
      <w:bookmarkEnd w:id="114"/>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eastAsia="楷体_GB2312"/>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2444750</wp:posOffset>
                </wp:positionH>
                <wp:positionV relativeFrom="paragraph">
                  <wp:posOffset>236855</wp:posOffset>
                </wp:positionV>
                <wp:extent cx="1076325" cy="635"/>
                <wp:effectExtent l="0" t="37465" r="9525" b="38100"/>
                <wp:wrapNone/>
                <wp:docPr id="2" name="直接连接符 2"/>
                <wp:cNvGraphicFramePr/>
                <a:graphic xmlns:a="http://schemas.openxmlformats.org/drawingml/2006/main">
                  <a:graphicData uri="http://schemas.microsoft.com/office/word/2010/wordprocessingShape">
                    <wps:wsp>
                      <wps:cNvCnPr/>
                      <wps:spPr>
                        <a:xfrm>
                          <a:off x="0" y="0"/>
                          <a:ext cx="1076325" cy="635"/>
                        </a:xfrm>
                        <a:prstGeom prst="line">
                          <a:avLst/>
                        </a:prstGeom>
                        <a:ln w="952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192.5pt;margin-top:18.65pt;height:0.05pt;width:84.75pt;z-index:251662336;mso-width-relative:page;mso-height-relative:page;" filled="f" stroked="t" coordsize="21600,21600" o:gfxdata="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qT/Y1gAAAAkBAAAPAAAAAAAA&#10;AAEAIAAAACIAAABkcnMvZG93bnJldi54bWxQSwECFAAUAAAACACHTuJAX1HzzNsBAACQAwAADgAA&#10;AAAAAAABACAAAAAlAQAAZHJzL2Uyb0RvYy54bWxQSwUGAAAAAAYABgBZAQAAcgUAAAAA&#10;">
                <v:fill on="f" focussize="0,0"/>
                <v:stroke color="#739CC3" joinstyle="round" endarrow="block"/>
                <v:imagedata o:title=""/>
                <o:lock v:ext="edit" aspectratio="f"/>
              </v:line>
            </w:pict>
          </mc:Fallback>
        </mc:AlternateContent>
      </w:r>
      <w:r>
        <w:rPr>
          <w:rFonts w:hint="eastAsia" w:eastAsia="楷体_GB2312"/>
          <w:sz w:val="32"/>
          <w:szCs w:val="32"/>
        </w:rPr>
        <w:t>财务室：资金使用申报           财政局：资金审批</w:t>
      </w:r>
    </w:p>
    <w:p>
      <w:pPr>
        <w:spacing w:line="560" w:lineRule="exact"/>
        <w:ind w:firstLine="640" w:firstLineChars="200"/>
        <w:rPr>
          <w:rFonts w:eastAsia="楷体_GB2312"/>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4006850</wp:posOffset>
                </wp:positionH>
                <wp:positionV relativeFrom="paragraph">
                  <wp:posOffset>24130</wp:posOffset>
                </wp:positionV>
                <wp:extent cx="19050" cy="714375"/>
                <wp:effectExtent l="20955" t="0" r="36195" b="9525"/>
                <wp:wrapNone/>
                <wp:docPr id="1" name="直接连接符 1"/>
                <wp:cNvGraphicFramePr/>
                <a:graphic xmlns:a="http://schemas.openxmlformats.org/drawingml/2006/main">
                  <a:graphicData uri="http://schemas.microsoft.com/office/word/2010/wordprocessingShape">
                    <wps:wsp>
                      <wps:cNvCnPr/>
                      <wps:spPr>
                        <a:xfrm>
                          <a:off x="0" y="0"/>
                          <a:ext cx="19050" cy="714375"/>
                        </a:xfrm>
                        <a:prstGeom prst="line">
                          <a:avLst/>
                        </a:prstGeom>
                        <a:ln w="952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15.5pt;margin-top:1.9pt;height:56.25pt;width:1.5pt;z-index:251663360;mso-width-relative:page;mso-height-relative:page;" filled="f" stroked="t" coordsize="21600,21600" o:gfxdata="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82UaDUAAAACQEAAA8AAAAAAAAA&#10;AQAgAAAAIgAAAGRycy9kb3ducmV2LnhtbFBLAQIUABQAAAAIAIdO4kBiH3DG3AEAAJEDAAAOAAAA&#10;AAAAAAEAIAAAACMBAABkcnMvZTJvRG9jLnhtbFBLBQYAAAAABgAGAFkBAABxBQAAAAA=&#10;">
                <v:fill on="f" focussize="0,0"/>
                <v:stroke color="#739CC3" joinstyle="round" endarrow="block"/>
                <v:imagedata o:title=""/>
                <o:lock v:ext="edit" aspectratio="f"/>
              </v:line>
            </w:pict>
          </mc:Fallback>
        </mc:AlternateContent>
      </w:r>
      <w:r>
        <w:rPr>
          <w:rFonts w:hint="eastAsia" w:eastAsia="楷体_GB2312"/>
          <w:sz w:val="32"/>
          <w:szCs w:val="32"/>
        </w:rPr>
        <w:t xml:space="preserve">     </w:t>
      </w: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r>
        <w:rPr>
          <w:rFonts w:hint="eastAsia" w:eastAsia="楷体_GB2312"/>
          <w:sz w:val="32"/>
          <w:szCs w:val="32"/>
        </w:rPr>
        <w:t xml:space="preserve">                              银行：支付          </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80" w:lineRule="exact"/>
        <w:ind w:firstLine="640" w:firstLineChars="200"/>
        <w:rPr>
          <w:rFonts w:eastAsia="仿宋_GB2312"/>
          <w:sz w:val="32"/>
          <w:szCs w:val="32"/>
        </w:rPr>
      </w:pPr>
      <w:r>
        <w:rPr>
          <w:rFonts w:hint="eastAsia" w:ascii="仿宋_GB2312" w:hAnsi="仿宋" w:eastAsia="仿宋_GB2312"/>
          <w:sz w:val="32"/>
          <w:szCs w:val="32"/>
        </w:rPr>
        <w:t>依据川财行【2020】207号、川财行【2021】131号、盐财资行【2022】413号文件要求，</w:t>
      </w:r>
      <w:r>
        <w:rPr>
          <w:rFonts w:hint="eastAsia" w:ascii="仿宋_GB2312" w:hAnsi="宋体" w:eastAsia="仿宋_GB2312" w:cs="宋体"/>
          <w:sz w:val="32"/>
          <w:szCs w:val="32"/>
        </w:rPr>
        <w:t>为司法机关的日常运转、安保维稳、应急处突等工作提供了物力保障，满足了司法装备技术与时俱进的需求</w:t>
      </w:r>
      <w:r>
        <w:rPr>
          <w:rFonts w:hint="eastAsia" w:ascii="仿宋_GB2312" w:hAnsi="仿宋_GB2312" w:eastAsia="仿宋_GB2312" w:cs="仿宋_GB2312"/>
          <w:sz w:val="32"/>
          <w:szCs w:val="32"/>
        </w:rPr>
        <w:t>。</w:t>
      </w:r>
      <w:r>
        <w:rPr>
          <w:rFonts w:hint="eastAsia" w:ascii="仿宋_GB2312" w:hAnsi="仿宋" w:eastAsia="仿宋_GB2312"/>
          <w:sz w:val="32"/>
          <w:szCs w:val="32"/>
        </w:rPr>
        <w:t>该笔项目资金由县财政局预算管理一体化系统拨付，依</w:t>
      </w:r>
      <w:r>
        <w:rPr>
          <w:rFonts w:hint="eastAsia" w:eastAsia="仿宋_GB2312"/>
          <w:sz w:val="32"/>
          <w:szCs w:val="32"/>
        </w:rPr>
        <w:t>据资金使用申报流程，申报该项目支出的用款计划，资金划转安全、及时、规范，资金支付合规合法、与预算相符</w:t>
      </w:r>
      <w:r>
        <w:rPr>
          <w:rFonts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楷体_GB2312"/>
          <w:sz w:val="32"/>
          <w:szCs w:val="32"/>
        </w:rPr>
      </w:pPr>
      <w:r>
        <w:rPr>
          <w:rFonts w:eastAsia="仿宋_GB2312"/>
          <w:kern w:val="0"/>
          <w:sz w:val="32"/>
          <w:szCs w:val="32"/>
        </w:rPr>
        <w:t>严格执行</w:t>
      </w:r>
      <w:r>
        <w:rPr>
          <w:rFonts w:hint="eastAsia" w:eastAsia="仿宋_GB2312"/>
          <w:kern w:val="0"/>
          <w:sz w:val="32"/>
          <w:szCs w:val="32"/>
        </w:rPr>
        <w:t>《行政事业单位财务管理制度》等财务管理制度</w:t>
      </w:r>
      <w:r>
        <w:rPr>
          <w:rFonts w:eastAsia="仿宋_GB2312"/>
          <w:kern w:val="0"/>
          <w:sz w:val="32"/>
          <w:szCs w:val="32"/>
        </w:rPr>
        <w:t>，</w:t>
      </w:r>
      <w:r>
        <w:rPr>
          <w:rFonts w:hint="eastAsia" w:eastAsia="仿宋_GB2312"/>
          <w:kern w:val="0"/>
          <w:sz w:val="32"/>
          <w:szCs w:val="32"/>
        </w:rPr>
        <w:t>权限管理规范，内控较为严谨，</w:t>
      </w:r>
      <w:r>
        <w:rPr>
          <w:rFonts w:eastAsia="仿宋_GB2312"/>
          <w:kern w:val="0"/>
          <w:sz w:val="32"/>
          <w:szCs w:val="32"/>
        </w:rPr>
        <w:t>账务处理及时，会计核算规范</w:t>
      </w:r>
      <w:r>
        <w:rPr>
          <w:rFonts w:hint="eastAsia" w:eastAsia="仿宋_GB2312"/>
          <w:kern w:val="0"/>
          <w:sz w:val="32"/>
          <w:szCs w:val="32"/>
        </w:rPr>
        <w:t>，该笔项目资金从申报到支付，均严格遵守资金使用流程，专款专用，依法依规进行全流程、精细化管理，确保资金安全。</w:t>
      </w:r>
    </w:p>
    <w:p>
      <w:pPr>
        <w:spacing w:line="560" w:lineRule="exact"/>
        <w:ind w:firstLine="640" w:firstLineChars="200"/>
        <w:rPr>
          <w:rFonts w:eastAsia="黑体"/>
          <w:sz w:val="32"/>
          <w:szCs w:val="32"/>
        </w:rPr>
      </w:pPr>
      <w:bookmarkStart w:id="115" w:name="_Toc16522_WPSOffice_Level2"/>
      <w:bookmarkStart w:id="116" w:name="_Toc21914_WPSOffice_Level2"/>
      <w:r>
        <w:rPr>
          <w:rFonts w:eastAsia="黑体"/>
          <w:sz w:val="32"/>
          <w:szCs w:val="32"/>
        </w:rPr>
        <w:t>四、项目绩效情况</w:t>
      </w:r>
      <w:bookmarkEnd w:id="115"/>
      <w:bookmarkEnd w:id="116"/>
      <w:r>
        <w:rPr>
          <w:rFonts w:eastAsia="黑体"/>
          <w:sz w:val="32"/>
          <w:szCs w:val="32"/>
        </w:rPr>
        <w:tab/>
      </w:r>
    </w:p>
    <w:p>
      <w:pPr>
        <w:spacing w:line="560" w:lineRule="exact"/>
        <w:ind w:firstLine="640" w:firstLineChars="200"/>
        <w:rPr>
          <w:rFonts w:eastAsia="楷体_GB2312"/>
          <w:sz w:val="32"/>
          <w:szCs w:val="32"/>
        </w:rPr>
      </w:pPr>
      <w:r>
        <w:rPr>
          <w:rFonts w:eastAsia="楷体_GB2312"/>
          <w:sz w:val="32"/>
          <w:szCs w:val="32"/>
        </w:rPr>
        <w:t>（一）项目完成情况。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为司法机关的日常运转、安保维稳、应急处突等工作提供了物力保障，满足了司法装备技术与时俱进的需求</w:t>
      </w:r>
    </w:p>
    <w:p>
      <w:pPr>
        <w:spacing w:line="560" w:lineRule="exact"/>
        <w:ind w:firstLine="640" w:firstLineChars="200"/>
        <w:rPr>
          <w:rFonts w:eastAsia="楷体_GB2312"/>
          <w:sz w:val="32"/>
          <w:szCs w:val="32"/>
        </w:rPr>
      </w:pPr>
      <w:r>
        <w:rPr>
          <w:rFonts w:eastAsia="楷体_GB2312"/>
          <w:sz w:val="32"/>
          <w:szCs w:val="32"/>
        </w:rPr>
        <w:t>（二）项目效益情况。</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为司法机关的日常运转、安保维稳、应急处突等工作提供了物力保障，满足了司法装备技术与时俱进的需求</w:t>
      </w:r>
    </w:p>
    <w:p>
      <w:pPr>
        <w:spacing w:line="560" w:lineRule="exact"/>
        <w:ind w:firstLine="640" w:firstLineChars="200"/>
        <w:rPr>
          <w:rFonts w:eastAsia="黑体"/>
          <w:sz w:val="32"/>
          <w:szCs w:val="32"/>
        </w:rPr>
      </w:pPr>
      <w:bookmarkStart w:id="117" w:name="_Toc3274_WPSOffice_Level2"/>
      <w:bookmarkStart w:id="118" w:name="_Toc14983_WPSOffice_Level2"/>
      <w:r>
        <w:rPr>
          <w:rFonts w:eastAsia="黑体"/>
          <w:sz w:val="32"/>
          <w:szCs w:val="32"/>
        </w:rPr>
        <w:t>五、评价结论及建议</w:t>
      </w:r>
      <w:bookmarkEnd w:id="117"/>
      <w:bookmarkEnd w:id="118"/>
    </w:p>
    <w:p>
      <w:pPr>
        <w:spacing w:line="560" w:lineRule="exact"/>
        <w:ind w:firstLine="640" w:firstLineChars="200"/>
        <w:rPr>
          <w:rFonts w:eastAsia="楷体_GB2312"/>
          <w:sz w:val="32"/>
          <w:szCs w:val="32"/>
        </w:rPr>
      </w:pPr>
      <w:r>
        <w:rPr>
          <w:rFonts w:eastAsia="楷体_GB2312"/>
          <w:sz w:val="32"/>
          <w:szCs w:val="32"/>
        </w:rPr>
        <w:t>（一）评价结论。</w:t>
      </w:r>
    </w:p>
    <w:p>
      <w:pPr>
        <w:spacing w:line="560" w:lineRule="exact"/>
        <w:ind w:firstLine="640" w:firstLineChars="200"/>
        <w:rPr>
          <w:rFonts w:eastAsia="仿宋_GB2312"/>
          <w:sz w:val="32"/>
          <w:szCs w:val="32"/>
        </w:rPr>
      </w:pPr>
      <w:r>
        <w:rPr>
          <w:rFonts w:hint="eastAsia" w:eastAsia="仿宋_GB2312"/>
          <w:sz w:val="32"/>
          <w:szCs w:val="32"/>
        </w:rPr>
        <w:t>经初步评价</w:t>
      </w:r>
      <w:r>
        <w:rPr>
          <w:rFonts w:hint="eastAsia" w:ascii="仿宋_GB2312" w:hAnsi="仿宋" w:eastAsia="仿宋_GB2312"/>
          <w:sz w:val="32"/>
          <w:szCs w:val="32"/>
        </w:rPr>
        <w:t>，项目资金申报与项目实际相符；资金支出时间节点较为及时，不存在截留挪用专项资金的违规情况；资金支出按程序审批，合法、合规；资金使用目标明确，受益群体满意度较高，全面达到预期目标</w:t>
      </w:r>
      <w:r>
        <w:rPr>
          <w:rFonts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（二）存在的问题。</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1. 绩效目标设立不够明确、细化和量化。项目单位虽然设立了项目资金绩效目标，但目标不够明确、细化和量化。</w:t>
      </w:r>
    </w:p>
    <w:p>
      <w:pPr>
        <w:pStyle w:val="16"/>
        <w:spacing w:before="0" w:beforeAutospacing="0" w:after="0" w:afterAutospacing="0" w:line="560" w:lineRule="exact"/>
        <w:ind w:firstLine="640" w:firstLineChars="200"/>
        <w:jc w:val="both"/>
        <w:rPr>
          <w:sz w:val="32"/>
          <w:szCs w:val="32"/>
        </w:rPr>
      </w:pPr>
      <w:r>
        <w:rPr>
          <w:rFonts w:hint="eastAsia" w:ascii="仿宋_GB2312" w:hAnsi="仿宋_GB2312" w:cs="仿宋_GB2312"/>
          <w:kern w:val="2"/>
          <w:sz w:val="32"/>
          <w:szCs w:val="32"/>
        </w:rPr>
        <w:t>2. 资金使用效益有待进一步提高。</w:t>
      </w:r>
      <w:r>
        <w:rPr>
          <w:sz w:val="32"/>
          <w:szCs w:val="32"/>
        </w:rPr>
        <w:tab/>
      </w:r>
    </w:p>
    <w:p>
      <w:pPr>
        <w:spacing w:line="560" w:lineRule="exact"/>
        <w:ind w:firstLine="640" w:firstLineChars="200"/>
        <w:rPr>
          <w:rFonts w:eastAsia="楷体_GB2312"/>
          <w:sz w:val="32"/>
          <w:szCs w:val="32"/>
        </w:rPr>
      </w:pPr>
      <w:r>
        <w:rPr>
          <w:rFonts w:eastAsia="楷体_GB2312"/>
          <w:sz w:val="32"/>
          <w:szCs w:val="32"/>
        </w:rPr>
        <w:t>（三）相关建议。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1.遵循先有预算、后有支出的原则，加强机关财务管理，严禁超预算和无预算安排支出，严格开支范围和标准。 </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pStyle w:val="16"/>
        <w:spacing w:before="0" w:beforeAutospacing="0" w:after="0" w:afterAutospacing="0" w:line="560" w:lineRule="exact"/>
        <w:ind w:firstLine="640" w:firstLineChars="200"/>
        <w:jc w:val="both"/>
      </w:pPr>
      <w:r>
        <w:rPr>
          <w:rFonts w:hint="eastAsia" w:ascii="仿宋_GB2312" w:hAnsi="仿宋_GB2312" w:cs="仿宋_GB2312"/>
          <w:kern w:val="2"/>
          <w:sz w:val="32"/>
          <w:szCs w:val="32"/>
        </w:rPr>
        <w:t>3.预算财务分析常态化，定期做好预算支出财务分析，做好部门绩效评价工作。</w:t>
      </w:r>
    </w:p>
    <w:p>
      <w:pPr>
        <w:spacing w:line="580" w:lineRule="exact"/>
        <w:rPr>
          <w:rStyle w:val="32"/>
          <w:rFonts w:ascii="黑体" w:hAnsi="黑体" w:eastAsia="黑体"/>
          <w:b w:val="0"/>
        </w:rPr>
      </w:pPr>
    </w:p>
    <w:p>
      <w:pPr>
        <w:pStyle w:val="2"/>
        <w:rPr>
          <w:rStyle w:val="32"/>
          <w:rFonts w:ascii="黑体" w:hAnsi="黑体" w:eastAsia="黑体"/>
          <w:b w:val="0"/>
          <w:bCs/>
        </w:rPr>
      </w:pPr>
    </w:p>
    <w:p>
      <w:pPr>
        <w:pStyle w:val="2"/>
        <w:rPr>
          <w:rStyle w:val="32"/>
          <w:rFonts w:ascii="黑体" w:hAnsi="黑体" w:eastAsia="黑体"/>
          <w:b w:val="0"/>
          <w:bCs/>
        </w:rPr>
      </w:pPr>
    </w:p>
    <w:p>
      <w:pPr>
        <w:pStyle w:val="2"/>
        <w:rPr>
          <w:rStyle w:val="32"/>
          <w:rFonts w:ascii="黑体" w:hAnsi="黑体" w:eastAsia="黑体"/>
          <w:b w:val="0"/>
          <w:bCs/>
        </w:rPr>
      </w:pPr>
    </w:p>
    <w:p>
      <w:pPr>
        <w:pStyle w:val="2"/>
        <w:rPr>
          <w:rStyle w:val="32"/>
          <w:rFonts w:ascii="黑体" w:hAnsi="黑体" w:eastAsia="黑体"/>
          <w:b w:val="0"/>
          <w:bCs/>
        </w:rPr>
      </w:pPr>
    </w:p>
    <w:p>
      <w:pPr>
        <w:pStyle w:val="2"/>
        <w:rPr>
          <w:rStyle w:val="32"/>
          <w:rFonts w:ascii="黑体" w:hAnsi="黑体" w:eastAsia="黑体"/>
          <w:b w:val="0"/>
          <w:bCs/>
        </w:rPr>
      </w:pPr>
    </w:p>
    <w:p>
      <w:pPr>
        <w:pStyle w:val="2"/>
        <w:rPr>
          <w:rStyle w:val="32"/>
          <w:rFonts w:ascii="黑体" w:hAnsi="黑体" w:eastAsia="黑体"/>
          <w:b w:val="0"/>
          <w:bCs/>
        </w:rPr>
      </w:pPr>
    </w:p>
    <w:p>
      <w:pPr>
        <w:pStyle w:val="2"/>
        <w:rPr>
          <w:rStyle w:val="32"/>
          <w:rFonts w:ascii="黑体" w:hAnsi="黑体" w:eastAsia="黑体"/>
          <w:b w:val="0"/>
          <w:bCs/>
        </w:rPr>
      </w:pPr>
    </w:p>
    <w:p>
      <w:pPr>
        <w:pStyle w:val="2"/>
        <w:rPr>
          <w:rStyle w:val="32"/>
          <w:rFonts w:ascii="黑体" w:hAnsi="黑体" w:eastAsia="黑体"/>
          <w:b w:val="0"/>
          <w:bCs/>
        </w:rPr>
      </w:pPr>
    </w:p>
    <w:p>
      <w:pPr>
        <w:spacing w:line="600" w:lineRule="exact"/>
        <w:rPr>
          <w:rFonts w:eastAsia="方正小标宋简体"/>
          <w:color w:val="000000"/>
          <w:kern w:val="0"/>
          <w:sz w:val="44"/>
          <w:szCs w:val="44"/>
        </w:rPr>
      </w:pPr>
    </w:p>
    <w:p>
      <w:pPr>
        <w:spacing w:line="640" w:lineRule="exact"/>
        <w:jc w:val="center"/>
        <w:rPr>
          <w:rFonts w:eastAsia="方正小标宋_GBK"/>
          <w:sz w:val="36"/>
          <w:szCs w:val="36"/>
        </w:rPr>
      </w:pPr>
      <w:bookmarkStart w:id="119" w:name="_Toc32237_WPSOffice_Level2"/>
      <w:bookmarkStart w:id="120" w:name="_Toc14116_WPSOffice_Level2"/>
      <w:r>
        <w:rPr>
          <w:rFonts w:hint="eastAsia" w:eastAsia="方正小标宋_GBK"/>
          <w:sz w:val="36"/>
          <w:szCs w:val="36"/>
        </w:rPr>
        <w:t>盐边县司法局</w:t>
      </w:r>
      <w:bookmarkEnd w:id="119"/>
      <w:bookmarkEnd w:id="120"/>
    </w:p>
    <w:p>
      <w:pPr>
        <w:spacing w:line="640" w:lineRule="exact"/>
        <w:jc w:val="center"/>
        <w:rPr>
          <w:rFonts w:eastAsia="方正小标宋_GBK"/>
          <w:sz w:val="36"/>
          <w:szCs w:val="36"/>
        </w:rPr>
      </w:pPr>
      <w:bookmarkStart w:id="121" w:name="_Toc22617_WPSOffice_Level2"/>
      <w:bookmarkStart w:id="122" w:name="_Toc31555_WPSOffice_Level2"/>
      <w:r>
        <w:rPr>
          <w:rFonts w:hint="eastAsia" w:eastAsia="方正小标宋_GBK"/>
          <w:sz w:val="36"/>
          <w:szCs w:val="36"/>
        </w:rPr>
        <w:t>2022年中央转移支付（法律援助工作经费）资金</w:t>
      </w:r>
      <w:bookmarkEnd w:id="121"/>
      <w:bookmarkEnd w:id="122"/>
    </w:p>
    <w:p>
      <w:pPr>
        <w:spacing w:line="640" w:lineRule="exact"/>
        <w:jc w:val="center"/>
        <w:rPr>
          <w:rFonts w:eastAsia="方正小标宋_GBK"/>
          <w:sz w:val="36"/>
          <w:szCs w:val="36"/>
        </w:rPr>
      </w:pPr>
      <w:bookmarkStart w:id="123" w:name="_Toc10695_WPSOffice_Level2"/>
      <w:bookmarkStart w:id="124" w:name="_Toc21487_WPSOffice_Level2"/>
      <w:r>
        <w:rPr>
          <w:rFonts w:hint="eastAsia" w:eastAsia="方正小标宋_GBK"/>
          <w:sz w:val="36"/>
          <w:szCs w:val="36"/>
        </w:rPr>
        <w:t>绩效自评报告</w:t>
      </w:r>
      <w:bookmarkEnd w:id="123"/>
      <w:bookmarkEnd w:id="124"/>
    </w:p>
    <w:p>
      <w:pPr>
        <w:pStyle w:val="10"/>
        <w:spacing w:line="600" w:lineRule="exact"/>
        <w:ind w:firstLine="640" w:firstLineChars="200"/>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bookmarkStart w:id="125" w:name="_Toc5337_WPSOffice_Level2"/>
      <w:bookmarkStart w:id="126" w:name="_Toc8707_WPSOffice_Level2"/>
      <w:r>
        <w:rPr>
          <w:rFonts w:hint="eastAsia" w:ascii="仿宋_GB2312" w:hAnsi="仿宋_GB2312" w:eastAsia="仿宋_GB2312" w:cs="仿宋_GB2312"/>
          <w:sz w:val="32"/>
          <w:szCs w:val="32"/>
        </w:rPr>
        <w:t>一、项目概况</w:t>
      </w:r>
      <w:bookmarkEnd w:id="125"/>
      <w:bookmarkEnd w:id="126"/>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（一）项目基本情况。</w:t>
      </w:r>
    </w:p>
    <w:p>
      <w:pPr>
        <w:spacing w:line="560" w:lineRule="exact"/>
        <w:ind w:firstLine="640" w:firstLineChars="200"/>
        <w:rPr>
          <w:rFonts w:eastAsia="仿宋_GB2312"/>
          <w:sz w:val="32"/>
          <w:szCs w:val="32"/>
        </w:rPr>
      </w:pPr>
      <w:r>
        <w:rPr>
          <w:rFonts w:hint="eastAsia" w:ascii="仿宋_GB2312" w:hAnsi="仿宋_GB2312" w:eastAsia="仿宋_GB2312" w:cs="仿宋_GB2312"/>
          <w:kern w:val="0"/>
          <w:sz w:val="32"/>
          <w:szCs w:val="32"/>
        </w:rPr>
        <w:t xml:space="preserve"> </w:t>
      </w:r>
      <w:r>
        <w:rPr>
          <w:rFonts w:eastAsia="仿宋_GB2312"/>
          <w:sz w:val="32"/>
          <w:szCs w:val="32"/>
        </w:rPr>
        <w:t>1.说明项目主管部门（单位）在该项目管理中的职能。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该项目实施单位为：盐边县司法局，项目名称为：</w:t>
      </w:r>
      <w:r>
        <w:rPr>
          <w:rFonts w:hint="eastAsia" w:ascii="仿宋_GB2312" w:hAnsi="仿宋_GB2312" w:eastAsia="仿宋_GB2312" w:cs="仿宋_GB2312"/>
          <w:sz w:val="32"/>
          <w:szCs w:val="32"/>
        </w:rPr>
        <w:t>2022年中央转移支付（法律援助工作经费）资金。</w:t>
      </w:r>
      <w:r>
        <w:rPr>
          <w:rFonts w:hint="eastAsia" w:ascii="仿宋_GB2312" w:hAnsi="仿宋" w:eastAsia="仿宋_GB2312"/>
          <w:sz w:val="32"/>
          <w:szCs w:val="32"/>
        </w:rPr>
        <w:t>该项目实施内容为：</w:t>
      </w:r>
      <w:r>
        <w:rPr>
          <w:rFonts w:hint="eastAsia" w:ascii="仿宋_GB2312" w:hAnsi="仿宋_GB2312" w:eastAsia="仿宋_GB2312" w:cs="仿宋_GB2312"/>
          <w:sz w:val="32"/>
          <w:szCs w:val="32"/>
        </w:rPr>
        <w:t>保障了县内困难人群、农民工、低保人员等援助对象的法律援助诉求，促进了依法治县和法治政府建设，提高了法律知晓度和法律维权意识，解决了困难人群的基本法律咨询和援助问题。</w:t>
      </w:r>
    </w:p>
    <w:p>
      <w:pPr>
        <w:spacing w:line="560" w:lineRule="exact"/>
        <w:ind w:firstLine="640" w:firstLineChars="200"/>
        <w:rPr>
          <w:rFonts w:eastAsia="仿宋_GB2312"/>
          <w:sz w:val="32"/>
          <w:szCs w:val="32"/>
        </w:rPr>
      </w:pPr>
      <w:r>
        <w:rPr>
          <w:rFonts w:hint="eastAsia" w:ascii="仿宋_GB2312" w:hAnsi="仿宋_GB2312" w:eastAsia="仿宋_GB2312" w:cs="仿宋_GB2312"/>
          <w:kern w:val="0"/>
          <w:sz w:val="32"/>
          <w:szCs w:val="32"/>
        </w:rPr>
        <w:t xml:space="preserve"> </w:t>
      </w:r>
      <w:r>
        <w:rPr>
          <w:rFonts w:eastAsia="仿宋_GB2312"/>
          <w:sz w:val="32"/>
          <w:szCs w:val="32"/>
        </w:rPr>
        <w:t>2.项目立项、资金申报的依据。</w:t>
      </w:r>
    </w:p>
    <w:p>
      <w:pPr>
        <w:spacing w:line="560" w:lineRule="exact"/>
        <w:ind w:firstLine="640" w:firstLineChars="200"/>
        <w:rPr>
          <w:rFonts w:eastAsia="仿宋_GB2312"/>
          <w:sz w:val="32"/>
          <w:szCs w:val="32"/>
        </w:rPr>
      </w:pPr>
      <w:r>
        <w:rPr>
          <w:rFonts w:hint="eastAsia" w:ascii="仿宋_GB2312" w:hAnsi="仿宋" w:eastAsia="仿宋_GB2312"/>
          <w:sz w:val="32"/>
          <w:szCs w:val="32"/>
        </w:rPr>
        <w:t>依据盐财资行【2022】80号、盐财资行【2022】413号下达</w:t>
      </w:r>
      <w:r>
        <w:rPr>
          <w:rFonts w:hint="eastAsia" w:ascii="仿宋_GB2312" w:hAnsi="仿宋_GB2312" w:eastAsia="仿宋_GB2312" w:cs="仿宋_GB2312"/>
          <w:sz w:val="32"/>
          <w:szCs w:val="32"/>
        </w:rPr>
        <w:t>2022年中央转移支付（法律援助工作经费）资金</w:t>
      </w:r>
      <w:r>
        <w:rPr>
          <w:rFonts w:hint="eastAsia" w:ascii="仿宋_GB2312" w:hAnsi="仿宋" w:eastAsia="仿宋_GB2312"/>
          <w:sz w:val="32"/>
          <w:szCs w:val="32"/>
        </w:rPr>
        <w:t>共计23.30万元。</w:t>
      </w:r>
    </w:p>
    <w:p>
      <w:pPr>
        <w:spacing w:line="560" w:lineRule="exact"/>
        <w:ind w:firstLine="640" w:firstLineChars="200"/>
        <w:rPr>
          <w:rFonts w:eastAsia="仿宋_GB2312"/>
          <w:sz w:val="32"/>
          <w:szCs w:val="32"/>
        </w:rPr>
      </w:pPr>
      <w:r>
        <w:rPr>
          <w:rFonts w:eastAsia="仿宋_GB2312"/>
          <w:sz w:val="32"/>
          <w:szCs w:val="32"/>
        </w:rPr>
        <w:t>3.资金管理办法制定情况，资金支持具体项目的条件、范围与支持方式概况。</w:t>
      </w:r>
    </w:p>
    <w:p>
      <w:pPr>
        <w:autoSpaceDE w:val="0"/>
        <w:autoSpaceDN w:val="0"/>
        <w:adjustRightInd w:val="0"/>
        <w:spacing w:line="560" w:lineRule="exact"/>
        <w:jc w:val="left"/>
        <w:rPr>
          <w:rFonts w:eastAsia="仿宋_GB2312"/>
          <w:color w:val="FF0000"/>
          <w:kern w:val="0"/>
          <w:sz w:val="32"/>
          <w:szCs w:val="32"/>
        </w:rPr>
      </w:pPr>
      <w:r>
        <w:rPr>
          <w:rFonts w:hint="eastAsia" w:ascii="仿宋_GB2312" w:hAnsi="仿宋" w:eastAsia="仿宋_GB2312"/>
          <w:sz w:val="32"/>
          <w:szCs w:val="32"/>
        </w:rPr>
        <w:t xml:space="preserve">    该笔项目资金的管理，依据盐边财政关于项目资金的使用要求进行资金管理，专款专用，及时用于</w:t>
      </w:r>
      <w:r>
        <w:rPr>
          <w:rFonts w:hint="eastAsia" w:ascii="仿宋_GB2312" w:hAnsi="仿宋_GB2312" w:eastAsia="仿宋_GB2312" w:cs="仿宋_GB2312"/>
          <w:sz w:val="32"/>
          <w:szCs w:val="32"/>
        </w:rPr>
        <w:t>宣传人社相关服务知识，帮助广大群众更加深入了解政府推出的各项便民优惠政策</w:t>
      </w:r>
      <w:r>
        <w:rPr>
          <w:rFonts w:hint="eastAsia" w:ascii="仿宋_GB2312" w:hAnsi="仿宋"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4.资金分配的原则及考虑因素。</w:t>
      </w:r>
    </w:p>
    <w:p>
      <w:pPr>
        <w:spacing w:line="580" w:lineRule="exact"/>
        <w:ind w:firstLine="640" w:firstLineChars="200"/>
        <w:rPr>
          <w:rFonts w:ascii="仿宋_GB2312" w:hAnsi="仿宋" w:eastAsia="仿宋_GB2312"/>
          <w:sz w:val="32"/>
          <w:szCs w:val="32"/>
        </w:rPr>
      </w:pPr>
      <w:r>
        <w:rPr>
          <w:rFonts w:hint="eastAsia" w:eastAsia="仿宋_GB2312"/>
          <w:sz w:val="32"/>
          <w:szCs w:val="32"/>
        </w:rPr>
        <w:t>根据</w:t>
      </w:r>
      <w:r>
        <w:rPr>
          <w:rFonts w:hint="eastAsia" w:ascii="仿宋_GB2312" w:hAnsi="仿宋" w:eastAsia="仿宋_GB2312"/>
          <w:sz w:val="32"/>
          <w:szCs w:val="32"/>
        </w:rPr>
        <w:t>文件要求及该工作实际情况，</w:t>
      </w:r>
      <w:r>
        <w:rPr>
          <w:rFonts w:hint="eastAsia" w:ascii="仿宋_GB2312" w:hAnsi="仿宋_GB2312" w:eastAsia="仿宋_GB2312" w:cs="仿宋_GB2312"/>
          <w:sz w:val="32"/>
          <w:szCs w:val="32"/>
        </w:rPr>
        <w:t>专项用于保障了县内困难人群、农民工、低保人员等援助对象的法律援助诉求，促进了依法治县和法治政府建设，提高了法律知晓度和法律维权意识，解决了困难人群的基本法律咨询和援助问题。</w:t>
      </w:r>
    </w:p>
    <w:p>
      <w:pPr>
        <w:spacing w:line="560" w:lineRule="exact"/>
        <w:ind w:firstLine="640" w:firstLineChars="200"/>
        <w:rPr>
          <w:rFonts w:eastAsia="楷体_GB2312"/>
          <w:sz w:val="32"/>
          <w:szCs w:val="32"/>
        </w:rPr>
      </w:pPr>
      <w:r>
        <w:rPr>
          <w:rFonts w:eastAsia="楷体_GB2312"/>
          <w:sz w:val="32"/>
          <w:szCs w:val="32"/>
        </w:rPr>
        <w:t>（二）项目绩效目标。</w:t>
      </w:r>
    </w:p>
    <w:p>
      <w:pPr>
        <w:spacing w:line="560" w:lineRule="exact"/>
        <w:ind w:firstLine="640" w:firstLineChars="200"/>
        <w:rPr>
          <w:rFonts w:eastAsia="仿宋_GB2312"/>
          <w:sz w:val="32"/>
          <w:szCs w:val="32"/>
        </w:rPr>
      </w:pPr>
      <w:r>
        <w:rPr>
          <w:rFonts w:eastAsia="仿宋_GB2312"/>
          <w:sz w:val="32"/>
          <w:szCs w:val="32"/>
        </w:rPr>
        <w:t>1.项目主要内容。</w:t>
      </w:r>
    </w:p>
    <w:p>
      <w:pPr>
        <w:spacing w:line="580" w:lineRule="exact"/>
        <w:ind w:firstLine="640" w:firstLineChars="200"/>
        <w:rPr>
          <w:rFonts w:eastAsia="仿宋_GB2312"/>
          <w:sz w:val="32"/>
          <w:szCs w:val="32"/>
        </w:rPr>
      </w:pPr>
      <w:r>
        <w:rPr>
          <w:rFonts w:hint="eastAsia" w:ascii="仿宋_GB2312" w:hAnsi="仿宋" w:eastAsia="仿宋_GB2312"/>
          <w:sz w:val="32"/>
          <w:szCs w:val="32"/>
        </w:rPr>
        <w:t>项目主要内容为：</w:t>
      </w:r>
      <w:r>
        <w:rPr>
          <w:rFonts w:hint="eastAsia" w:ascii="仿宋_GB2312" w:hAnsi="仿宋_GB2312" w:eastAsia="仿宋_GB2312" w:cs="仿宋_GB2312"/>
          <w:sz w:val="32"/>
          <w:szCs w:val="32"/>
        </w:rPr>
        <w:t>保障了县内困难人群、农民工、低保人员等援助对象的法律援助诉求，促进了依法治县和法治政府建设，提高了法律知晓度和法律维权意识，解决了困难人群的基本法律咨询和援助问题。</w:t>
      </w:r>
    </w:p>
    <w:p>
      <w:pPr>
        <w:spacing w:line="56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pPr>
        <w:spacing w:line="580" w:lineRule="exact"/>
        <w:ind w:firstLine="640" w:firstLineChars="200"/>
        <w:rPr>
          <w:rFonts w:eastAsia="仿宋_GB2312"/>
          <w:sz w:val="32"/>
          <w:szCs w:val="32"/>
        </w:rPr>
      </w:pPr>
      <w:r>
        <w:rPr>
          <w:rFonts w:eastAsia="仿宋_GB2312"/>
          <w:kern w:val="0"/>
          <w:sz w:val="32"/>
          <w:szCs w:val="32"/>
        </w:rPr>
        <w:t>项目应实现的具体绩效目标</w:t>
      </w:r>
      <w:r>
        <w:rPr>
          <w:rFonts w:hint="eastAsia" w:eastAsia="仿宋_GB2312"/>
          <w:kern w:val="0"/>
          <w:sz w:val="32"/>
          <w:szCs w:val="32"/>
        </w:rPr>
        <w:t>：</w:t>
      </w:r>
      <w:r>
        <w:rPr>
          <w:rFonts w:hint="eastAsia" w:ascii="仿宋_GB2312" w:hAnsi="仿宋_GB2312" w:eastAsia="仿宋_GB2312" w:cs="仿宋_GB2312"/>
          <w:sz w:val="32"/>
          <w:szCs w:val="32"/>
        </w:rPr>
        <w:t>保障了县内困难人群、农民工、低保人员等援助对象的法律援助诉求，促进了依法治县和法治政府建设，提高了法律知晓度和法律维权意识，解决了困难人群的基本法律咨询和援助问题。</w:t>
      </w:r>
      <w:r>
        <w:rPr>
          <w:rFonts w:hint="eastAsia" w:eastAsia="仿宋_GB2312"/>
          <w:kern w:val="0"/>
          <w:sz w:val="32"/>
          <w:szCs w:val="32"/>
        </w:rPr>
        <w:t>年终决算时，纳入项目支出的资金共计</w:t>
      </w:r>
      <w:r>
        <w:rPr>
          <w:rFonts w:hint="eastAsia" w:ascii="仿宋_GB2312" w:hAnsi="仿宋" w:eastAsia="仿宋_GB2312"/>
          <w:sz w:val="32"/>
          <w:szCs w:val="32"/>
        </w:rPr>
        <w:t>23.30万</w:t>
      </w:r>
      <w:r>
        <w:rPr>
          <w:rFonts w:hint="eastAsia" w:eastAsia="仿宋_GB2312"/>
          <w:kern w:val="0"/>
          <w:sz w:val="32"/>
          <w:szCs w:val="32"/>
        </w:rPr>
        <w:t>元。</w:t>
      </w:r>
    </w:p>
    <w:p>
      <w:pPr>
        <w:spacing w:line="560" w:lineRule="exact"/>
        <w:ind w:firstLine="640" w:firstLineChars="200"/>
        <w:rPr>
          <w:rFonts w:eastAsia="仿宋_GB2312"/>
          <w:sz w:val="32"/>
          <w:szCs w:val="32"/>
        </w:rPr>
      </w:pPr>
      <w:r>
        <w:rPr>
          <w:rFonts w:eastAsia="仿宋_GB2312"/>
          <w:sz w:val="32"/>
          <w:szCs w:val="32"/>
        </w:rPr>
        <w:t>3.分析评价申报内容是否与实际相符，申报目标是否合理可行。</w:t>
      </w:r>
    </w:p>
    <w:p>
      <w:pPr>
        <w:spacing w:line="560" w:lineRule="exact"/>
        <w:ind w:firstLine="640" w:firstLineChars="200"/>
        <w:rPr>
          <w:rFonts w:eastAsia="仿宋_GB2312"/>
          <w:sz w:val="32"/>
          <w:szCs w:val="32"/>
        </w:rPr>
      </w:pPr>
      <w:r>
        <w:rPr>
          <w:rFonts w:eastAsia="仿宋_GB2312"/>
          <w:kern w:val="0"/>
          <w:sz w:val="32"/>
          <w:szCs w:val="32"/>
        </w:rPr>
        <w:t>分析评价申报内容与实际相符，申报目标合理可行。</w:t>
      </w:r>
    </w:p>
    <w:p>
      <w:pPr>
        <w:spacing w:line="560" w:lineRule="exact"/>
        <w:ind w:firstLine="640" w:firstLineChars="200"/>
        <w:rPr>
          <w:rFonts w:eastAsia="黑体"/>
          <w:sz w:val="32"/>
          <w:szCs w:val="32"/>
        </w:rPr>
      </w:pPr>
      <w:bookmarkStart w:id="127" w:name="_Toc6640_WPSOffice_Level2"/>
      <w:bookmarkStart w:id="128" w:name="_Toc28995_WPSOffice_Level2"/>
      <w:r>
        <w:rPr>
          <w:rFonts w:eastAsia="黑体"/>
          <w:sz w:val="32"/>
          <w:szCs w:val="32"/>
        </w:rPr>
        <w:t>二、项目资金申报及使用情况</w:t>
      </w:r>
      <w:bookmarkEnd w:id="127"/>
      <w:bookmarkEnd w:id="128"/>
    </w:p>
    <w:p>
      <w:pPr>
        <w:spacing w:line="560" w:lineRule="exact"/>
        <w:ind w:firstLine="640" w:firstLineChars="200"/>
        <w:rPr>
          <w:rFonts w:eastAsia="楷体_GB2312"/>
          <w:sz w:val="32"/>
          <w:szCs w:val="32"/>
        </w:rPr>
      </w:pPr>
      <w:r>
        <w:rPr>
          <w:rFonts w:eastAsia="楷体_GB2312"/>
          <w:sz w:val="32"/>
          <w:szCs w:val="32"/>
        </w:rPr>
        <w:t>（一）项目资金申报及批复情况。</w:t>
      </w:r>
    </w:p>
    <w:p>
      <w:pPr>
        <w:spacing w:line="560" w:lineRule="exact"/>
        <w:ind w:firstLine="640" w:firstLineChars="200"/>
        <w:rPr>
          <w:rFonts w:eastAsia="仿宋_GB2312"/>
          <w:sz w:val="32"/>
          <w:szCs w:val="32"/>
        </w:rPr>
      </w:pPr>
      <w:r>
        <w:rPr>
          <w:rFonts w:hint="eastAsia" w:ascii="仿宋_GB2312" w:hAnsi="仿宋" w:eastAsia="仿宋_GB2312"/>
          <w:sz w:val="32"/>
          <w:szCs w:val="32"/>
        </w:rPr>
        <w:t>根据盐财资行【2022】80号、盐财资行【2022】413号文件要求，</w:t>
      </w:r>
      <w:r>
        <w:rPr>
          <w:rFonts w:hint="eastAsia" w:eastAsia="仿宋_GB2312"/>
          <w:sz w:val="32"/>
          <w:szCs w:val="32"/>
        </w:rPr>
        <w:t>2022年8月及2022年10月县财政局拨付资金。</w:t>
      </w:r>
    </w:p>
    <w:p>
      <w:pPr>
        <w:spacing w:line="560" w:lineRule="exact"/>
        <w:ind w:firstLine="640" w:firstLineChars="200"/>
        <w:rPr>
          <w:rFonts w:eastAsia="楷体_GB2312"/>
          <w:sz w:val="32"/>
          <w:szCs w:val="32"/>
        </w:rPr>
      </w:pPr>
      <w:r>
        <w:rPr>
          <w:rFonts w:eastAsia="楷体_GB2312"/>
          <w:sz w:val="32"/>
          <w:szCs w:val="32"/>
        </w:rPr>
        <w:t>（二）资金计划、到位及使用情况。</w:t>
      </w:r>
    </w:p>
    <w:p>
      <w:pPr>
        <w:spacing w:line="560" w:lineRule="exact"/>
        <w:ind w:firstLine="643" w:firstLineChars="200"/>
        <w:rPr>
          <w:rFonts w:eastAsia="仿宋_GB2312"/>
          <w:sz w:val="32"/>
          <w:szCs w:val="32"/>
        </w:rPr>
      </w:pPr>
      <w:r>
        <w:rPr>
          <w:rFonts w:eastAsia="仿宋_GB2312"/>
          <w:b/>
          <w:sz w:val="32"/>
          <w:szCs w:val="32"/>
        </w:rPr>
        <w:t>1.资金计划。</w:t>
      </w:r>
      <w:r>
        <w:rPr>
          <w:rFonts w:hint="eastAsia" w:eastAsia="仿宋_GB2312"/>
          <w:sz w:val="32"/>
          <w:szCs w:val="32"/>
        </w:rPr>
        <w:t>根据县司法局拨付资金的请求，县级财政拟同意拨付该笔专项资金。</w:t>
      </w:r>
    </w:p>
    <w:p>
      <w:pPr>
        <w:autoSpaceDE w:val="0"/>
        <w:autoSpaceDN w:val="0"/>
        <w:adjustRightInd w:val="0"/>
        <w:spacing w:line="560" w:lineRule="exact"/>
        <w:ind w:firstLine="643" w:firstLineChars="200"/>
        <w:jc w:val="left"/>
        <w:rPr>
          <w:rFonts w:ascii="仿宋_GB2312" w:hAnsi="仿宋_GB2312" w:eastAsia="仿宋_GB2312" w:cs="仿宋_GB2312"/>
          <w:bCs/>
          <w:kern w:val="0"/>
          <w:sz w:val="32"/>
          <w:szCs w:val="32"/>
        </w:rPr>
      </w:pPr>
      <w:r>
        <w:rPr>
          <w:rFonts w:eastAsia="仿宋_GB2312"/>
          <w:b/>
          <w:sz w:val="32"/>
          <w:szCs w:val="32"/>
        </w:rPr>
        <w:t>2.资金到位。</w:t>
      </w:r>
      <w:r>
        <w:rPr>
          <w:rFonts w:hint="eastAsia" w:eastAsia="仿宋_GB2312"/>
          <w:sz w:val="32"/>
          <w:szCs w:val="32"/>
        </w:rPr>
        <w:t>2022年8月及2022年10月</w:t>
      </w:r>
      <w:r>
        <w:rPr>
          <w:rFonts w:hint="eastAsia" w:ascii="仿宋_GB2312" w:hAnsi="仿宋_GB2312" w:eastAsia="仿宋_GB2312" w:cs="仿宋_GB2312"/>
          <w:bCs/>
          <w:kern w:val="0"/>
          <w:sz w:val="32"/>
          <w:szCs w:val="32"/>
        </w:rPr>
        <w:t>，该笔项目资金由县财政局批复，并及时走完申报审批流程。</w:t>
      </w:r>
    </w:p>
    <w:p>
      <w:pPr>
        <w:spacing w:line="560" w:lineRule="exact"/>
        <w:ind w:firstLine="643" w:firstLineChars="200"/>
        <w:rPr>
          <w:rFonts w:eastAsia="仿宋_GB2312"/>
          <w:sz w:val="32"/>
          <w:szCs w:val="32"/>
        </w:rPr>
      </w:pPr>
      <w:r>
        <w:rPr>
          <w:rFonts w:eastAsia="仿宋_GB2312"/>
          <w:b/>
          <w:sz w:val="32"/>
          <w:szCs w:val="32"/>
        </w:rPr>
        <w:t>3.资金使用。</w:t>
      </w:r>
      <w:r>
        <w:rPr>
          <w:rFonts w:hint="eastAsia" w:eastAsia="仿宋_GB2312"/>
          <w:sz w:val="32"/>
          <w:szCs w:val="32"/>
        </w:rPr>
        <w:t>我局于通过预算管理一体化系统拨付，依据资金使用申报流程，资金划转安全、及时、规范，资金支付合规合法、与预算相符。</w:t>
      </w:r>
    </w:p>
    <w:p>
      <w:pPr>
        <w:spacing w:line="560" w:lineRule="exact"/>
        <w:ind w:firstLine="640" w:firstLineChars="200"/>
        <w:rPr>
          <w:rFonts w:eastAsia="楷体_GB2312"/>
          <w:sz w:val="32"/>
          <w:szCs w:val="32"/>
        </w:rPr>
      </w:pPr>
      <w:r>
        <w:rPr>
          <w:rFonts w:eastAsia="楷体_GB2312"/>
          <w:sz w:val="32"/>
          <w:szCs w:val="32"/>
        </w:rPr>
        <w:t>（三）项目财务管理情况。</w:t>
      </w:r>
    </w:p>
    <w:p>
      <w:pPr>
        <w:spacing w:line="560" w:lineRule="exact"/>
        <w:ind w:firstLine="640" w:firstLineChars="200"/>
        <w:rPr>
          <w:rFonts w:eastAsia="仿宋_GB2312"/>
          <w:sz w:val="32"/>
          <w:szCs w:val="32"/>
        </w:rPr>
      </w:pPr>
      <w:r>
        <w:rPr>
          <w:rFonts w:hint="eastAsia" w:eastAsia="仿宋_GB2312"/>
          <w:kern w:val="0"/>
          <w:sz w:val="32"/>
          <w:szCs w:val="32"/>
        </w:rPr>
        <w:t>我局</w:t>
      </w:r>
      <w:r>
        <w:rPr>
          <w:rFonts w:eastAsia="仿宋_GB2312"/>
          <w:kern w:val="0"/>
          <w:sz w:val="32"/>
          <w:szCs w:val="32"/>
        </w:rPr>
        <w:t>严格执行</w:t>
      </w:r>
      <w:r>
        <w:rPr>
          <w:rFonts w:hint="eastAsia" w:eastAsia="仿宋_GB2312"/>
          <w:kern w:val="0"/>
          <w:sz w:val="32"/>
          <w:szCs w:val="32"/>
        </w:rPr>
        <w:t>《行政事业单位财务管理制度》等财务管理制度</w:t>
      </w:r>
      <w:r>
        <w:rPr>
          <w:rFonts w:eastAsia="仿宋_GB2312"/>
          <w:kern w:val="0"/>
          <w:sz w:val="32"/>
          <w:szCs w:val="32"/>
        </w:rPr>
        <w:t>，</w:t>
      </w:r>
      <w:r>
        <w:rPr>
          <w:rFonts w:hint="eastAsia" w:eastAsia="仿宋_GB2312"/>
          <w:kern w:val="0"/>
          <w:sz w:val="32"/>
          <w:szCs w:val="32"/>
        </w:rPr>
        <w:t>权限管理规范，内控较为严谨，</w:t>
      </w:r>
      <w:r>
        <w:rPr>
          <w:rFonts w:eastAsia="仿宋_GB2312"/>
          <w:kern w:val="0"/>
          <w:sz w:val="32"/>
          <w:szCs w:val="32"/>
        </w:rPr>
        <w:t>账务处理及时，会计核算规范</w:t>
      </w:r>
      <w:r>
        <w:rPr>
          <w:rFonts w:hint="eastAsia" w:eastAsia="仿宋_GB2312"/>
          <w:kern w:val="0"/>
          <w:sz w:val="32"/>
          <w:szCs w:val="32"/>
        </w:rPr>
        <w:t>，该笔项目资金从申报到支付，均严格遵守资金使用流程，专款专用，依法依规进行全流程、精细化管理，确保资金安全。</w:t>
      </w:r>
    </w:p>
    <w:p>
      <w:pPr>
        <w:spacing w:line="560" w:lineRule="exact"/>
        <w:ind w:firstLine="640" w:firstLineChars="200"/>
        <w:rPr>
          <w:rFonts w:eastAsia="黑体"/>
          <w:sz w:val="32"/>
          <w:szCs w:val="32"/>
        </w:rPr>
      </w:pPr>
      <w:bookmarkStart w:id="129" w:name="_Toc3167_WPSOffice_Level2"/>
      <w:bookmarkStart w:id="130" w:name="_Toc4121_WPSOffice_Level2"/>
      <w:r>
        <w:rPr>
          <w:rFonts w:eastAsia="黑体"/>
          <w:sz w:val="32"/>
          <w:szCs w:val="32"/>
        </w:rPr>
        <w:t>三、项目实施及管理情况</w:t>
      </w:r>
      <w:bookmarkEnd w:id="129"/>
      <w:bookmarkEnd w:id="130"/>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eastAsia="楷体_GB2312"/>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2444750</wp:posOffset>
                </wp:positionH>
                <wp:positionV relativeFrom="paragraph">
                  <wp:posOffset>236855</wp:posOffset>
                </wp:positionV>
                <wp:extent cx="1076325" cy="635"/>
                <wp:effectExtent l="0" t="37465" r="9525" b="38100"/>
                <wp:wrapNone/>
                <wp:docPr id="3" name="直接连接符 3"/>
                <wp:cNvGraphicFramePr/>
                <a:graphic xmlns:a="http://schemas.openxmlformats.org/drawingml/2006/main">
                  <a:graphicData uri="http://schemas.microsoft.com/office/word/2010/wordprocessingShape">
                    <wps:wsp>
                      <wps:cNvCnPr/>
                      <wps:spPr>
                        <a:xfrm>
                          <a:off x="0" y="0"/>
                          <a:ext cx="1076325" cy="635"/>
                        </a:xfrm>
                        <a:prstGeom prst="line">
                          <a:avLst/>
                        </a:prstGeom>
                        <a:ln w="952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192.5pt;margin-top:18.65pt;height:0.05pt;width:84.75pt;z-index:251664384;mso-width-relative:page;mso-height-relative:page;" filled="f" stroked="t" coordsize="21600,21600" o:gfxdata="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6k/2NYAAAAJAQAADwAAAAAA&#10;AAABACAAAAAiAAAAZHJzL2Rvd25yZXYueG1sUEsBAhQAFAAAAAgAh07iQMPxbfTcAQAAkAMAAA4A&#10;AAAAAAAAAQAgAAAAJQEAAGRycy9lMm9Eb2MueG1sUEsFBgAAAAAGAAYAWQEAAHMFAAAAAA==&#10;">
                <v:fill on="f" focussize="0,0"/>
                <v:stroke color="#739CC3" joinstyle="round" endarrow="block"/>
                <v:imagedata o:title=""/>
                <o:lock v:ext="edit" aspectratio="f"/>
              </v:line>
            </w:pict>
          </mc:Fallback>
        </mc:AlternateContent>
      </w:r>
      <w:r>
        <w:rPr>
          <w:rFonts w:hint="eastAsia" w:eastAsia="楷体_GB2312"/>
          <w:sz w:val="32"/>
          <w:szCs w:val="32"/>
        </w:rPr>
        <w:t>财务室：资金使用申报           财政局：资金审批</w:t>
      </w:r>
    </w:p>
    <w:p>
      <w:pPr>
        <w:spacing w:line="560" w:lineRule="exact"/>
        <w:ind w:firstLine="640" w:firstLineChars="200"/>
        <w:rPr>
          <w:rFonts w:eastAsia="楷体_GB2312"/>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4006850</wp:posOffset>
                </wp:positionH>
                <wp:positionV relativeFrom="paragraph">
                  <wp:posOffset>24130</wp:posOffset>
                </wp:positionV>
                <wp:extent cx="19050" cy="714375"/>
                <wp:effectExtent l="20955" t="0" r="36195" b="9525"/>
                <wp:wrapNone/>
                <wp:docPr id="4" name="直接连接符 4"/>
                <wp:cNvGraphicFramePr/>
                <a:graphic xmlns:a="http://schemas.openxmlformats.org/drawingml/2006/main">
                  <a:graphicData uri="http://schemas.microsoft.com/office/word/2010/wordprocessingShape">
                    <wps:wsp>
                      <wps:cNvCnPr/>
                      <wps:spPr>
                        <a:xfrm>
                          <a:off x="0" y="0"/>
                          <a:ext cx="19050" cy="714375"/>
                        </a:xfrm>
                        <a:prstGeom prst="line">
                          <a:avLst/>
                        </a:prstGeom>
                        <a:ln w="952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15.5pt;margin-top:1.9pt;height:56.25pt;width:1.5pt;z-index:251665408;mso-width-relative:page;mso-height-relative:page;" filled="f" stroked="t" coordsize="21600,21600" o:gfxdata="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82UaDUAAAACQEAAA8AAAAAAAAA&#10;AQAgAAAAIgAAAGRycy9kb3ducmV2LnhtbFBLAQIUABQAAAAIAIdO4kATVRZv3AEAAJEDAAAOAAAA&#10;AAAAAAEAIAAAACMBAABkcnMvZTJvRG9jLnhtbFBLBQYAAAAABgAGAFkBAABxBQAAAAA=&#10;">
                <v:fill on="f" focussize="0,0"/>
                <v:stroke color="#739CC3" joinstyle="round" endarrow="block"/>
                <v:imagedata o:title=""/>
                <o:lock v:ext="edit" aspectratio="f"/>
              </v:line>
            </w:pict>
          </mc:Fallback>
        </mc:AlternateContent>
      </w:r>
      <w:r>
        <w:rPr>
          <w:rFonts w:hint="eastAsia" w:eastAsia="楷体_GB2312"/>
          <w:sz w:val="32"/>
          <w:szCs w:val="32"/>
        </w:rPr>
        <w:t xml:space="preserve">     </w:t>
      </w:r>
    </w:p>
    <w:p>
      <w:pPr>
        <w:spacing w:line="560" w:lineRule="exact"/>
        <w:ind w:firstLine="640" w:firstLineChars="200"/>
        <w:rPr>
          <w:rFonts w:eastAsia="楷体_GB2312"/>
          <w:sz w:val="32"/>
          <w:szCs w:val="32"/>
        </w:rPr>
      </w:pPr>
    </w:p>
    <w:p>
      <w:pPr>
        <w:spacing w:line="560" w:lineRule="exact"/>
        <w:ind w:firstLine="640" w:firstLineChars="200"/>
        <w:rPr>
          <w:rFonts w:eastAsia="楷体_GB2312"/>
          <w:sz w:val="32"/>
          <w:szCs w:val="32"/>
        </w:rPr>
      </w:pPr>
      <w:r>
        <w:rPr>
          <w:rFonts w:hint="eastAsia" w:eastAsia="楷体_GB2312"/>
          <w:sz w:val="32"/>
          <w:szCs w:val="32"/>
        </w:rPr>
        <w:t xml:space="preserve">                              银行：支付          </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80" w:lineRule="exact"/>
        <w:ind w:firstLine="640" w:firstLineChars="200"/>
        <w:rPr>
          <w:rFonts w:eastAsia="仿宋_GB2312"/>
          <w:sz w:val="32"/>
          <w:szCs w:val="32"/>
        </w:rPr>
      </w:pPr>
      <w:r>
        <w:rPr>
          <w:rFonts w:hint="eastAsia" w:ascii="仿宋_GB2312" w:hAnsi="仿宋" w:eastAsia="仿宋_GB2312"/>
          <w:sz w:val="32"/>
          <w:szCs w:val="32"/>
        </w:rPr>
        <w:t>依据盐财资行【2022】80号、盐财资行【2022】413号文件要求，</w:t>
      </w:r>
      <w:r>
        <w:rPr>
          <w:rFonts w:hint="eastAsia" w:ascii="仿宋_GB2312" w:hAnsi="仿宋_GB2312" w:eastAsia="仿宋_GB2312" w:cs="仿宋_GB2312"/>
          <w:sz w:val="32"/>
          <w:szCs w:val="32"/>
        </w:rPr>
        <w:t>专项用于保障了县内困难人群、农民工、低保人员等援助对象的法律援助诉求，促进了依法治县和法治政府建设，提高了法律知晓度和法律维权意识，解决了困难人群的基本法律咨询和援助问题。</w:t>
      </w:r>
      <w:r>
        <w:rPr>
          <w:rFonts w:hint="eastAsia" w:ascii="仿宋_GB2312" w:hAnsi="仿宋" w:eastAsia="仿宋_GB2312"/>
          <w:sz w:val="32"/>
          <w:szCs w:val="32"/>
        </w:rPr>
        <w:t>该笔项目资金由县财政局预算管理一体化系统拨付，依</w:t>
      </w:r>
      <w:r>
        <w:rPr>
          <w:rFonts w:hint="eastAsia" w:eastAsia="仿宋_GB2312"/>
          <w:sz w:val="32"/>
          <w:szCs w:val="32"/>
        </w:rPr>
        <w:t>据资金使用申报流程，申报该项目支出的用款计划，资金划转安全、及时、规范，资金支付合规合法、与预算相符</w:t>
      </w:r>
      <w:r>
        <w:rPr>
          <w:rFonts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楷体_GB2312"/>
          <w:sz w:val="32"/>
          <w:szCs w:val="32"/>
        </w:rPr>
      </w:pPr>
      <w:r>
        <w:rPr>
          <w:rFonts w:eastAsia="仿宋_GB2312"/>
          <w:kern w:val="0"/>
          <w:sz w:val="32"/>
          <w:szCs w:val="32"/>
        </w:rPr>
        <w:t>严格执行</w:t>
      </w:r>
      <w:r>
        <w:rPr>
          <w:rFonts w:hint="eastAsia" w:eastAsia="仿宋_GB2312"/>
          <w:kern w:val="0"/>
          <w:sz w:val="32"/>
          <w:szCs w:val="32"/>
        </w:rPr>
        <w:t>《行政事业单位财务管理制度》等财务管理制度</w:t>
      </w:r>
      <w:r>
        <w:rPr>
          <w:rFonts w:eastAsia="仿宋_GB2312"/>
          <w:kern w:val="0"/>
          <w:sz w:val="32"/>
          <w:szCs w:val="32"/>
        </w:rPr>
        <w:t>，</w:t>
      </w:r>
      <w:r>
        <w:rPr>
          <w:rFonts w:hint="eastAsia" w:eastAsia="仿宋_GB2312"/>
          <w:kern w:val="0"/>
          <w:sz w:val="32"/>
          <w:szCs w:val="32"/>
        </w:rPr>
        <w:t>权限管理规范，内控较为严谨，</w:t>
      </w:r>
      <w:r>
        <w:rPr>
          <w:rFonts w:eastAsia="仿宋_GB2312"/>
          <w:kern w:val="0"/>
          <w:sz w:val="32"/>
          <w:szCs w:val="32"/>
        </w:rPr>
        <w:t>账务处理及时，会计核算规范</w:t>
      </w:r>
      <w:r>
        <w:rPr>
          <w:rFonts w:hint="eastAsia" w:eastAsia="仿宋_GB2312"/>
          <w:kern w:val="0"/>
          <w:sz w:val="32"/>
          <w:szCs w:val="32"/>
        </w:rPr>
        <w:t>，该笔项目资金从申报到支付，均严格遵守资金使用流程，专款专用，依法依规进行全流程、精细化管理，确保资金安全。</w:t>
      </w:r>
    </w:p>
    <w:p>
      <w:pPr>
        <w:spacing w:line="560" w:lineRule="exact"/>
        <w:ind w:firstLine="640" w:firstLineChars="200"/>
        <w:rPr>
          <w:rFonts w:eastAsia="黑体"/>
          <w:sz w:val="32"/>
          <w:szCs w:val="32"/>
        </w:rPr>
      </w:pPr>
      <w:bookmarkStart w:id="131" w:name="_Toc12424_WPSOffice_Level2"/>
      <w:bookmarkStart w:id="132" w:name="_Toc25694_WPSOffice_Level2"/>
      <w:r>
        <w:rPr>
          <w:rFonts w:eastAsia="黑体"/>
          <w:sz w:val="32"/>
          <w:szCs w:val="32"/>
        </w:rPr>
        <w:t>四、项目绩效情况</w:t>
      </w:r>
      <w:bookmarkEnd w:id="131"/>
      <w:bookmarkEnd w:id="132"/>
      <w:r>
        <w:rPr>
          <w:rFonts w:eastAsia="黑体"/>
          <w:sz w:val="32"/>
          <w:szCs w:val="32"/>
        </w:rPr>
        <w:tab/>
      </w:r>
    </w:p>
    <w:p>
      <w:pPr>
        <w:spacing w:line="560" w:lineRule="exact"/>
        <w:ind w:firstLine="640" w:firstLineChars="200"/>
        <w:rPr>
          <w:rFonts w:eastAsia="楷体_GB2312"/>
          <w:sz w:val="32"/>
          <w:szCs w:val="32"/>
        </w:rPr>
      </w:pPr>
      <w:r>
        <w:rPr>
          <w:rFonts w:eastAsia="楷体_GB2312"/>
          <w:sz w:val="32"/>
          <w:szCs w:val="32"/>
        </w:rPr>
        <w:t>（一）项目完成情况。</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专项用于保障了县内困难人群、农民工、低保人员等援助对象的法律援助诉求，促进了依法治县和法治政府建设，提高了法律知晓度和法律维权意识，解决了困难人群的基本法律咨询和援助问题。</w:t>
      </w:r>
    </w:p>
    <w:p>
      <w:pPr>
        <w:spacing w:line="560" w:lineRule="exact"/>
        <w:ind w:firstLine="640" w:firstLineChars="200"/>
        <w:rPr>
          <w:rFonts w:eastAsia="楷体_GB2312"/>
          <w:sz w:val="32"/>
          <w:szCs w:val="32"/>
        </w:rPr>
      </w:pPr>
      <w:r>
        <w:rPr>
          <w:rFonts w:eastAsia="楷体_GB2312"/>
          <w:sz w:val="32"/>
          <w:szCs w:val="32"/>
        </w:rPr>
        <w:t>（二）项目效益情况。</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促进了依法治县和法治政府建设，提高了法律知晓度和法律维权意识，解决了困难人群的基本法律咨询和援助问题。</w:t>
      </w:r>
    </w:p>
    <w:p>
      <w:pPr>
        <w:spacing w:line="560" w:lineRule="exact"/>
        <w:ind w:firstLine="640" w:firstLineChars="200"/>
        <w:rPr>
          <w:rFonts w:eastAsia="黑体"/>
          <w:sz w:val="32"/>
          <w:szCs w:val="32"/>
        </w:rPr>
      </w:pPr>
      <w:bookmarkStart w:id="133" w:name="_Toc19668_WPSOffice_Level2"/>
      <w:bookmarkStart w:id="134" w:name="_Toc21677_WPSOffice_Level2"/>
      <w:r>
        <w:rPr>
          <w:rFonts w:eastAsia="黑体"/>
          <w:sz w:val="32"/>
          <w:szCs w:val="32"/>
        </w:rPr>
        <w:t>五、评价结论及建议</w:t>
      </w:r>
      <w:bookmarkEnd w:id="133"/>
      <w:bookmarkEnd w:id="134"/>
    </w:p>
    <w:p>
      <w:pPr>
        <w:spacing w:line="560" w:lineRule="exact"/>
        <w:ind w:firstLine="640" w:firstLineChars="200"/>
        <w:rPr>
          <w:rFonts w:eastAsia="楷体_GB2312"/>
          <w:sz w:val="32"/>
          <w:szCs w:val="32"/>
        </w:rPr>
      </w:pPr>
      <w:r>
        <w:rPr>
          <w:rFonts w:eastAsia="楷体_GB2312"/>
          <w:sz w:val="32"/>
          <w:szCs w:val="32"/>
        </w:rPr>
        <w:t>（一）评价结论。</w:t>
      </w:r>
    </w:p>
    <w:p>
      <w:pPr>
        <w:spacing w:line="560" w:lineRule="exact"/>
        <w:ind w:firstLine="640" w:firstLineChars="200"/>
        <w:rPr>
          <w:rFonts w:eastAsia="仿宋_GB2312"/>
          <w:sz w:val="32"/>
          <w:szCs w:val="32"/>
        </w:rPr>
      </w:pPr>
      <w:r>
        <w:rPr>
          <w:rFonts w:hint="eastAsia" w:eastAsia="仿宋_GB2312"/>
          <w:sz w:val="32"/>
          <w:szCs w:val="32"/>
        </w:rPr>
        <w:t>经初步评价</w:t>
      </w:r>
      <w:r>
        <w:rPr>
          <w:rFonts w:hint="eastAsia" w:ascii="仿宋_GB2312" w:hAnsi="仿宋" w:eastAsia="仿宋_GB2312"/>
          <w:sz w:val="32"/>
          <w:szCs w:val="32"/>
        </w:rPr>
        <w:t>，项目资金申报与项目实际相符；资金支出时间节点较为及时，不存在截留挪用专项资金的违规情况；资金支出按程序审批，合法、合规；资金使用目标明确，受益群体满意度较高，全面达到预期目标</w:t>
      </w:r>
      <w:r>
        <w:rPr>
          <w:rFonts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（二）存在的问题。</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1. 绩效目标设立不够明确、细化和量化。项目单位虽然设立了项目资金绩效目标，但目标不够明确、细化和量化。</w:t>
      </w:r>
    </w:p>
    <w:p>
      <w:pPr>
        <w:pStyle w:val="16"/>
        <w:spacing w:before="0" w:beforeAutospacing="0" w:after="0" w:afterAutospacing="0" w:line="560" w:lineRule="exact"/>
        <w:ind w:firstLine="640" w:firstLineChars="200"/>
        <w:jc w:val="both"/>
        <w:rPr>
          <w:sz w:val="32"/>
          <w:szCs w:val="32"/>
        </w:rPr>
      </w:pPr>
      <w:r>
        <w:rPr>
          <w:rFonts w:hint="eastAsia" w:ascii="仿宋_GB2312" w:hAnsi="仿宋_GB2312" w:cs="仿宋_GB2312"/>
          <w:kern w:val="2"/>
          <w:sz w:val="32"/>
          <w:szCs w:val="32"/>
        </w:rPr>
        <w:t>2. 资金使用效益有待进一步提高。</w:t>
      </w:r>
      <w:r>
        <w:rPr>
          <w:sz w:val="32"/>
          <w:szCs w:val="32"/>
        </w:rPr>
        <w:tab/>
      </w:r>
    </w:p>
    <w:p>
      <w:pPr>
        <w:spacing w:line="560" w:lineRule="exact"/>
        <w:ind w:firstLine="640" w:firstLineChars="200"/>
        <w:rPr>
          <w:rFonts w:eastAsia="楷体_GB2312"/>
          <w:sz w:val="32"/>
          <w:szCs w:val="32"/>
        </w:rPr>
      </w:pPr>
      <w:r>
        <w:rPr>
          <w:rFonts w:eastAsia="楷体_GB2312"/>
          <w:sz w:val="32"/>
          <w:szCs w:val="32"/>
        </w:rPr>
        <w:t>（三）相关建议。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1.遵循先有预算、后有支出的原则，加强机关财务管理，严禁超预算和无预算安排支出，严格开支范围和标准。 </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pPr>
        <w:pStyle w:val="16"/>
        <w:spacing w:before="0" w:beforeAutospacing="0" w:after="0" w:afterAutospacing="0" w:line="560" w:lineRule="exact"/>
        <w:ind w:firstLine="640" w:firstLineChars="200"/>
        <w:jc w:val="both"/>
      </w:pPr>
      <w:r>
        <w:rPr>
          <w:rFonts w:hint="eastAsia" w:ascii="仿宋_GB2312" w:hAnsi="仿宋_GB2312" w:cs="仿宋_GB2312"/>
          <w:kern w:val="2"/>
          <w:sz w:val="32"/>
          <w:szCs w:val="32"/>
        </w:rPr>
        <w:t>3.预算财务分析常态化，定期做好预算支出财务分析，做好部门绩效评价工作。</w:t>
      </w:r>
    </w:p>
    <w:p>
      <w:pPr>
        <w:pStyle w:val="2"/>
        <w:rPr>
          <w:rStyle w:val="32"/>
          <w:rFonts w:ascii="黑体" w:hAnsi="黑体" w:eastAsia="黑体"/>
          <w:b w:val="0"/>
          <w:bCs/>
        </w:rPr>
      </w:pPr>
    </w:p>
    <w:p>
      <w:pPr>
        <w:widowControl/>
        <w:jc w:val="left"/>
        <w:rPr>
          <w:rStyle w:val="32"/>
          <w:rFonts w:ascii="黑体" w:hAnsi="黑体" w:eastAsia="黑体"/>
          <w:b w:val="0"/>
        </w:rPr>
      </w:pPr>
      <w:r>
        <w:rPr>
          <w:rStyle w:val="32"/>
          <w:rFonts w:ascii="黑体" w:hAnsi="黑体" w:eastAsia="黑体"/>
          <w:b w:val="0"/>
        </w:rPr>
        <w:br w:type="page"/>
      </w:r>
    </w:p>
    <w:p>
      <w:pPr>
        <w:spacing w:line="600" w:lineRule="exact"/>
        <w:jc w:val="center"/>
        <w:outlineLvl w:val="0"/>
        <w:rPr>
          <w:rFonts w:ascii="仿宋" w:hAnsi="仿宋" w:eastAsia="仿宋"/>
        </w:rPr>
      </w:pPr>
      <w:bookmarkStart w:id="135" w:name="_Toc15396618"/>
      <w:bookmarkStart w:id="136" w:name="_Toc32520_WPSOffice_Level1"/>
      <w:r>
        <w:rPr>
          <w:rFonts w:hint="eastAsia" w:ascii="黑体" w:hAnsi="黑体" w:eastAsia="黑体"/>
          <w:sz w:val="44"/>
          <w:szCs w:val="44"/>
        </w:rPr>
        <w:t>第</w:t>
      </w:r>
      <w:r>
        <w:rPr>
          <w:rStyle w:val="32"/>
          <w:rFonts w:hint="eastAsia" w:ascii="黑体" w:hAnsi="黑体" w:eastAsia="黑体"/>
          <w:b w:val="0"/>
        </w:rPr>
        <w:t>五部分 附表</w:t>
      </w:r>
      <w:bookmarkEnd w:id="87"/>
      <w:bookmarkEnd w:id="135"/>
      <w:bookmarkEnd w:id="136"/>
      <w:bookmarkStart w:id="137" w:name="_Toc15396619"/>
    </w:p>
    <w:p>
      <w:pPr>
        <w:pStyle w:val="4"/>
        <w:rPr>
          <w:rStyle w:val="33"/>
          <w:rFonts w:ascii="仿宋" w:hAnsi="仿宋" w:eastAsia="仿宋"/>
          <w:b w:val="0"/>
          <w:bCs w:val="0"/>
        </w:rPr>
      </w:pPr>
      <w:bookmarkStart w:id="138" w:name="_Toc25045_WPSOffice_Level2"/>
      <w:r>
        <w:rPr>
          <w:rFonts w:hint="eastAsia" w:ascii="仿宋" w:hAnsi="仿宋" w:eastAsia="仿宋"/>
          <w:b w:val="0"/>
        </w:rPr>
        <w:t>一、收</w:t>
      </w:r>
      <w:r>
        <w:rPr>
          <w:rStyle w:val="33"/>
          <w:rFonts w:hint="eastAsia" w:ascii="仿宋" w:hAnsi="仿宋" w:eastAsia="仿宋"/>
          <w:b w:val="0"/>
          <w:bCs w:val="0"/>
        </w:rPr>
        <w:t>入支出决算总表</w:t>
      </w:r>
      <w:bookmarkEnd w:id="137"/>
      <w:bookmarkEnd w:id="138"/>
    </w:p>
    <w:p>
      <w:r>
        <w:drawing>
          <wp:inline distT="0" distB="0" distL="114300" distR="114300">
            <wp:extent cx="5267960" cy="4381500"/>
            <wp:effectExtent l="0" t="0" r="889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267960" cy="4381500"/>
                    </a:xfrm>
                    <a:prstGeom prst="rect">
                      <a:avLst/>
                    </a:prstGeom>
                    <a:noFill/>
                    <a:ln>
                      <a:noFill/>
                    </a:ln>
                  </pic:spPr>
                </pic:pic>
              </a:graphicData>
            </a:graphic>
          </wp:inline>
        </w:drawing>
      </w:r>
    </w:p>
    <w:p>
      <w:pPr>
        <w:pStyle w:val="4"/>
        <w:ind w:left="420" w:leftChars="200"/>
        <w:rPr>
          <w:rStyle w:val="33"/>
          <w:rFonts w:ascii="仿宋" w:hAnsi="仿宋" w:eastAsia="仿宋"/>
          <w:b w:val="0"/>
          <w:bCs w:val="0"/>
        </w:rPr>
      </w:pPr>
      <w:bookmarkStart w:id="139" w:name="_Toc32020_WPSOffice_Level2"/>
      <w:bookmarkStart w:id="140" w:name="_Toc15396620"/>
      <w:r>
        <w:rPr>
          <w:rFonts w:hint="eastAsia" w:ascii="仿宋" w:hAnsi="仿宋" w:eastAsia="仿宋"/>
          <w:b w:val="0"/>
        </w:rPr>
        <w:t>二、收</w:t>
      </w:r>
      <w:r>
        <w:rPr>
          <w:rStyle w:val="33"/>
          <w:rFonts w:hint="eastAsia" w:ascii="仿宋" w:hAnsi="仿宋" w:eastAsia="仿宋"/>
          <w:b w:val="0"/>
          <w:bCs w:val="0"/>
        </w:rPr>
        <w:t>入决算表</w:t>
      </w:r>
      <w:bookmarkEnd w:id="139"/>
      <w:bookmarkEnd w:id="140"/>
    </w:p>
    <w:p>
      <w:pPr>
        <w:ind w:left="420" w:leftChars="200"/>
      </w:pPr>
      <w:r>
        <w:drawing>
          <wp:inline distT="0" distB="0" distL="114300" distR="114300">
            <wp:extent cx="5266690" cy="2797810"/>
            <wp:effectExtent l="0" t="0" r="10160" b="25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4"/>
                    <a:stretch>
                      <a:fillRect/>
                    </a:stretch>
                  </pic:blipFill>
                  <pic:spPr>
                    <a:xfrm>
                      <a:off x="0" y="0"/>
                      <a:ext cx="5266690" cy="279781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41" w:name="_Toc15396621"/>
      <w:bookmarkStart w:id="142" w:name="_Toc5316_WPSOffice_Level2"/>
      <w:r>
        <w:rPr>
          <w:rFonts w:hint="eastAsia" w:ascii="仿宋" w:hAnsi="仿宋" w:eastAsia="仿宋"/>
          <w:b w:val="0"/>
        </w:rPr>
        <w:t>支</w:t>
      </w:r>
      <w:r>
        <w:rPr>
          <w:rStyle w:val="33"/>
          <w:rFonts w:hint="eastAsia" w:ascii="仿宋" w:hAnsi="仿宋" w:eastAsia="仿宋"/>
          <w:b w:val="0"/>
          <w:bCs w:val="0"/>
        </w:rPr>
        <w:t>出决算表</w:t>
      </w:r>
      <w:bookmarkEnd w:id="141"/>
      <w:bookmarkEnd w:id="142"/>
    </w:p>
    <w:p>
      <w:pPr>
        <w:ind w:left="420" w:leftChars="200"/>
      </w:pPr>
      <w:r>
        <w:drawing>
          <wp:inline distT="0" distB="0" distL="114300" distR="114300">
            <wp:extent cx="5265420" cy="3117215"/>
            <wp:effectExtent l="0" t="0" r="11430" b="698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tretch>
                      <a:fillRect/>
                    </a:stretch>
                  </pic:blipFill>
                  <pic:spPr>
                    <a:xfrm>
                      <a:off x="0" y="0"/>
                      <a:ext cx="5265420" cy="3117215"/>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43" w:name="_Toc15396622"/>
      <w:bookmarkStart w:id="144" w:name="_Toc26841_WPSOffice_Level2"/>
      <w:r>
        <w:rPr>
          <w:rFonts w:hint="eastAsia" w:ascii="仿宋" w:hAnsi="仿宋" w:eastAsia="仿宋"/>
          <w:b w:val="0"/>
        </w:rPr>
        <w:t>财</w:t>
      </w:r>
      <w:r>
        <w:rPr>
          <w:rStyle w:val="33"/>
          <w:rFonts w:hint="eastAsia" w:ascii="仿宋" w:hAnsi="仿宋" w:eastAsia="仿宋"/>
          <w:b w:val="0"/>
          <w:bCs w:val="0"/>
        </w:rPr>
        <w:t>政拨款收入支出决算总表</w:t>
      </w:r>
      <w:bookmarkEnd w:id="143"/>
      <w:bookmarkEnd w:id="144"/>
    </w:p>
    <w:p>
      <w:pPr>
        <w:ind w:left="420" w:leftChars="200"/>
      </w:pPr>
      <w:r>
        <w:drawing>
          <wp:inline distT="0" distB="0" distL="114300" distR="114300">
            <wp:extent cx="5272405" cy="3910330"/>
            <wp:effectExtent l="0" t="0" r="4445" b="139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6"/>
                    <a:stretch>
                      <a:fillRect/>
                    </a:stretch>
                  </pic:blipFill>
                  <pic:spPr>
                    <a:xfrm>
                      <a:off x="0" y="0"/>
                      <a:ext cx="5272405" cy="391033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45" w:name="_Toc15396623"/>
      <w:bookmarkStart w:id="146" w:name="_Toc21729_WPSOffice_Level2"/>
      <w:r>
        <w:rPr>
          <w:rFonts w:hint="eastAsia" w:ascii="仿宋" w:hAnsi="仿宋" w:eastAsia="仿宋"/>
          <w:b w:val="0"/>
        </w:rPr>
        <w:t>财</w:t>
      </w:r>
      <w:r>
        <w:rPr>
          <w:rStyle w:val="33"/>
          <w:rFonts w:hint="eastAsia" w:ascii="仿宋" w:hAnsi="仿宋" w:eastAsia="仿宋"/>
          <w:b w:val="0"/>
          <w:bCs w:val="0"/>
        </w:rPr>
        <w:t>政拨款支出决算明细表</w:t>
      </w:r>
      <w:bookmarkEnd w:id="145"/>
      <w:bookmarkEnd w:id="146"/>
      <w:bookmarkStart w:id="147" w:name="_Toc15396624"/>
    </w:p>
    <w:p>
      <w:pPr>
        <w:ind w:left="420" w:leftChars="200"/>
      </w:pPr>
      <w:r>
        <w:drawing>
          <wp:inline distT="0" distB="0" distL="114300" distR="114300">
            <wp:extent cx="5265420" cy="8855710"/>
            <wp:effectExtent l="0" t="0" r="11430" b="25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7"/>
                    <a:stretch>
                      <a:fillRect/>
                    </a:stretch>
                  </pic:blipFill>
                  <pic:spPr>
                    <a:xfrm>
                      <a:off x="0" y="0"/>
                      <a:ext cx="5265420" cy="885571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48" w:name="_Toc27359_WPSOffice_Level2"/>
      <w:r>
        <w:rPr>
          <w:rFonts w:hint="eastAsia" w:ascii="仿宋" w:hAnsi="仿宋" w:eastAsia="仿宋"/>
          <w:b w:val="0"/>
        </w:rPr>
        <w:t>一</w:t>
      </w:r>
      <w:r>
        <w:rPr>
          <w:rStyle w:val="33"/>
          <w:rFonts w:hint="eastAsia" w:ascii="仿宋" w:hAnsi="仿宋" w:eastAsia="仿宋"/>
          <w:b w:val="0"/>
          <w:bCs w:val="0"/>
        </w:rPr>
        <w:t>般公共预算财政拨款支出决算表</w:t>
      </w:r>
      <w:bookmarkEnd w:id="147"/>
      <w:bookmarkEnd w:id="148"/>
    </w:p>
    <w:p>
      <w:pPr>
        <w:ind w:left="420" w:leftChars="200"/>
      </w:pPr>
      <w:r>
        <w:drawing>
          <wp:inline distT="0" distB="0" distL="114300" distR="114300">
            <wp:extent cx="5267960" cy="4185920"/>
            <wp:effectExtent l="0" t="0" r="8890" b="508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8"/>
                    <a:stretch>
                      <a:fillRect/>
                    </a:stretch>
                  </pic:blipFill>
                  <pic:spPr>
                    <a:xfrm>
                      <a:off x="0" y="0"/>
                      <a:ext cx="5267960" cy="418592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49" w:name="_Toc15396625"/>
      <w:bookmarkStart w:id="150" w:name="_Toc8653_WPSOffice_Level2"/>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149"/>
      <w:bookmarkEnd w:id="150"/>
    </w:p>
    <w:p>
      <w:pPr>
        <w:ind w:left="420" w:leftChars="200"/>
      </w:pPr>
      <w:r>
        <w:drawing>
          <wp:inline distT="0" distB="0" distL="114300" distR="114300">
            <wp:extent cx="5270500" cy="3529965"/>
            <wp:effectExtent l="0" t="0" r="6350" b="1333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9"/>
                    <a:stretch>
                      <a:fillRect/>
                    </a:stretch>
                  </pic:blipFill>
                  <pic:spPr>
                    <a:xfrm>
                      <a:off x="0" y="0"/>
                      <a:ext cx="5270500" cy="3529965"/>
                    </a:xfrm>
                    <a:prstGeom prst="rect">
                      <a:avLst/>
                    </a:prstGeom>
                    <a:noFill/>
                    <a:ln>
                      <a:noFill/>
                    </a:ln>
                  </pic:spPr>
                </pic:pic>
              </a:graphicData>
            </a:graphic>
          </wp:inline>
        </w:drawing>
      </w:r>
    </w:p>
    <w:p>
      <w:pPr>
        <w:pStyle w:val="2"/>
        <w:jc w:val="both"/>
      </w:pPr>
      <w:r>
        <w:drawing>
          <wp:inline distT="0" distB="0" distL="114300" distR="114300">
            <wp:extent cx="5855335" cy="2987040"/>
            <wp:effectExtent l="0" t="0" r="12065" b="381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0"/>
                    <a:stretch>
                      <a:fillRect/>
                    </a:stretch>
                  </pic:blipFill>
                  <pic:spPr>
                    <a:xfrm>
                      <a:off x="0" y="0"/>
                      <a:ext cx="5855335" cy="2987040"/>
                    </a:xfrm>
                    <a:prstGeom prst="rect">
                      <a:avLst/>
                    </a:prstGeom>
                    <a:noFill/>
                    <a:ln>
                      <a:noFill/>
                    </a:ln>
                  </pic:spPr>
                </pic:pic>
              </a:graphicData>
            </a:graphic>
          </wp:inline>
        </w:drawing>
      </w:r>
    </w:p>
    <w:p>
      <w:pPr>
        <w:pStyle w:val="2"/>
        <w:jc w:val="both"/>
      </w:pPr>
      <w:r>
        <w:drawing>
          <wp:inline distT="0" distB="0" distL="114300" distR="114300">
            <wp:extent cx="5265420" cy="3843020"/>
            <wp:effectExtent l="0" t="0" r="11430" b="508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1"/>
                    <a:stretch>
                      <a:fillRect/>
                    </a:stretch>
                  </pic:blipFill>
                  <pic:spPr>
                    <a:xfrm>
                      <a:off x="0" y="0"/>
                      <a:ext cx="5265420" cy="3843020"/>
                    </a:xfrm>
                    <a:prstGeom prst="rect">
                      <a:avLst/>
                    </a:prstGeom>
                    <a:noFill/>
                    <a:ln>
                      <a:noFill/>
                    </a:ln>
                  </pic:spPr>
                </pic:pic>
              </a:graphicData>
            </a:graphic>
          </wp:inline>
        </w:drawing>
      </w:r>
    </w:p>
    <w:p>
      <w:pPr>
        <w:pStyle w:val="2"/>
        <w:jc w:val="both"/>
      </w:pPr>
      <w:r>
        <w:drawing>
          <wp:inline distT="0" distB="0" distL="114300" distR="114300">
            <wp:extent cx="5958840" cy="3874770"/>
            <wp:effectExtent l="0" t="0" r="3810" b="1143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2"/>
                    <a:stretch>
                      <a:fillRect/>
                    </a:stretch>
                  </pic:blipFill>
                  <pic:spPr>
                    <a:xfrm>
                      <a:off x="0" y="0"/>
                      <a:ext cx="5958840" cy="387477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51" w:name="_Toc15548_WPSOffice_Level2"/>
      <w:bookmarkStart w:id="152" w:name="_Toc15396626"/>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151"/>
      <w:bookmarkEnd w:id="152"/>
    </w:p>
    <w:p>
      <w:pPr>
        <w:ind w:left="420" w:leftChars="200"/>
      </w:pPr>
      <w:r>
        <w:drawing>
          <wp:inline distT="0" distB="0" distL="114300" distR="114300">
            <wp:extent cx="5267960" cy="3090545"/>
            <wp:effectExtent l="0" t="0" r="8890" b="1460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3"/>
                    <a:stretch>
                      <a:fillRect/>
                    </a:stretch>
                  </pic:blipFill>
                  <pic:spPr>
                    <a:xfrm>
                      <a:off x="0" y="0"/>
                      <a:ext cx="5267960" cy="3090545"/>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53" w:name="_Toc28022_WPSOffice_Level2"/>
      <w:bookmarkStart w:id="154" w:name="_Toc15396627"/>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153"/>
      <w:bookmarkEnd w:id="154"/>
    </w:p>
    <w:p>
      <w:pPr>
        <w:ind w:left="420" w:leftChars="200"/>
      </w:pPr>
      <w:r>
        <w:drawing>
          <wp:inline distT="0" distB="0" distL="114300" distR="114300">
            <wp:extent cx="5272405" cy="3126740"/>
            <wp:effectExtent l="0" t="0" r="4445" b="1651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4"/>
                    <a:stretch>
                      <a:fillRect/>
                    </a:stretch>
                  </pic:blipFill>
                  <pic:spPr>
                    <a:xfrm>
                      <a:off x="0" y="0"/>
                      <a:ext cx="5272405" cy="312674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55" w:name="_Toc21668_WPSOffice_Level2"/>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155"/>
    </w:p>
    <w:p>
      <w:pPr>
        <w:ind w:left="420" w:leftChars="200"/>
      </w:pPr>
      <w:r>
        <w:drawing>
          <wp:inline distT="0" distB="0" distL="114300" distR="114300">
            <wp:extent cx="5272405" cy="1691005"/>
            <wp:effectExtent l="0" t="0" r="4445" b="444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25"/>
                    <a:stretch>
                      <a:fillRect/>
                    </a:stretch>
                  </pic:blipFill>
                  <pic:spPr>
                    <a:xfrm>
                      <a:off x="0" y="0"/>
                      <a:ext cx="5272405" cy="1691005"/>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56" w:name="_Toc31032_WPSOffice_Level2"/>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156"/>
    </w:p>
    <w:p>
      <w:pPr>
        <w:ind w:left="420" w:leftChars="200"/>
      </w:pPr>
      <w:r>
        <w:drawing>
          <wp:inline distT="0" distB="0" distL="114300" distR="114300">
            <wp:extent cx="5271135" cy="2410460"/>
            <wp:effectExtent l="0" t="0" r="5715" b="889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26"/>
                    <a:stretch>
                      <a:fillRect/>
                    </a:stretch>
                  </pic:blipFill>
                  <pic:spPr>
                    <a:xfrm>
                      <a:off x="0" y="0"/>
                      <a:ext cx="5271135" cy="241046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57" w:name="_Toc27284_WPSOffice_Level2"/>
      <w:r>
        <w:rPr>
          <w:rStyle w:val="33"/>
          <w:rFonts w:hint="eastAsia" w:ascii="仿宋" w:hAnsi="仿宋" w:eastAsia="仿宋"/>
          <w:b w:val="0"/>
          <w:bCs w:val="0"/>
        </w:rPr>
        <w:t>国有资本经营预算财政拨款支出决算表</w:t>
      </w:r>
      <w:bookmarkEnd w:id="157"/>
    </w:p>
    <w:p>
      <w:pPr>
        <w:ind w:left="420" w:leftChars="200"/>
      </w:pPr>
      <w:r>
        <w:drawing>
          <wp:inline distT="0" distB="0" distL="114300" distR="114300">
            <wp:extent cx="5269865" cy="2543810"/>
            <wp:effectExtent l="0" t="0" r="6985" b="8890"/>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27"/>
                    <a:stretch>
                      <a:fillRect/>
                    </a:stretch>
                  </pic:blipFill>
                  <pic:spPr>
                    <a:xfrm>
                      <a:off x="0" y="0"/>
                      <a:ext cx="5269865" cy="2543810"/>
                    </a:xfrm>
                    <a:prstGeom prst="rect">
                      <a:avLst/>
                    </a:prstGeom>
                    <a:noFill/>
                    <a:ln>
                      <a:noFill/>
                    </a:ln>
                  </pic:spPr>
                </pic:pic>
              </a:graphicData>
            </a:graphic>
          </wp:inline>
        </w:drawing>
      </w:r>
    </w:p>
    <w:p>
      <w:pPr>
        <w:pStyle w:val="4"/>
        <w:numPr>
          <w:ilvl w:val="0"/>
          <w:numId w:val="6"/>
        </w:numPr>
        <w:ind w:firstLine="640" w:firstLineChars="200"/>
        <w:rPr>
          <w:rStyle w:val="33"/>
          <w:rFonts w:ascii="仿宋" w:hAnsi="仿宋" w:eastAsia="仿宋"/>
          <w:b w:val="0"/>
          <w:bCs w:val="0"/>
        </w:rPr>
      </w:pPr>
      <w:bookmarkStart w:id="158" w:name="_Toc28898_WPSOffice_Level2"/>
      <w:r>
        <w:rPr>
          <w:rStyle w:val="33"/>
          <w:rFonts w:hint="eastAsia" w:ascii="仿宋" w:hAnsi="仿宋" w:eastAsia="仿宋"/>
          <w:b w:val="0"/>
          <w:bCs w:val="0"/>
        </w:rPr>
        <w:t>财政拨款“三公”经费支出决算表</w:t>
      </w:r>
      <w:bookmarkEnd w:id="158"/>
    </w:p>
    <w:p>
      <w:pPr>
        <w:ind w:left="420" w:leftChars="200"/>
      </w:pPr>
      <w:r>
        <w:drawing>
          <wp:inline distT="0" distB="0" distL="114300" distR="114300">
            <wp:extent cx="5269230" cy="1087755"/>
            <wp:effectExtent l="0" t="0" r="7620" b="17145"/>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8"/>
                    <a:stretch>
                      <a:fillRect/>
                    </a:stretch>
                  </pic:blipFill>
                  <pic:spPr>
                    <a:xfrm>
                      <a:off x="0" y="0"/>
                      <a:ext cx="5269230" cy="1087755"/>
                    </a:xfrm>
                    <a:prstGeom prst="rect">
                      <a:avLst/>
                    </a:prstGeom>
                    <a:noFill/>
                    <a:ln>
                      <a:noFill/>
                    </a:ln>
                  </pic:spPr>
                </pic:pic>
              </a:graphicData>
            </a:graphic>
          </wp:inline>
        </w:drawing>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26</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5954520"/>
    <w:multiLevelType w:val="singleLevel"/>
    <w:tmpl w:val="25954520"/>
    <w:lvl w:ilvl="0" w:tentative="0">
      <w:start w:val="1"/>
      <w:numFmt w:val="chineseCounting"/>
      <w:suff w:val="nothing"/>
      <w:lvlText w:val="%1、"/>
      <w:lvlJc w:val="left"/>
      <w:rPr>
        <w:rFonts w:hint="eastAsia"/>
      </w:rPr>
    </w:lvl>
  </w:abstractNum>
  <w:abstractNum w:abstractNumId="4">
    <w:nsid w:val="5F8519F5"/>
    <w:multiLevelType w:val="singleLevel"/>
    <w:tmpl w:val="5F8519F5"/>
    <w:lvl w:ilvl="0" w:tentative="0">
      <w:start w:val="2"/>
      <w:numFmt w:val="chineseCounting"/>
      <w:suff w:val="nothing"/>
      <w:lvlText w:val="%1、"/>
      <w:lvlJc w:val="left"/>
    </w:lvl>
  </w:abstractNum>
  <w:abstractNum w:abstractNumId="5">
    <w:nsid w:val="5F89045C"/>
    <w:multiLevelType w:val="singleLevel"/>
    <w:tmpl w:val="5F89045C"/>
    <w:lvl w:ilvl="0" w:tentative="0">
      <w:start w:val="3"/>
      <w:numFmt w:val="chineseCounting"/>
      <w:suff w:val="nothing"/>
      <w:lvlText w:val="（%1）"/>
      <w:lvlJc w:val="left"/>
    </w:lvl>
  </w:abstractNum>
  <w:abstractNum w:abstractNumId="6">
    <w:nsid w:val="61319331"/>
    <w:multiLevelType w:val="singleLevel"/>
    <w:tmpl w:val="61319331"/>
    <w:lvl w:ilvl="0" w:tentative="0">
      <w:start w:val="1"/>
      <w:numFmt w:val="chineseCounting"/>
      <w:suff w:val="nothing"/>
      <w:lvlText w:val="（%1）"/>
      <w:lvlJc w:val="left"/>
    </w:lvl>
  </w:abstractNum>
  <w:abstractNum w:abstractNumId="7">
    <w:nsid w:val="6135DEAC"/>
    <w:multiLevelType w:val="singleLevel"/>
    <w:tmpl w:val="6135DEAC"/>
    <w:lvl w:ilvl="0" w:tentative="0">
      <w:start w:val="1"/>
      <w:numFmt w:val="chineseCounting"/>
      <w:suff w:val="nothing"/>
      <w:lvlText w:val="（%1）"/>
      <w:lvlJc w:val="left"/>
    </w:lvl>
  </w:abstractNum>
  <w:abstractNum w:abstractNumId="8">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9">
    <w:nsid w:val="627A298E"/>
    <w:multiLevelType w:val="singleLevel"/>
    <w:tmpl w:val="627A298E"/>
    <w:lvl w:ilvl="0" w:tentative="0">
      <w:start w:val="2"/>
      <w:numFmt w:val="decimal"/>
      <w:suff w:val="nothing"/>
      <w:lvlText w:val="%1."/>
      <w:lvlJc w:val="left"/>
    </w:lvl>
  </w:abstractNum>
  <w:num w:numId="1">
    <w:abstractNumId w:val="3"/>
  </w:num>
  <w:num w:numId="2">
    <w:abstractNumId w:val="8"/>
  </w:num>
  <w:num w:numId="3">
    <w:abstractNumId w:val="2"/>
  </w:num>
  <w:num w:numId="4">
    <w:abstractNumId w:val="0"/>
  </w:num>
  <w:num w:numId="5">
    <w:abstractNumId w:val="1"/>
  </w:num>
  <w:num w:numId="6">
    <w:abstractNumId w:val="4"/>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TMyMjMxYzZhNWY2Mjk4M2EwODJhOWQ3MTc5NGMifQ=="/>
  </w:docVars>
  <w:rsids>
    <w:rsidRoot w:val="00F1361C"/>
    <w:rsid w:val="00004295"/>
    <w:rsid w:val="000142FB"/>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6613"/>
    <w:rsid w:val="000E7119"/>
    <w:rsid w:val="00114E9B"/>
    <w:rsid w:val="00115EF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527F"/>
    <w:rsid w:val="00235629"/>
    <w:rsid w:val="00260C38"/>
    <w:rsid w:val="002616C0"/>
    <w:rsid w:val="00265372"/>
    <w:rsid w:val="002662AA"/>
    <w:rsid w:val="00280496"/>
    <w:rsid w:val="00294DC9"/>
    <w:rsid w:val="00295495"/>
    <w:rsid w:val="002A31DE"/>
    <w:rsid w:val="002A66F7"/>
    <w:rsid w:val="002B2613"/>
    <w:rsid w:val="002D6D05"/>
    <w:rsid w:val="002F1818"/>
    <w:rsid w:val="002F567B"/>
    <w:rsid w:val="003216A9"/>
    <w:rsid w:val="00330F44"/>
    <w:rsid w:val="00335A74"/>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0FE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949C6"/>
    <w:rsid w:val="005B5C64"/>
    <w:rsid w:val="005C5337"/>
    <w:rsid w:val="005C6BD0"/>
    <w:rsid w:val="005D1C8B"/>
    <w:rsid w:val="005D468D"/>
    <w:rsid w:val="005D5CED"/>
    <w:rsid w:val="005D68EB"/>
    <w:rsid w:val="005F1A4C"/>
    <w:rsid w:val="00605688"/>
    <w:rsid w:val="006070AF"/>
    <w:rsid w:val="00607E6C"/>
    <w:rsid w:val="006101B1"/>
    <w:rsid w:val="00614E44"/>
    <w:rsid w:val="0062270A"/>
    <w:rsid w:val="00622830"/>
    <w:rsid w:val="00623DA0"/>
    <w:rsid w:val="00630AEF"/>
    <w:rsid w:val="006325F8"/>
    <w:rsid w:val="00633463"/>
    <w:rsid w:val="00634C9A"/>
    <w:rsid w:val="00642FBC"/>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0CD"/>
    <w:rsid w:val="0076182A"/>
    <w:rsid w:val="00767B7E"/>
    <w:rsid w:val="007770C3"/>
    <w:rsid w:val="00784D24"/>
    <w:rsid w:val="00785FBA"/>
    <w:rsid w:val="00786E4A"/>
    <w:rsid w:val="007875EB"/>
    <w:rsid w:val="0079426B"/>
    <w:rsid w:val="007D1682"/>
    <w:rsid w:val="007D312A"/>
    <w:rsid w:val="007D3F19"/>
    <w:rsid w:val="007E23B0"/>
    <w:rsid w:val="007E23E5"/>
    <w:rsid w:val="007E4CD6"/>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71"/>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3C6A"/>
    <w:rsid w:val="00AC5516"/>
    <w:rsid w:val="00AC611F"/>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77EA6"/>
    <w:rsid w:val="00B81598"/>
    <w:rsid w:val="00B841F1"/>
    <w:rsid w:val="00B90A81"/>
    <w:rsid w:val="00B944D6"/>
    <w:rsid w:val="00BA1C4B"/>
    <w:rsid w:val="00BB4DF0"/>
    <w:rsid w:val="00BC289F"/>
    <w:rsid w:val="00BC2D50"/>
    <w:rsid w:val="00BC5361"/>
    <w:rsid w:val="00BC5460"/>
    <w:rsid w:val="00BC6B50"/>
    <w:rsid w:val="00BD0E25"/>
    <w:rsid w:val="00BD1DF7"/>
    <w:rsid w:val="00BE083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FD5"/>
    <w:rsid w:val="00D00095"/>
    <w:rsid w:val="00D114F0"/>
    <w:rsid w:val="00D20620"/>
    <w:rsid w:val="00D254F7"/>
    <w:rsid w:val="00D26091"/>
    <w:rsid w:val="00D2685C"/>
    <w:rsid w:val="00D34E7C"/>
    <w:rsid w:val="00D35489"/>
    <w:rsid w:val="00D36AFE"/>
    <w:rsid w:val="00D44F82"/>
    <w:rsid w:val="00D51276"/>
    <w:rsid w:val="00D7035F"/>
    <w:rsid w:val="00DA634F"/>
    <w:rsid w:val="00DA65AC"/>
    <w:rsid w:val="00DB1913"/>
    <w:rsid w:val="00DC410D"/>
    <w:rsid w:val="00DC5A81"/>
    <w:rsid w:val="00DC68CA"/>
    <w:rsid w:val="00DC7CBA"/>
    <w:rsid w:val="00DD3668"/>
    <w:rsid w:val="00DD73B7"/>
    <w:rsid w:val="00DF28BC"/>
    <w:rsid w:val="00DF34B9"/>
    <w:rsid w:val="00DF49F1"/>
    <w:rsid w:val="00E01053"/>
    <w:rsid w:val="00E07ACF"/>
    <w:rsid w:val="00E1723B"/>
    <w:rsid w:val="00E331A1"/>
    <w:rsid w:val="00E33202"/>
    <w:rsid w:val="00E336A9"/>
    <w:rsid w:val="00E42087"/>
    <w:rsid w:val="00E472B1"/>
    <w:rsid w:val="00E50624"/>
    <w:rsid w:val="00E5174E"/>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6981"/>
    <w:rsid w:val="00FF1E02"/>
    <w:rsid w:val="00FF30B4"/>
    <w:rsid w:val="015975B8"/>
    <w:rsid w:val="017F09C0"/>
    <w:rsid w:val="02143E91"/>
    <w:rsid w:val="04F946FE"/>
    <w:rsid w:val="066E0107"/>
    <w:rsid w:val="07256E1B"/>
    <w:rsid w:val="07996F6E"/>
    <w:rsid w:val="07FA5F4D"/>
    <w:rsid w:val="0A2032A3"/>
    <w:rsid w:val="0F98263C"/>
    <w:rsid w:val="101860EC"/>
    <w:rsid w:val="10C055FF"/>
    <w:rsid w:val="118107EC"/>
    <w:rsid w:val="13D50BC4"/>
    <w:rsid w:val="16BB723D"/>
    <w:rsid w:val="1BE8440E"/>
    <w:rsid w:val="1D155CEE"/>
    <w:rsid w:val="1FF35744"/>
    <w:rsid w:val="2307126A"/>
    <w:rsid w:val="23860B96"/>
    <w:rsid w:val="240371BF"/>
    <w:rsid w:val="29FD04D3"/>
    <w:rsid w:val="2C0A6A50"/>
    <w:rsid w:val="2C7704CA"/>
    <w:rsid w:val="2C8A61B5"/>
    <w:rsid w:val="2DF04E50"/>
    <w:rsid w:val="2F040D46"/>
    <w:rsid w:val="2FD3515F"/>
    <w:rsid w:val="319F7F4E"/>
    <w:rsid w:val="3304709D"/>
    <w:rsid w:val="36AA5135"/>
    <w:rsid w:val="376D39B2"/>
    <w:rsid w:val="37E16F03"/>
    <w:rsid w:val="38D469F0"/>
    <w:rsid w:val="3C921803"/>
    <w:rsid w:val="3D98207C"/>
    <w:rsid w:val="3E78745D"/>
    <w:rsid w:val="42D51B64"/>
    <w:rsid w:val="44E268DA"/>
    <w:rsid w:val="4A627F82"/>
    <w:rsid w:val="4B0E749A"/>
    <w:rsid w:val="4B4F25DA"/>
    <w:rsid w:val="4BE068DB"/>
    <w:rsid w:val="4CA024D1"/>
    <w:rsid w:val="4D29694D"/>
    <w:rsid w:val="4D577224"/>
    <w:rsid w:val="4EAB630A"/>
    <w:rsid w:val="4ECE2238"/>
    <w:rsid w:val="52B56820"/>
    <w:rsid w:val="537E6D0A"/>
    <w:rsid w:val="56B57B14"/>
    <w:rsid w:val="5AF92295"/>
    <w:rsid w:val="5CD71FC4"/>
    <w:rsid w:val="67931DBA"/>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qFormat/>
    <w:uiPriority w:val="0"/>
    <w:pPr>
      <w:spacing w:line="240" w:lineRule="atLeast"/>
      <w:jc w:val="center"/>
    </w:pPr>
    <w:rPr>
      <w:rFonts w:ascii="Cambria" w:hAnsi="Cambria"/>
      <w:b/>
      <w:bCs/>
      <w:szCs w:val="32"/>
    </w:rPr>
  </w:style>
  <w:style w:type="paragraph" w:styleId="6">
    <w:name w:val="Salutation"/>
    <w:basedOn w:val="1"/>
    <w:next w:val="1"/>
    <w:qFormat/>
    <w:uiPriority w:val="0"/>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_Style 4"/>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9"/>
    <w:link w:val="3"/>
    <w:qFormat/>
    <w:uiPriority w:val="9"/>
    <w:rPr>
      <w:rFonts w:ascii="Times New Roman" w:hAnsi="Times New Roman"/>
      <w:b/>
      <w:bCs/>
      <w:kern w:val="44"/>
      <w:sz w:val="44"/>
      <w:szCs w:val="44"/>
    </w:rPr>
  </w:style>
  <w:style w:type="character" w:customStyle="1" w:styleId="33">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9"/>
    <w:link w:val="11"/>
    <w:semiHidden/>
    <w:qFormat/>
    <w:uiPriority w:val="99"/>
    <w:rPr>
      <w:rFonts w:ascii="Times New Roman" w:hAnsi="Times New Roman"/>
      <w:kern w:val="2"/>
      <w:sz w:val="18"/>
      <w:szCs w:val="18"/>
    </w:rPr>
  </w:style>
  <w:style w:type="character" w:customStyle="1" w:styleId="36">
    <w:name w:val="标题 3 Char"/>
    <w:basedOn w:val="19"/>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常用样式（方正仿宋简）"/>
    <w:basedOn w:val="1"/>
    <w:qFormat/>
    <w:uiPriority w:val="0"/>
    <w:pPr>
      <w:spacing w:line="560" w:lineRule="exact"/>
      <w:ind w:firstLine="640" w:firstLineChars="200"/>
    </w:pPr>
    <w:rPr>
      <w:rFonts w:eastAsia="Times New Roman"/>
      <w:sz w:val="32"/>
      <w:szCs w:val="32"/>
    </w:rPr>
  </w:style>
  <w:style w:type="paragraph" w:customStyle="1" w:styleId="40">
    <w:name w:val="WPSOffice手动目录 1"/>
    <w:uiPriority w:val="0"/>
    <w:rPr>
      <w:rFonts w:ascii="Times New Roman" w:hAnsi="Times New Roman" w:eastAsia="宋体" w:cs="Times New Roman"/>
      <w:lang w:val="en-US" w:eastAsia="zh-CN" w:bidi="ar-SA"/>
    </w:rPr>
  </w:style>
  <w:style w:type="paragraph" w:customStyle="1" w:styleId="41">
    <w:name w:val="WPSOffice手动目录 2"/>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23&#24180;&#24037;&#20316;\2022&#24180;&#20915;&#31639;&#20844;&#24320;\&#21496;&#27861;&#23616;\2021&#20915;&#31639;&#20844;&#24320;&#22270;&#34920;&#21496;&#278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[2021决算公开图表司法.xls]Sheet1!$B$58:$C$58</c:f>
              <c:strCache>
                <c:ptCount val="2"/>
                <c:pt idx="0">
                  <c:v>2021年</c:v>
                </c:pt>
                <c:pt idx="1">
                  <c:v>2022年</c:v>
                </c:pt>
              </c:strCache>
            </c:strRef>
          </c:cat>
          <c:val>
            <c:numRef>
              <c:f>[2021决算公开图表司法.xls]Sheet1!$B$59:$C$59</c:f>
              <c:numCache>
                <c:formatCode>General</c:formatCode>
                <c:ptCount val="2"/>
                <c:pt idx="0">
                  <c:v>1122.88</c:v>
                </c:pt>
                <c:pt idx="1">
                  <c:v>1163.03</c:v>
                </c:pt>
              </c:numCache>
            </c:numRef>
          </c:val>
        </c:ser>
        <c:dLbls>
          <c:showLegendKey val="0"/>
          <c:showVal val="0"/>
          <c:showCatName val="0"/>
          <c:showSerName val="0"/>
          <c:showPercent val="0"/>
          <c:showBubbleSize val="0"/>
        </c:dLbls>
        <c:gapWidth val="150"/>
        <c:axId val="252431360"/>
        <c:axId val="252433152"/>
      </c:barChart>
      <c:catAx>
        <c:axId val="25243136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52433152"/>
        <c:crosses val="autoZero"/>
        <c:auto val="1"/>
        <c:lblAlgn val="ctr"/>
        <c:lblOffset val="100"/>
        <c:noMultiLvlLbl val="0"/>
      </c:catAx>
      <c:valAx>
        <c:axId val="25243315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5243136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5"/>
          <c:y val="0.5075"/>
          <c:w val="0.19475"/>
          <c:h val="0.05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Lbl>
              <c:idx val="3"/>
              <c:layout>
                <c:manualLayout>
                  <c:x val="-0.284553153625834"/>
                  <c:y val="0.0830895660227166"/>
                </c:manualLayout>
              </c:layout>
              <c:dLblPos val="bestFit"/>
              <c:showLegendKey val="1"/>
              <c:showVal val="1"/>
              <c:showCatName val="0"/>
              <c:showSerName val="0"/>
              <c:showPercent val="1"/>
              <c:showBubbleSize val="0"/>
              <c:extLst>
                <c:ext xmlns:c15="http://schemas.microsoft.com/office/drawing/2012/chart" uri="{CE6537A1-D6FC-4f65-9D91-7224C49458BB}">
                  <c15:layout>
                    <c:manualLayout>
                      <c:w val="0.0837624242424242"/>
                      <c:h val="0.151615881809788"/>
                    </c:manualLayout>
                  </c15:layout>
                </c:ext>
              </c:extLst>
            </c:dLbl>
            <c:dLbl>
              <c:idx val="4"/>
              <c:layout>
                <c:manualLayout>
                  <c:x val="-0.284553153625834"/>
                  <c:y val="0.34901754386205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279567024930111"/>
                  <c:y val="0.207743305634905"/>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[2021决算公开图表司法.xls]Sheet1!$C$3:$C$8</c:f>
              <c:numCache>
                <c:formatCode>General</c:formatCode>
                <c:ptCount val="6"/>
                <c:pt idx="0">
                  <c:v>1163.03</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基本支出</a:t>
                    </a:r>
                    <a:r>
                      <a:rPr lang="en-US" altLang="zh-CN"/>
                      <a:t>, 955.59, 82.20%</a:t>
                    </a:r>
                    <a:endParaRPr lang="en-US" altLang="zh-CN"/>
                  </a:p>
                </c:rich>
              </c:tx>
              <c:numFmt formatCode="0.0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1"/>
              <c:layout>
                <c:manualLayout>
                  <c:x val="-0.0882892760446714"/>
                  <c:y val="0.281357767758348"/>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项目支出</a:t>
                    </a:r>
                    <a:r>
                      <a:rPr lang="en-US" altLang="zh-CN"/>
                      <a:t>, 207.04, 17.80%</a:t>
                    </a:r>
                    <a:endParaRPr lang="en-US" altLang="zh-CN"/>
                  </a:p>
                </c:rich>
              </c:tx>
              <c:numFmt formatCode="0.0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06415620641562"/>
                  <c:y val="0.088659032138899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237845517679788"/>
                  <c:y val="0.29200517177927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47045231626224"/>
                  <c:y val="0.12466124861723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[2021决算公开图表司法.xls]Sheet1!$C$34:$C$38</c:f>
              <c:numCache>
                <c:formatCode>General</c:formatCode>
                <c:ptCount val="5"/>
                <c:pt idx="0">
                  <c:v>955.59</c:v>
                </c:pt>
                <c:pt idx="1">
                  <c:v>207.04</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[2021决算公开图表司法.xls]Sheet1!$D$34:$D$38</c:f>
              <c:numCache>
                <c:formatCode>0.00%</c:formatCode>
                <c:ptCount val="5"/>
                <c:pt idx="0">
                  <c:v>0.822</c:v>
                </c:pt>
                <c:pt idx="1">
                  <c:v>0.178</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0906001446131598"/>
          <c:y val="0.198102291136311"/>
          <c:w val="0.583779223909376"/>
          <c:h val="0.677204350844712"/>
        </c:manualLayout>
      </c:layout>
      <c:barChart>
        <c:barDir val="col"/>
        <c:grouping val="clustered"/>
        <c:varyColors val="0"/>
        <c:ser>
          <c:idx val="0"/>
          <c:order val="0"/>
          <c:tx>
            <c:strRef>
              <c:f>[2021决算公开图表司法.xls]Sheet1!$A$169</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[2021决算公开图表司法.xls]Sheet1!$B$168:$C$168</c:f>
              <c:strCache>
                <c:ptCount val="2"/>
                <c:pt idx="0">
                  <c:v>2021年</c:v>
                </c:pt>
                <c:pt idx="1">
                  <c:v>2022年</c:v>
                </c:pt>
              </c:strCache>
            </c:strRef>
          </c:cat>
          <c:val>
            <c:numRef>
              <c:f>[2021决算公开图表司法.xls]Sheet1!$B$169:$C$169</c:f>
              <c:numCache>
                <c:formatCode>General</c:formatCode>
                <c:ptCount val="2"/>
                <c:pt idx="0">
                  <c:v>1122.88</c:v>
                </c:pt>
                <c:pt idx="1">
                  <c:v>1163.03</c:v>
                </c:pt>
              </c:numCache>
            </c:numRef>
          </c:val>
        </c:ser>
        <c:dLbls>
          <c:showLegendKey val="0"/>
          <c:showVal val="0"/>
          <c:showCatName val="0"/>
          <c:showSerName val="0"/>
          <c:showPercent val="0"/>
          <c:showBubbleSize val="0"/>
        </c:dLbls>
        <c:gapWidth val="150"/>
        <c:axId val="252941440"/>
        <c:axId val="252942976"/>
      </c:barChart>
      <c:catAx>
        <c:axId val="25294144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52942976"/>
        <c:crosses val="autoZero"/>
        <c:auto val="1"/>
        <c:lblAlgn val="ctr"/>
        <c:lblOffset val="100"/>
        <c:noMultiLvlLbl val="0"/>
      </c:catAx>
      <c:valAx>
        <c:axId val="25294297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5294144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458423716558"/>
          <c:y val="0.50428141633881"/>
          <c:w val="0.291275006025548"/>
          <c:h val="0.15436241610738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54022157996146"/>
          <c:y val="0.00707547169811321"/>
        </c:manualLayout>
      </c:layout>
      <c:overlay val="0"/>
      <c:spPr>
        <a:noFill/>
        <a:ln w="3175">
          <a:noFill/>
        </a:ln>
      </c:spPr>
    </c:title>
    <c:autoTitleDeleted val="0"/>
    <c:plotArea>
      <c:layout/>
      <c:barChart>
        <c:barDir val="col"/>
        <c:grouping val="clustered"/>
        <c:varyColors val="0"/>
        <c:ser>
          <c:idx val="0"/>
          <c:order val="0"/>
          <c:tx>
            <c:strRef>
              <c:f>[2021决算公开图表司法.xls]Sheet1!$A$85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[2021决算公开图表司法.xls]Sheet1!$B$84:$C$84</c:f>
              <c:strCache>
                <c:ptCount val="2"/>
                <c:pt idx="0">
                  <c:v>2021年</c:v>
                </c:pt>
                <c:pt idx="1">
                  <c:v>2022年</c:v>
                </c:pt>
              </c:strCache>
            </c:strRef>
          </c:cat>
          <c:val>
            <c:numRef>
              <c:f>[2021决算公开图表司法.xls]Sheet1!$B$85:$C$85</c:f>
              <c:numCache>
                <c:formatCode>General</c:formatCode>
                <c:ptCount val="2"/>
                <c:pt idx="0">
                  <c:v>1122.88</c:v>
                </c:pt>
                <c:pt idx="1">
                  <c:v>1163.03</c:v>
                </c:pt>
              </c:numCache>
            </c:numRef>
          </c:val>
        </c:ser>
        <c:dLbls>
          <c:showLegendKey val="0"/>
          <c:showVal val="0"/>
          <c:showCatName val="0"/>
          <c:showSerName val="0"/>
          <c:showPercent val="0"/>
          <c:showBubbleSize val="0"/>
        </c:dLbls>
        <c:gapWidth val="150"/>
        <c:axId val="426839040"/>
        <c:axId val="426840832"/>
      </c:barChart>
      <c:catAx>
        <c:axId val="426839040"/>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26840832"/>
        <c:crosses val="autoZero"/>
        <c:auto val="1"/>
        <c:lblAlgn val="ctr"/>
        <c:lblOffset val="100"/>
        <c:noMultiLvlLbl val="0"/>
      </c:catAx>
      <c:valAx>
        <c:axId val="42684083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26839040"/>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71334276285"/>
          <c:y val="0.505817174515235"/>
          <c:w val="0.30925"/>
          <c:h val="0.186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delete val="1"/>
            </c:dLbl>
            <c:dLbl>
              <c:idx val="1"/>
              <c:layout>
                <c:manualLayout>
                  <c:x val="-0.0721515587162926"/>
                  <c:y val="0.050805786566194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395405625785926"/>
                  <c:y val="0.07077264967459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3597887400671"/>
                  <c:y val="-0.0562885351624409"/>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公共安全支出</a:t>
                    </a:r>
                    <a:r>
                      <a:rPr lang="en-US" altLang="zh-CN"/>
                      <a:t>, 931.96, </a:t>
                    </a:r>
                    <a:r>
                      <a:rPr lang="en-US" altLang="zh-CN" i="1"/>
                      <a:t>80.13%</a:t>
                    </a:r>
                    <a:endParaRPr lang="en-US" altLang="zh-CN" i="1"/>
                  </a:p>
                </c:rich>
              </c:tx>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[2021决算公开图表司法.xls]Sheet1!$B$110:$B$114</c:f>
              <c:numCache>
                <c:formatCode>General</c:formatCode>
                <c:ptCount val="5"/>
                <c:pt idx="1">
                  <c:v>87.95</c:v>
                </c:pt>
                <c:pt idx="2">
                  <c:v>71.84</c:v>
                </c:pt>
                <c:pt idx="3">
                  <c:v>71.28</c:v>
                </c:pt>
                <c:pt idx="4">
                  <c:v>931.96</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[2021决算公开图表司法.xls]Sheet1!$C$110:$C$114</c:f>
              <c:numCache>
                <c:formatCode>General</c:formatCode>
                <c:ptCount val="5"/>
                <c:pt idx="1" c:formatCode="0.00%">
                  <c:v>0.076</c:v>
                </c:pt>
                <c:pt idx="2" c:formatCode="0.00%">
                  <c:v>0.062</c:v>
                </c:pt>
                <c:pt idx="3" c:formatCode="0.00%">
                  <c:v>0.061</c:v>
                </c:pt>
                <c:pt idx="4" c:formatCode="0.00%">
                  <c:v>0.801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egendEntry>
        <c:idx val="0"/>
        <c:delete val="1"/>
      </c:legendEntry>
      <c:layout>
        <c:manualLayout>
          <c:xMode val="edge"/>
          <c:yMode val="edge"/>
          <c:x val="0.759942154736081"/>
          <c:y val="0.422025268715821"/>
          <c:w val="0.234273318872017"/>
          <c:h val="0.54214595511974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7   “</a:t>
            </a:r>
            <a:r>
              <a:rPr lang="zh-CN" altLang="en-US"/>
              <a:t>三公”经费财政拨款支出结构</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manualLayout>
                  <c:x val="0"/>
                  <c:y val="0.0304709141274238"/>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84855465188689"/>
                  <c:y val="0.064414279838287"/>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[2021决算公开图表司法.xls]Sheet1!$C$139:$C$141</c:f>
              <c:numCache>
                <c:formatCode>General</c:formatCode>
                <c:ptCount val="3"/>
                <c:pt idx="0">
                  <c:v>0</c:v>
                </c:pt>
                <c:pt idx="1">
                  <c:v>5.5</c:v>
                </c:pt>
                <c:pt idx="2">
                  <c:v>0.06</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[2021决算公开图表司法.xls]Sheet1!$D$139:$D$141</c:f>
              <c:numCache>
                <c:formatCode>General</c:formatCode>
                <c:ptCount val="3"/>
                <c:pt idx="0">
                  <c:v>0</c:v>
                </c:pt>
                <c:pt idx="1" c:formatCode="0.00%">
                  <c:v>0.989</c:v>
                </c:pt>
                <c:pt idx="2" c:formatCode="0.00%">
                  <c:v>0.011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5"/>
          <c:w val="0.33875"/>
          <c:h val="0.33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b9fdaf-d4e5-4918-a5cd-8329ab8a8be0}"/>
        <w:style w:val=""/>
        <w:category>
          <w:name w:val="常规"/>
          <w:gallery w:val="placeholder"/>
        </w:category>
        <w:types>
          <w:type w:val="bbPlcHdr"/>
        </w:types>
        <w:behaviors>
          <w:behavior w:val="content"/>
        </w:behaviors>
        <w:description w:val=""/>
        <w:guid w:val="{A0B9FDAF-D4E5-4918-A5CD-8329AB8A8BE0}"/>
      </w:docPartPr>
      <w:docPartBody>
        <w:p>
          <w:r>
            <w:rPr>
              <w:color w:val="808080"/>
            </w:rPr>
            <w:t>单击此处输入文字。</w:t>
          </w:r>
        </w:p>
      </w:docPartBody>
    </w:docPart>
    <w:docPart>
      <w:docPartPr>
        <w:name w:val="{d1e47ca3-4198-40fd-ae7f-0bd1ec97bf7f}"/>
        <w:style w:val=""/>
        <w:category>
          <w:name w:val="常规"/>
          <w:gallery w:val="placeholder"/>
        </w:category>
        <w:types>
          <w:type w:val="bbPlcHdr"/>
        </w:types>
        <w:behaviors>
          <w:behavior w:val="content"/>
        </w:behaviors>
        <w:description w:val=""/>
        <w:guid w:val="{D1E47CA3-4198-40FD-AE7F-0BD1EC97BF7F}"/>
      </w:docPartPr>
      <w:docPartBody>
        <w:p>
          <w:r>
            <w:rPr>
              <w:color w:val="808080"/>
            </w:rPr>
            <w:t>单击此处输入文字。</w:t>
          </w:r>
        </w:p>
      </w:docPartBody>
    </w:docPart>
    <w:docPart>
      <w:docPartPr>
        <w:name w:val="{6b3d2850-20d7-48ae-82f8-2756d84fd966}"/>
        <w:style w:val=""/>
        <w:category>
          <w:name w:val="常规"/>
          <w:gallery w:val="placeholder"/>
        </w:category>
        <w:types>
          <w:type w:val="bbPlcHdr"/>
        </w:types>
        <w:behaviors>
          <w:behavior w:val="content"/>
        </w:behaviors>
        <w:description w:val=""/>
        <w:guid w:val="{6B3D2850-20D7-48AE-82F8-2756D84FD966}"/>
      </w:docPartPr>
      <w:docPartBody>
        <w:p>
          <w:r>
            <w:rPr>
              <w:color w:val="808080"/>
            </w:rPr>
            <w:t>单击此处输入文字。</w:t>
          </w:r>
        </w:p>
      </w:docPartBody>
    </w:docPart>
    <w:docPart>
      <w:docPartPr>
        <w:name w:val="{3393a615-28a7-4b7f-950c-73f18dc3938c}"/>
        <w:style w:val=""/>
        <w:category>
          <w:name w:val="常规"/>
          <w:gallery w:val="placeholder"/>
        </w:category>
        <w:types>
          <w:type w:val="bbPlcHdr"/>
        </w:types>
        <w:behaviors>
          <w:behavior w:val="content"/>
        </w:behaviors>
        <w:description w:val=""/>
        <w:guid w:val="{3393A615-28A7-4B7F-950C-73F18DC3938C}"/>
      </w:docPartPr>
      <w:docPartBody>
        <w:p>
          <w:r>
            <w:rPr>
              <w:color w:val="808080"/>
            </w:rPr>
            <w:t>单击此处输入文字。</w:t>
          </w:r>
        </w:p>
      </w:docPartBody>
    </w:docPart>
    <w:docPart>
      <w:docPartPr>
        <w:name w:val="{58b13f6a-1734-4021-9818-1d832eb12731}"/>
        <w:style w:val=""/>
        <w:category>
          <w:name w:val="常规"/>
          <w:gallery w:val="placeholder"/>
        </w:category>
        <w:types>
          <w:type w:val="bbPlcHdr"/>
        </w:types>
        <w:behaviors>
          <w:behavior w:val="content"/>
        </w:behaviors>
        <w:description w:val=""/>
        <w:guid w:val="{58B13F6A-1734-4021-9818-1D832EB12731}"/>
      </w:docPartPr>
      <w:docPartBody>
        <w:p>
          <w:r>
            <w:rPr>
              <w:color w:val="808080"/>
            </w:rPr>
            <w:t>单击此处输入文字。</w:t>
          </w:r>
        </w:p>
      </w:docPartBody>
    </w:docPart>
    <w:docPart>
      <w:docPartPr>
        <w:name w:val="{73122fbf-019f-4984-a938-901af791f77f}"/>
        <w:style w:val=""/>
        <w:category>
          <w:name w:val="常规"/>
          <w:gallery w:val="placeholder"/>
        </w:category>
        <w:types>
          <w:type w:val="bbPlcHdr"/>
        </w:types>
        <w:behaviors>
          <w:behavior w:val="content"/>
        </w:behaviors>
        <w:description w:val=""/>
        <w:guid w:val="{73122FBF-019F-4984-A938-901AF791F77F}"/>
      </w:docPartPr>
      <w:docPartBody>
        <w:p>
          <w:r>
            <w:rPr>
              <w:color w:val="808080"/>
            </w:rPr>
            <w:t>单击此处输入文字。</w:t>
          </w:r>
        </w:p>
      </w:docPartBody>
    </w:docPart>
    <w:docPart>
      <w:docPartPr>
        <w:name w:val="{0e827e37-31b6-4454-a57d-d1a593edbcf7}"/>
        <w:style w:val=""/>
        <w:category>
          <w:name w:val="常规"/>
          <w:gallery w:val="placeholder"/>
        </w:category>
        <w:types>
          <w:type w:val="bbPlcHdr"/>
        </w:types>
        <w:behaviors>
          <w:behavior w:val="content"/>
        </w:behaviors>
        <w:description w:val=""/>
        <w:guid w:val="{0E827E37-31B6-4454-A57D-D1A593EDBCF7}"/>
      </w:docPartPr>
      <w:docPartBody>
        <w:p>
          <w:r>
            <w:rPr>
              <w:color w:val="808080"/>
            </w:rPr>
            <w:t>单击此处输入文字。</w:t>
          </w:r>
        </w:p>
      </w:docPartBody>
    </w:docPart>
    <w:docPart>
      <w:docPartPr>
        <w:name w:val="{e5934a70-381c-4ad3-a4c5-1135ea3459e2}"/>
        <w:style w:val=""/>
        <w:category>
          <w:name w:val="常规"/>
          <w:gallery w:val="placeholder"/>
        </w:category>
        <w:types>
          <w:type w:val="bbPlcHdr"/>
        </w:types>
        <w:behaviors>
          <w:behavior w:val="content"/>
        </w:behaviors>
        <w:description w:val=""/>
        <w:guid w:val="{E5934A70-381C-4AD3-A4C5-1135EA3459E2}"/>
      </w:docPartPr>
      <w:docPartBody>
        <w:p>
          <w:r>
            <w:rPr>
              <w:color w:val="808080"/>
            </w:rPr>
            <w:t>单击此处输入文字。</w:t>
          </w:r>
        </w:p>
      </w:docPartBody>
    </w:docPart>
    <w:docPart>
      <w:docPartPr>
        <w:name w:val="{a04d982a-7eda-43fc-b26e-3fa26fdb7189}"/>
        <w:style w:val=""/>
        <w:category>
          <w:name w:val="常规"/>
          <w:gallery w:val="placeholder"/>
        </w:category>
        <w:types>
          <w:type w:val="bbPlcHdr"/>
        </w:types>
        <w:behaviors>
          <w:behavior w:val="content"/>
        </w:behaviors>
        <w:description w:val=""/>
        <w:guid w:val="{A04D982A-7EDA-43FC-B26E-3FA26FDB7189}"/>
      </w:docPartPr>
      <w:docPartBody>
        <w:p>
          <w:r>
            <w:rPr>
              <w:color w:val="808080"/>
            </w:rPr>
            <w:t>单击此处输入文字。</w:t>
          </w:r>
        </w:p>
      </w:docPartBody>
    </w:docPart>
    <w:docPart>
      <w:docPartPr>
        <w:name w:val="{fc39c593-a75a-42c9-8d16-9fbd40090a42}"/>
        <w:style w:val=""/>
        <w:category>
          <w:name w:val="常规"/>
          <w:gallery w:val="placeholder"/>
        </w:category>
        <w:types>
          <w:type w:val="bbPlcHdr"/>
        </w:types>
        <w:behaviors>
          <w:behavior w:val="content"/>
        </w:behaviors>
        <w:description w:val=""/>
        <w:guid w:val="{FC39C593-A75A-42C9-8D16-9FBD40090A42}"/>
      </w:docPartPr>
      <w:docPartBody>
        <w:p>
          <w:r>
            <w:rPr>
              <w:color w:val="808080"/>
            </w:rPr>
            <w:t>单击此处输入文字。</w:t>
          </w:r>
        </w:p>
      </w:docPartBody>
    </w:docPart>
    <w:docPart>
      <w:docPartPr>
        <w:name w:val="{32c6209c-6f6b-4952-a0f1-e38fdeab0779}"/>
        <w:style w:val=""/>
        <w:category>
          <w:name w:val="常规"/>
          <w:gallery w:val="placeholder"/>
        </w:category>
        <w:types>
          <w:type w:val="bbPlcHdr"/>
        </w:types>
        <w:behaviors>
          <w:behavior w:val="content"/>
        </w:behaviors>
        <w:description w:val=""/>
        <w:guid w:val="{32C6209C-6F6B-4952-A0F1-E38FDEAB0779}"/>
      </w:docPartPr>
      <w:docPartBody>
        <w:p>
          <w:r>
            <w:rPr>
              <w:color w:val="808080"/>
            </w:rPr>
            <w:t>单击此处输入文字。</w:t>
          </w:r>
        </w:p>
      </w:docPartBody>
    </w:docPart>
    <w:docPart>
      <w:docPartPr>
        <w:name w:val="{066e7064-3e10-4f92-9ef7-fe3c89a75d55}"/>
        <w:style w:val=""/>
        <w:category>
          <w:name w:val="常规"/>
          <w:gallery w:val="placeholder"/>
        </w:category>
        <w:types>
          <w:type w:val="bbPlcHdr"/>
        </w:types>
        <w:behaviors>
          <w:behavior w:val="content"/>
        </w:behaviors>
        <w:description w:val=""/>
        <w:guid w:val="{066E7064-3E10-4F92-9EF7-FE3C89A75D55}"/>
      </w:docPartPr>
      <w:docPartBody>
        <w:p>
          <w:r>
            <w:rPr>
              <w:color w:val="808080"/>
            </w:rPr>
            <w:t>单击此处输入文字。</w:t>
          </w:r>
        </w:p>
      </w:docPartBody>
    </w:docPart>
    <w:docPart>
      <w:docPartPr>
        <w:name w:val="{1a554eaf-b6ee-497f-894d-c78ffb2b888e}"/>
        <w:style w:val=""/>
        <w:category>
          <w:name w:val="常规"/>
          <w:gallery w:val="placeholder"/>
        </w:category>
        <w:types>
          <w:type w:val="bbPlcHdr"/>
        </w:types>
        <w:behaviors>
          <w:behavior w:val="content"/>
        </w:behaviors>
        <w:description w:val=""/>
        <w:guid w:val="{1A554EAF-B6EE-497F-894D-C78FFB2B888E}"/>
      </w:docPartPr>
      <w:docPartBody>
        <w:p>
          <w:r>
            <w:rPr>
              <w:color w:val="808080"/>
            </w:rPr>
            <w:t>单击此处输入文字。</w:t>
          </w:r>
        </w:p>
      </w:docPartBody>
    </w:docPart>
    <w:docPart>
      <w:docPartPr>
        <w:name w:val="{aa4ad5ff-09a8-4a09-89a6-fea9b71fbb51}"/>
        <w:style w:val=""/>
        <w:category>
          <w:name w:val="常规"/>
          <w:gallery w:val="placeholder"/>
        </w:category>
        <w:types>
          <w:type w:val="bbPlcHdr"/>
        </w:types>
        <w:behaviors>
          <w:behavior w:val="content"/>
        </w:behaviors>
        <w:description w:val=""/>
        <w:guid w:val="{AA4AD5FF-09A8-4A09-89A6-FEA9B71FBB51}"/>
      </w:docPartPr>
      <w:docPartBody>
        <w:p>
          <w:r>
            <w:rPr>
              <w:color w:val="808080"/>
            </w:rPr>
            <w:t>单击此处输入文字。</w:t>
          </w:r>
        </w:p>
      </w:docPartBody>
    </w:docPart>
    <w:docPart>
      <w:docPartPr>
        <w:name w:val="{1f856ddf-a26e-4abb-afc4-d469c7ebeb1a}"/>
        <w:style w:val=""/>
        <w:category>
          <w:name w:val="常规"/>
          <w:gallery w:val="placeholder"/>
        </w:category>
        <w:types>
          <w:type w:val="bbPlcHdr"/>
        </w:types>
        <w:behaviors>
          <w:behavior w:val="content"/>
        </w:behaviors>
        <w:description w:val=""/>
        <w:guid w:val="{1F856DDF-A26E-4ABB-AFC4-D469C7EBEB1A}"/>
      </w:docPartPr>
      <w:docPartBody>
        <w:p>
          <w:r>
            <w:rPr>
              <w:color w:val="808080"/>
            </w:rPr>
            <w:t>单击此处输入文字。</w:t>
          </w:r>
        </w:p>
      </w:docPartBody>
    </w:docPart>
    <w:docPart>
      <w:docPartPr>
        <w:name w:val="{834c7cc4-6774-44cd-85e8-bc2ef04a06b2}"/>
        <w:style w:val=""/>
        <w:category>
          <w:name w:val="常规"/>
          <w:gallery w:val="placeholder"/>
        </w:category>
        <w:types>
          <w:type w:val="bbPlcHdr"/>
        </w:types>
        <w:behaviors>
          <w:behavior w:val="content"/>
        </w:behaviors>
        <w:description w:val=""/>
        <w:guid w:val="{834C7CC4-6774-44CD-85E8-BC2EF04A06B2}"/>
      </w:docPartPr>
      <w:docPartBody>
        <w:p>
          <w:r>
            <w:rPr>
              <w:color w:val="808080"/>
            </w:rPr>
            <w:t>单击此处输入文字。</w:t>
          </w:r>
        </w:p>
      </w:docPartBody>
    </w:docPart>
    <w:docPart>
      <w:docPartPr>
        <w:name w:val="{9dde5de2-5980-4165-a0c0-39ec5dcefef5}"/>
        <w:style w:val=""/>
        <w:category>
          <w:name w:val="常规"/>
          <w:gallery w:val="placeholder"/>
        </w:category>
        <w:types>
          <w:type w:val="bbPlcHdr"/>
        </w:types>
        <w:behaviors>
          <w:behavior w:val="content"/>
        </w:behaviors>
        <w:description w:val=""/>
        <w:guid w:val="{9DDE5DE2-5980-4165-A0C0-39EC5DCEFEF5}"/>
      </w:docPartPr>
      <w:docPartBody>
        <w:p>
          <w:r>
            <w:rPr>
              <w:color w:val="808080"/>
            </w:rPr>
            <w:t>单击此处输入文字。</w:t>
          </w:r>
        </w:p>
      </w:docPartBody>
    </w:docPart>
    <w:docPart>
      <w:docPartPr>
        <w:name w:val="{3c7b1212-2169-4cc7-8771-01dbc5cfcda9}"/>
        <w:style w:val=""/>
        <w:category>
          <w:name w:val="常规"/>
          <w:gallery w:val="placeholder"/>
        </w:category>
        <w:types>
          <w:type w:val="bbPlcHdr"/>
        </w:types>
        <w:behaviors>
          <w:behavior w:val="content"/>
        </w:behaviors>
        <w:description w:val=""/>
        <w:guid w:val="{3C7B1212-2169-4CC7-8771-01DBC5CFCDA9}"/>
      </w:docPartPr>
      <w:docPartBody>
        <w:p>
          <w:r>
            <w:rPr>
              <w:color w:val="808080"/>
            </w:rPr>
            <w:t>单击此处输入文字。</w:t>
          </w:r>
        </w:p>
      </w:docPartBody>
    </w:docPart>
    <w:docPart>
      <w:docPartPr>
        <w:name w:val="{4f0ce5d6-d707-4af4-8cd0-33e37f871b98}"/>
        <w:style w:val=""/>
        <w:category>
          <w:name w:val="常规"/>
          <w:gallery w:val="placeholder"/>
        </w:category>
        <w:types>
          <w:type w:val="bbPlcHdr"/>
        </w:types>
        <w:behaviors>
          <w:behavior w:val="content"/>
        </w:behaviors>
        <w:description w:val=""/>
        <w:guid w:val="{4F0CE5D6-D707-4AF4-8CD0-33E37F871B98}"/>
      </w:docPartPr>
      <w:docPartBody>
        <w:p>
          <w:r>
            <w:rPr>
              <w:color w:val="808080"/>
            </w:rPr>
            <w:t>单击此处输入文字。</w:t>
          </w:r>
        </w:p>
      </w:docPartBody>
    </w:docPart>
    <w:docPart>
      <w:docPartPr>
        <w:name w:val="{e39109a0-3331-46d5-9519-86b2c25ef84d}"/>
        <w:style w:val=""/>
        <w:category>
          <w:name w:val="常规"/>
          <w:gallery w:val="placeholder"/>
        </w:category>
        <w:types>
          <w:type w:val="bbPlcHdr"/>
        </w:types>
        <w:behaviors>
          <w:behavior w:val="content"/>
        </w:behaviors>
        <w:description w:val=""/>
        <w:guid w:val="{E39109A0-3331-46D5-9519-86B2C25EF84D}"/>
      </w:docPartPr>
      <w:docPartBody>
        <w:p>
          <w:r>
            <w:rPr>
              <w:color w:val="808080"/>
            </w:rPr>
            <w:t>单击此处输入文字。</w:t>
          </w:r>
        </w:p>
      </w:docPartBody>
    </w:docPart>
    <w:docPart>
      <w:docPartPr>
        <w:name w:val="{0f19a4cf-2352-4807-99b2-80bb7d968076}"/>
        <w:style w:val=""/>
        <w:category>
          <w:name w:val="常规"/>
          <w:gallery w:val="placeholder"/>
        </w:category>
        <w:types>
          <w:type w:val="bbPlcHdr"/>
        </w:types>
        <w:behaviors>
          <w:behavior w:val="content"/>
        </w:behaviors>
        <w:description w:val=""/>
        <w:guid w:val="{0F19A4CF-2352-4807-99B2-80BB7D968076}"/>
      </w:docPartPr>
      <w:docPartBody>
        <w:p>
          <w:r>
            <w:rPr>
              <w:color w:val="808080"/>
            </w:rPr>
            <w:t>单击此处输入文字。</w:t>
          </w:r>
        </w:p>
      </w:docPartBody>
    </w:docPart>
    <w:docPart>
      <w:docPartPr>
        <w:name w:val="{f2953095-e652-484e-85cb-842065868be3}"/>
        <w:style w:val=""/>
        <w:category>
          <w:name w:val="常规"/>
          <w:gallery w:val="placeholder"/>
        </w:category>
        <w:types>
          <w:type w:val="bbPlcHdr"/>
        </w:types>
        <w:behaviors>
          <w:behavior w:val="content"/>
        </w:behaviors>
        <w:description w:val=""/>
        <w:guid w:val="{F2953095-E652-484E-85CB-842065868BE3}"/>
      </w:docPartPr>
      <w:docPartBody>
        <w:p>
          <w:r>
            <w:rPr>
              <w:color w:val="808080"/>
            </w:rPr>
            <w:t>单击此处输入文字。</w:t>
          </w:r>
        </w:p>
      </w:docPartBody>
    </w:docPart>
    <w:docPart>
      <w:docPartPr>
        <w:name w:val="{08f30a9d-9031-4f5a-bcf4-ea5aef45ee7d}"/>
        <w:style w:val=""/>
        <w:category>
          <w:name w:val="常规"/>
          <w:gallery w:val="placeholder"/>
        </w:category>
        <w:types>
          <w:type w:val="bbPlcHdr"/>
        </w:types>
        <w:behaviors>
          <w:behavior w:val="content"/>
        </w:behaviors>
        <w:description w:val=""/>
        <w:guid w:val="{08F30A9D-9031-4F5A-BCF4-EA5AEF45EE7D}"/>
      </w:docPartPr>
      <w:docPartBody>
        <w:p>
          <w:r>
            <w:rPr>
              <w:color w:val="808080"/>
            </w:rPr>
            <w:t>单击此处输入文字。</w:t>
          </w:r>
        </w:p>
      </w:docPartBody>
    </w:docPart>
    <w:docPart>
      <w:docPartPr>
        <w:name w:val="{88099d03-994c-4400-acde-6eeaef1072a2}"/>
        <w:style w:val=""/>
        <w:category>
          <w:name w:val="常规"/>
          <w:gallery w:val="placeholder"/>
        </w:category>
        <w:types>
          <w:type w:val="bbPlcHdr"/>
        </w:types>
        <w:behaviors>
          <w:behavior w:val="content"/>
        </w:behaviors>
        <w:description w:val=""/>
        <w:guid w:val="{88099D03-994C-4400-ACDE-6EEAEF1072A2}"/>
      </w:docPartPr>
      <w:docPartBody>
        <w:p>
          <w:r>
            <w:rPr>
              <w:color w:val="808080"/>
            </w:rPr>
            <w:t>单击此处输入文字。</w:t>
          </w:r>
        </w:p>
      </w:docPartBody>
    </w:docPart>
    <w:docPart>
      <w:docPartPr>
        <w:name w:val="{e28436ba-5f32-447a-ad61-b855144f00d7}"/>
        <w:style w:val=""/>
        <w:category>
          <w:name w:val="常规"/>
          <w:gallery w:val="placeholder"/>
        </w:category>
        <w:types>
          <w:type w:val="bbPlcHdr"/>
        </w:types>
        <w:behaviors>
          <w:behavior w:val="content"/>
        </w:behaviors>
        <w:description w:val=""/>
        <w:guid w:val="{E28436BA-5F32-447A-AD61-B855144F00D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10CEE"/>
    <w:rsid w:val="002513A6"/>
    <w:rsid w:val="003A33F1"/>
    <w:rsid w:val="003B5C12"/>
    <w:rsid w:val="00610CEE"/>
    <w:rsid w:val="007F2545"/>
    <w:rsid w:val="00B372AE"/>
    <w:rsid w:val="00BD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55</Pages>
  <Words>3148</Words>
  <Characters>17950</Characters>
  <Lines>149</Lines>
  <Paragraphs>42</Paragraphs>
  <TotalTime>128</TotalTime>
  <ScaleCrop>false</ScaleCrop>
  <LinksUpToDate>false</LinksUpToDate>
  <CharactersWithSpaces>21056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彭飞龙</cp:lastModifiedBy>
  <cp:lastPrinted>2023-07-31T02:35:00Z</cp:lastPrinted>
  <dcterms:modified xsi:type="dcterms:W3CDTF">2024-12-24T03:43:14Z</dcterms:modified>
  <dc:title>四川省***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E745628B6C684BC4ABD930D8B3165CC8_13</vt:lpwstr>
  </property>
</Properties>
</file>