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640" w:lineRule="exact"/>
        <w:jc w:val="center"/>
        <w:rPr>
          <w:rFonts w:eastAsia="楷体_GB2312"/>
          <w:color w:val="333333"/>
          <w:kern w:val="0"/>
        </w:rPr>
      </w:pPr>
    </w:p>
    <w:p>
      <w:pPr>
        <w:widowControl/>
        <w:shd w:val="clear" w:color="auto" w:fill="FFFFFF"/>
        <w:spacing w:line="640" w:lineRule="exact"/>
        <w:jc w:val="center"/>
        <w:rPr>
          <w:rFonts w:eastAsia="方正小标宋_GBK"/>
          <w:sz w:val="44"/>
          <w:szCs w:val="44"/>
          <w:u w:val="single"/>
        </w:rPr>
      </w:pPr>
      <w:r>
        <w:rPr>
          <w:rFonts w:hint="eastAsia" w:eastAsia="方正小标宋_GBK"/>
          <w:sz w:val="44"/>
          <w:szCs w:val="44"/>
        </w:rPr>
        <w:t>盐边县渔门中心卫生院</w:t>
      </w:r>
    </w:p>
    <w:p>
      <w:pPr>
        <w:widowControl/>
        <w:shd w:val="clear" w:color="auto" w:fill="FFFFFF"/>
        <w:spacing w:line="64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1</w:t>
      </w:r>
      <w:r>
        <w:rPr>
          <w:rFonts w:hAnsi="方正小标宋_GBK" w:eastAsia="方正小标宋_GBK"/>
          <w:sz w:val="44"/>
          <w:szCs w:val="44"/>
        </w:rPr>
        <w:t>年部门预算编制说明</w:t>
      </w:r>
    </w:p>
    <w:p>
      <w:pPr>
        <w:spacing w:line="560" w:lineRule="exact"/>
        <w:rPr>
          <w:rFonts w:eastAsia="黑体"/>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40" w:firstLineChars="200"/>
        <w:jc w:val="both"/>
        <w:textAlignment w:val="auto"/>
        <w:rPr>
          <w:rFonts w:ascii="Times New Roman" w:hAnsi="Times New Roman" w:cs="Times New Roman"/>
          <w:kern w:val="2"/>
          <w:sz w:val="32"/>
          <w:szCs w:val="32"/>
          <w:lang w:val="en-US" w:bidi="ar-SA"/>
        </w:rPr>
      </w:pPr>
      <w:r>
        <w:rPr>
          <w:rFonts w:ascii="Times New Roman" w:hAnsi="Times New Roman" w:cs="Times New Roman"/>
          <w:kern w:val="2"/>
          <w:sz w:val="32"/>
          <w:szCs w:val="32"/>
          <w:lang w:val="en-US" w:bidi="ar-SA"/>
        </w:rPr>
        <w:t>根据《中华人民共和国预算法》</w:t>
      </w:r>
      <w:r>
        <w:rPr>
          <w:rFonts w:hint="eastAsia" w:ascii="Times New Roman" w:hAnsi="Times New Roman" w:cs="Times New Roman"/>
          <w:kern w:val="2"/>
          <w:sz w:val="32"/>
          <w:szCs w:val="32"/>
          <w:lang w:val="en-US" w:eastAsia="zh-CN" w:bidi="ar-SA"/>
        </w:rPr>
        <w:t>、</w:t>
      </w:r>
      <w:r>
        <w:rPr>
          <w:rFonts w:ascii="Times New Roman" w:hAnsi="Times New Roman" w:cs="Times New Roman"/>
          <w:kern w:val="2"/>
          <w:sz w:val="32"/>
          <w:szCs w:val="32"/>
          <w:lang w:val="en-US" w:bidi="ar-SA"/>
        </w:rPr>
        <w:t>《中华人民共和国预算法实施条例》相关规定</w:t>
      </w:r>
      <w:r>
        <w:rPr>
          <w:rFonts w:hint="eastAsia" w:ascii="Times New Roman" w:hAnsi="Times New Roman" w:cs="Times New Roman"/>
          <w:kern w:val="2"/>
          <w:sz w:val="32"/>
          <w:szCs w:val="32"/>
          <w:lang w:val="en-US" w:eastAsia="zh-CN" w:bidi="ar-SA"/>
        </w:rPr>
        <w:t>和</w:t>
      </w:r>
      <w:r>
        <w:rPr>
          <w:rFonts w:ascii="Times New Roman" w:hAnsi="Times New Roman" w:cs="Times New Roman"/>
          <w:kern w:val="2"/>
          <w:sz w:val="32"/>
          <w:szCs w:val="32"/>
          <w:lang w:val="en-US" w:bidi="ar-SA"/>
        </w:rPr>
        <w:t>盐边县财政局</w:t>
      </w:r>
      <w:r>
        <w:rPr>
          <w:rFonts w:hint="eastAsia" w:ascii="Times New Roman" w:hAnsi="Times New Roman" w:cs="Times New Roman"/>
          <w:kern w:val="2"/>
          <w:sz w:val="32"/>
          <w:szCs w:val="32"/>
          <w:lang w:val="en-US" w:eastAsia="zh-CN" w:bidi="ar-SA"/>
        </w:rPr>
        <w:t>关于</w:t>
      </w:r>
      <w:r>
        <w:rPr>
          <w:rFonts w:ascii="Times New Roman" w:hAnsi="Times New Roman" w:cs="Times New Roman"/>
          <w:kern w:val="2"/>
          <w:sz w:val="32"/>
          <w:szCs w:val="32"/>
          <w:lang w:val="en-US" w:bidi="ar-SA"/>
        </w:rPr>
        <w:t>2021年部门预算</w:t>
      </w:r>
      <w:r>
        <w:rPr>
          <w:rFonts w:hint="eastAsia" w:ascii="Times New Roman" w:hAnsi="Times New Roman" w:cs="Times New Roman"/>
          <w:kern w:val="2"/>
          <w:sz w:val="32"/>
          <w:szCs w:val="32"/>
          <w:lang w:val="en-US" w:eastAsia="zh-CN" w:bidi="ar-SA"/>
        </w:rPr>
        <w:t>的</w:t>
      </w:r>
      <w:r>
        <w:rPr>
          <w:rFonts w:ascii="Times New Roman" w:hAnsi="Times New Roman" w:cs="Times New Roman"/>
          <w:kern w:val="2"/>
          <w:sz w:val="32"/>
          <w:szCs w:val="32"/>
          <w:lang w:val="en-US" w:bidi="ar-SA"/>
        </w:rPr>
        <w:t>批复</w:t>
      </w:r>
      <w:r>
        <w:rPr>
          <w:rFonts w:hint="eastAsia" w:ascii="Times New Roman" w:hAnsi="Times New Roman" w:cs="Times New Roman"/>
          <w:kern w:val="2"/>
          <w:sz w:val="32"/>
          <w:szCs w:val="32"/>
          <w:lang w:val="en-US" w:eastAsia="zh-CN" w:bidi="ar-SA"/>
        </w:rPr>
        <w:t>要求，</w:t>
      </w:r>
      <w:r>
        <w:rPr>
          <w:rFonts w:ascii="Times New Roman" w:hAnsi="Times New Roman" w:cs="Times New Roman"/>
          <w:kern w:val="2"/>
          <w:sz w:val="32"/>
          <w:szCs w:val="32"/>
          <w:lang w:val="en-US" w:bidi="ar-SA"/>
        </w:rPr>
        <w:t>现将我单位2021年部门预算说明如下:</w:t>
      </w:r>
    </w:p>
    <w:p>
      <w:pPr>
        <w:spacing w:line="560" w:lineRule="exact"/>
        <w:ind w:firstLine="640" w:firstLineChars="200"/>
        <w:rPr>
          <w:rFonts w:eastAsia="黑体"/>
        </w:rPr>
      </w:pPr>
      <w:r>
        <w:rPr>
          <w:rFonts w:eastAsia="黑体"/>
        </w:rPr>
        <w:t>一、基本职能及主要工作</w:t>
      </w:r>
    </w:p>
    <w:p>
      <w:pPr>
        <w:pStyle w:val="2"/>
        <w:adjustRightInd w:val="0"/>
        <w:spacing w:beforeLines="0" w:line="560" w:lineRule="exact"/>
        <w:ind w:firstLine="640" w:firstLineChars="200"/>
        <w:rPr>
          <w:rFonts w:ascii="Times New Roman" w:eastAsia="楷体_GB2312"/>
          <w:sz w:val="32"/>
        </w:rPr>
      </w:pPr>
      <w:r>
        <w:rPr>
          <w:rFonts w:ascii="Times New Roman" w:eastAsia="楷体_GB2312"/>
          <w:sz w:val="32"/>
        </w:rPr>
        <w:t>（一）</w:t>
      </w:r>
      <w:r>
        <w:rPr>
          <w:rFonts w:hint="eastAsia" w:cs="仿宋_GB2312"/>
          <w:sz w:val="32"/>
        </w:rPr>
        <w:t>盐边县渔门中心卫生院位于盐边中北部片区旅游、交通枢纽</w:t>
      </w:r>
      <w:r>
        <w:rPr>
          <w:rFonts w:hint="eastAsia"/>
          <w:sz w:val="32"/>
        </w:rPr>
        <w:t>—</w:t>
      </w:r>
      <w:r>
        <w:rPr>
          <w:rFonts w:hint="eastAsia" w:cs="仿宋_GB2312"/>
          <w:sz w:val="32"/>
        </w:rPr>
        <w:t>渔门镇，是政府举办的公益性事业单位。是盐边县城镇职工、居民、新农合定点医疗机构，</w:t>
      </w:r>
      <w:r>
        <w:rPr>
          <w:rFonts w:hint="eastAsia" w:hAnsi="宋体" w:cs="仿宋_GB2312"/>
          <w:sz w:val="32"/>
        </w:rPr>
        <w:t>承担着盐边中北部片区的基本医疗、预防、基本公共卫生服务等任务。</w:t>
      </w:r>
    </w:p>
    <w:p>
      <w:pPr>
        <w:pStyle w:val="2"/>
        <w:adjustRightInd w:val="0"/>
        <w:spacing w:beforeLines="0" w:line="560" w:lineRule="exact"/>
        <w:ind w:firstLine="640" w:firstLineChars="200"/>
        <w:rPr>
          <w:rFonts w:ascii="Times New Roman" w:eastAsia="楷体_GB2312"/>
          <w:sz w:val="32"/>
        </w:rPr>
      </w:pPr>
      <w:r>
        <w:rPr>
          <w:rFonts w:ascii="Times New Roman" w:eastAsia="楷体_GB2312"/>
          <w:sz w:val="32"/>
        </w:rPr>
        <w:t>（二）</w:t>
      </w:r>
      <w:r>
        <w:rPr>
          <w:rFonts w:hint="eastAsia" w:ascii="Times New Roman" w:eastAsia="楷体_GB2312"/>
          <w:sz w:val="32"/>
        </w:rPr>
        <w:t>盐边县渔门中心卫生院</w:t>
      </w:r>
      <w:r>
        <w:rPr>
          <w:rFonts w:ascii="Times New Roman" w:eastAsia="楷体_GB2312"/>
          <w:sz w:val="32"/>
        </w:rPr>
        <w:t>202</w:t>
      </w:r>
      <w:r>
        <w:rPr>
          <w:rFonts w:hint="eastAsia" w:ascii="Times New Roman" w:eastAsia="楷体_GB2312"/>
          <w:sz w:val="32"/>
        </w:rPr>
        <w:t>1</w:t>
      </w:r>
      <w:r>
        <w:rPr>
          <w:rFonts w:ascii="Times New Roman" w:eastAsia="楷体_GB2312"/>
          <w:sz w:val="32"/>
        </w:rPr>
        <w:t>年重点工作。</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1、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2、加强医疗质量管理，保障医疗安全。以、、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3、着力做好重大疾病预防控制工作。严格执行疫情监测、报告制度。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4、重点抓好免疫规划工作。坚持抓好基础免疫和冷链运转，认真做好国家扩大免疫规划工作，特别是要抓好麻疹等免疫规划相关疾病防控和监测工作。加强儿童预防接种信息化管理。完成五苗接种任务。</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5、加强党务工作</w:t>
      </w:r>
      <w:bookmarkStart w:id="0" w:name="gkstk2"/>
      <w:bookmarkEnd w:id="0"/>
      <w:r>
        <w:rPr>
          <w:rFonts w:hint="eastAsia" w:ascii="仿宋_GB2312" w:eastAsia="仿宋_GB2312"/>
          <w:sz w:val="32"/>
          <w:szCs w:val="32"/>
        </w:rPr>
        <w:t>。坚持民主集中制，加强党的方针政策学习。</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6、加强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7、加强医院财务管理。严格执行卫生院财务管理制度，落实固定资产购置处理、开支审批等制度，确保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pStyle w:val="12"/>
        <w:shd w:val="clear" w:color="auto" w:fill="FFFFFF"/>
        <w:spacing w:before="0" w:beforeAutospacing="0" w:after="0" w:afterAutospacing="0" w:line="360" w:lineRule="auto"/>
        <w:ind w:firstLine="482"/>
        <w:rPr>
          <w:rFonts w:ascii="仿宋_GB2312" w:eastAsia="仿宋_GB2312"/>
          <w:sz w:val="32"/>
          <w:szCs w:val="32"/>
        </w:rPr>
      </w:pPr>
      <w:r>
        <w:rPr>
          <w:rFonts w:hint="eastAsia" w:ascii="仿宋_GB2312" w:eastAsia="仿宋_GB2312"/>
          <w:sz w:val="32"/>
          <w:szCs w:val="32"/>
        </w:rPr>
        <w:t>8、全面推行院务公开。认真落实院务公开制度，定期公开药品采购、财务收支、评先评优等情况，接受职工监督。积极开展文体活动，丰富职工文化生活。</w:t>
      </w:r>
    </w:p>
    <w:p>
      <w:pPr>
        <w:spacing w:line="579" w:lineRule="exact"/>
        <w:ind w:firstLine="640" w:firstLineChars="200"/>
        <w:rPr>
          <w:rFonts w:ascii="仿宋_GB2312"/>
        </w:rPr>
      </w:pPr>
      <w:r>
        <w:rPr>
          <w:rFonts w:hint="eastAsia" w:ascii="仿宋_GB2312"/>
        </w:rPr>
        <w:t>9、全面统筹抓好其他工作。切实抓好安全生产工作，避免发生安全责任事故。抓好信访、维稳和上级交给的其他工作。</w:t>
      </w:r>
    </w:p>
    <w:p>
      <w:pPr>
        <w:spacing w:line="560" w:lineRule="exact"/>
        <w:ind w:firstLine="640" w:firstLineChars="200"/>
        <w:rPr>
          <w:rFonts w:eastAsia="黑体"/>
        </w:rPr>
      </w:pPr>
      <w:r>
        <w:rPr>
          <w:rFonts w:eastAsia="黑体"/>
        </w:rPr>
        <w:t>二、单位构成情况</w:t>
      </w:r>
    </w:p>
    <w:p>
      <w:pPr>
        <w:pStyle w:val="2"/>
        <w:adjustRightInd w:val="0"/>
        <w:spacing w:beforeLines="0" w:line="560" w:lineRule="exact"/>
        <w:ind w:firstLine="640" w:firstLineChars="200"/>
        <w:rPr>
          <w:rFonts w:ascii="Times New Roman"/>
          <w:sz w:val="32"/>
        </w:rPr>
      </w:pPr>
      <w:r>
        <w:rPr>
          <w:rFonts w:hint="eastAsia" w:ascii="Times New Roman"/>
          <w:sz w:val="32"/>
        </w:rPr>
        <w:t>盐边县渔门中心卫生院</w:t>
      </w:r>
      <w:r>
        <w:rPr>
          <w:rFonts w:ascii="Times New Roman"/>
          <w:sz w:val="32"/>
        </w:rPr>
        <w:t>下属非独立核算单位</w:t>
      </w:r>
      <w:r>
        <w:rPr>
          <w:rFonts w:hint="eastAsia" w:ascii="Times New Roman"/>
          <w:sz w:val="32"/>
        </w:rPr>
        <w:t>0</w:t>
      </w:r>
      <w:r>
        <w:rPr>
          <w:rFonts w:ascii="Times New Roman"/>
          <w:sz w:val="32"/>
        </w:rPr>
        <w:t>个，其中行政单位</w:t>
      </w:r>
      <w:r>
        <w:rPr>
          <w:rFonts w:hint="eastAsia" w:ascii="Times New Roman"/>
          <w:sz w:val="32"/>
        </w:rPr>
        <w:t>0</w:t>
      </w:r>
      <w:r>
        <w:rPr>
          <w:rFonts w:ascii="Times New Roman"/>
          <w:sz w:val="32"/>
        </w:rPr>
        <w:t>个，参照公务员法管理的事业单位</w:t>
      </w:r>
      <w:r>
        <w:rPr>
          <w:rFonts w:hint="eastAsia" w:ascii="Times New Roman"/>
          <w:sz w:val="32"/>
        </w:rPr>
        <w:t>0</w:t>
      </w:r>
      <w:r>
        <w:rPr>
          <w:rFonts w:ascii="Times New Roman"/>
          <w:sz w:val="32"/>
        </w:rPr>
        <w:t>个，其他事业单位</w:t>
      </w:r>
      <w:r>
        <w:rPr>
          <w:rFonts w:hint="eastAsia" w:ascii="Times New Roman"/>
          <w:sz w:val="32"/>
        </w:rPr>
        <w:t>0</w:t>
      </w:r>
      <w:r>
        <w:rPr>
          <w:rFonts w:ascii="Times New Roman"/>
          <w:sz w:val="32"/>
        </w:rPr>
        <w:t>个。</w:t>
      </w:r>
    </w:p>
    <w:p>
      <w:pPr>
        <w:spacing w:line="560" w:lineRule="exact"/>
        <w:ind w:firstLine="640" w:firstLineChars="200"/>
        <w:rPr>
          <w:rFonts w:eastAsia="黑体"/>
        </w:rPr>
      </w:pPr>
      <w:r>
        <w:rPr>
          <w:rFonts w:eastAsia="黑体"/>
        </w:rPr>
        <w:t>三、收支预算情况说明</w:t>
      </w:r>
    </w:p>
    <w:p>
      <w:pPr>
        <w:spacing w:line="560" w:lineRule="exact"/>
        <w:ind w:firstLine="640" w:firstLineChars="200"/>
      </w:pPr>
      <w:r>
        <w:t>按照综合预算的原则，</w:t>
      </w:r>
      <w:r>
        <w:rPr>
          <w:rFonts w:hint="eastAsia"/>
        </w:rPr>
        <w:t>我院</w:t>
      </w:r>
      <w:r>
        <w:t>所有收入和支出均纳入部门预算管理。收入包括：一般公共预算拨款收入</w:t>
      </w:r>
      <w:r>
        <w:rPr>
          <w:rFonts w:hint="eastAsia"/>
        </w:rPr>
        <w:t>242.18万元</w:t>
      </w:r>
      <w:r>
        <w:t>；支出包括：</w:t>
      </w:r>
      <w:r>
        <w:rPr>
          <w:rFonts w:hint="eastAsia"/>
        </w:rPr>
        <w:t>社会保障与就业支出24.07万元，医疗卫生与计划生育支出194.34万元，住房保障支出23.77万元</w:t>
      </w:r>
      <w:r>
        <w:t>。</w:t>
      </w:r>
      <w:r>
        <w:rPr>
          <w:rFonts w:hint="eastAsia"/>
        </w:rPr>
        <w:t>我院</w:t>
      </w:r>
      <w:r>
        <w:t>202</w:t>
      </w:r>
      <w:r>
        <w:rPr>
          <w:rFonts w:hint="eastAsia"/>
        </w:rPr>
        <w:t>1</w:t>
      </w:r>
      <w:r>
        <w:t>年收支总预算</w:t>
      </w:r>
      <w:r>
        <w:rPr>
          <w:rFonts w:hint="eastAsia"/>
        </w:rPr>
        <w:t>242.18</w:t>
      </w:r>
      <w:r>
        <w:t>万元。</w:t>
      </w:r>
    </w:p>
    <w:p>
      <w:pPr>
        <w:spacing w:line="560" w:lineRule="exact"/>
        <w:ind w:firstLine="640" w:firstLineChars="200"/>
        <w:rPr>
          <w:rFonts w:eastAsia="楷体_GB2312"/>
        </w:rPr>
      </w:pPr>
      <w:r>
        <w:rPr>
          <w:rFonts w:eastAsia="楷体_GB2312"/>
        </w:rPr>
        <w:t>（一）收入预算情况。</w:t>
      </w:r>
    </w:p>
    <w:p>
      <w:pPr>
        <w:spacing w:line="560" w:lineRule="exact"/>
        <w:ind w:firstLine="640" w:firstLineChars="200"/>
      </w:pPr>
      <w:r>
        <w:t>202</w:t>
      </w:r>
      <w:r>
        <w:rPr>
          <w:rFonts w:hint="eastAsia"/>
        </w:rPr>
        <w:t>1</w:t>
      </w:r>
      <w:r>
        <w:t>年收入预算</w:t>
      </w:r>
      <w:r>
        <w:rPr>
          <w:rFonts w:hint="eastAsia"/>
        </w:rPr>
        <w:t>242.18</w:t>
      </w:r>
      <w:r>
        <w:t>万元，其中：一般公共预算拨款收入</w:t>
      </w:r>
      <w:r>
        <w:rPr>
          <w:rFonts w:hint="eastAsia"/>
        </w:rPr>
        <w:t>221.95</w:t>
      </w:r>
      <w:r>
        <w:t>万元，占</w:t>
      </w:r>
      <w:r>
        <w:rPr>
          <w:rFonts w:hint="eastAsia"/>
        </w:rPr>
        <w:t>91.65</w:t>
      </w:r>
      <w:r>
        <w:t>%；</w:t>
      </w:r>
      <w:r>
        <w:rPr>
          <w:rFonts w:hint="eastAsia"/>
        </w:rPr>
        <w:t>调入资金20.23</w:t>
      </w:r>
      <w:r>
        <w:t>万元，占</w:t>
      </w:r>
      <w:r>
        <w:rPr>
          <w:rFonts w:hint="eastAsia"/>
        </w:rPr>
        <w:t>8.35</w:t>
      </w:r>
      <w:r>
        <w:t>%。</w:t>
      </w:r>
    </w:p>
    <w:p>
      <w:pPr>
        <w:spacing w:line="560" w:lineRule="exact"/>
        <w:ind w:firstLine="640" w:firstLineChars="200"/>
        <w:rPr>
          <w:rFonts w:eastAsia="楷体_GB2312"/>
        </w:rPr>
      </w:pPr>
      <w:r>
        <w:rPr>
          <w:rFonts w:eastAsia="楷体_GB2312"/>
        </w:rPr>
        <w:t>（二）支出预算情况。</w:t>
      </w:r>
    </w:p>
    <w:p>
      <w:pPr>
        <w:spacing w:line="560" w:lineRule="exact"/>
        <w:ind w:firstLine="640" w:firstLineChars="200"/>
        <w:rPr>
          <w:u w:val="single"/>
        </w:rPr>
      </w:pPr>
      <w:r>
        <w:t>202</w:t>
      </w:r>
      <w:r>
        <w:rPr>
          <w:rFonts w:hint="eastAsia"/>
        </w:rPr>
        <w:t>1</w:t>
      </w:r>
      <w:r>
        <w:t>年支出预算</w:t>
      </w:r>
      <w:r>
        <w:rPr>
          <w:rFonts w:hint="eastAsia"/>
        </w:rPr>
        <w:t>242.18</w:t>
      </w:r>
      <w:r>
        <w:t>万元，其中：基本支出</w:t>
      </w:r>
      <w:r>
        <w:rPr>
          <w:rFonts w:hint="eastAsia"/>
        </w:rPr>
        <w:t>242.18</w:t>
      </w:r>
      <w:r>
        <w:t>万元，占</w:t>
      </w:r>
      <w:r>
        <w:rPr>
          <w:rFonts w:hint="eastAsia"/>
        </w:rPr>
        <w:t>100%。</w:t>
      </w:r>
    </w:p>
    <w:p>
      <w:pPr>
        <w:spacing w:line="560" w:lineRule="exact"/>
        <w:ind w:firstLine="640" w:firstLineChars="200"/>
        <w:rPr>
          <w:rFonts w:eastAsia="黑体"/>
        </w:rPr>
      </w:pPr>
      <w:r>
        <w:rPr>
          <w:rFonts w:eastAsia="黑体"/>
        </w:rPr>
        <w:t>四、财政拨款收支预算情况说明</w:t>
      </w:r>
    </w:p>
    <w:p>
      <w:pPr>
        <w:spacing w:line="560" w:lineRule="exact"/>
        <w:ind w:firstLine="640" w:firstLineChars="200"/>
      </w:pPr>
      <w:r>
        <w:t>202</w:t>
      </w:r>
      <w:r>
        <w:rPr>
          <w:rFonts w:hint="eastAsia"/>
        </w:rPr>
        <w:t>1</w:t>
      </w:r>
      <w:r>
        <w:t>年财政拨款收支总预算</w:t>
      </w:r>
      <w:r>
        <w:rPr>
          <w:rFonts w:hint="eastAsia"/>
        </w:rPr>
        <w:t>242.18</w:t>
      </w:r>
      <w:r>
        <w:t>万元。收入包括：本年一般公共预算拨款收入</w:t>
      </w:r>
      <w:r>
        <w:rPr>
          <w:rFonts w:hint="eastAsia"/>
        </w:rPr>
        <w:t>242.18万</w:t>
      </w:r>
      <w:r>
        <w:t>元、</w:t>
      </w:r>
      <w:r>
        <w:rPr>
          <w:rFonts w:hint="eastAsia"/>
        </w:rPr>
        <w:t>本年政府性基金预算拨款收入0.00万元</w:t>
      </w:r>
      <w:r>
        <w:t>；支出包括：</w:t>
      </w:r>
      <w:r>
        <w:rPr>
          <w:rFonts w:hint="eastAsia"/>
        </w:rPr>
        <w:t>社会保障与就业支出24.07万元，医疗卫生与计划生育支出194.34万元，住房保障支出23.77万元</w:t>
      </w:r>
      <w:r>
        <w:t>。</w:t>
      </w:r>
    </w:p>
    <w:p>
      <w:pPr>
        <w:spacing w:line="560" w:lineRule="exact"/>
        <w:ind w:firstLine="640" w:firstLineChars="200"/>
        <w:rPr>
          <w:rFonts w:eastAsia="黑体"/>
        </w:rPr>
      </w:pPr>
      <w:r>
        <w:rPr>
          <w:rFonts w:eastAsia="黑体"/>
        </w:rPr>
        <w:t>五、一般公共预算当年拨款情况说明</w:t>
      </w:r>
    </w:p>
    <w:p>
      <w:pPr>
        <w:spacing w:line="560" w:lineRule="exact"/>
        <w:ind w:firstLine="640" w:firstLineChars="200"/>
        <w:rPr>
          <w:rFonts w:eastAsia="楷体_GB2312"/>
        </w:rPr>
      </w:pPr>
      <w:r>
        <w:rPr>
          <w:rFonts w:eastAsia="楷体_GB2312"/>
        </w:rPr>
        <w:t>（一）一般公共预算当年拨款规模变化情况。</w:t>
      </w:r>
    </w:p>
    <w:p>
      <w:pPr>
        <w:spacing w:line="560" w:lineRule="exact"/>
        <w:ind w:firstLine="640" w:firstLineChars="200"/>
      </w:pPr>
      <w:r>
        <w:t>202</w:t>
      </w:r>
      <w:r>
        <w:rPr>
          <w:rFonts w:hint="eastAsia"/>
        </w:rPr>
        <w:t>1</w:t>
      </w:r>
      <w:r>
        <w:t>年一般公共预算当年拨款</w:t>
      </w:r>
      <w:r>
        <w:rPr>
          <w:rFonts w:hint="eastAsia"/>
        </w:rPr>
        <w:t>242.18</w:t>
      </w:r>
      <w:r>
        <w:t>万元，比20</w:t>
      </w:r>
      <w:r>
        <w:rPr>
          <w:rFonts w:hint="eastAsia"/>
        </w:rPr>
        <w:t>20</w:t>
      </w:r>
      <w:r>
        <w:t>年预算数增加</w:t>
      </w:r>
      <w:r>
        <w:rPr>
          <w:rFonts w:hint="eastAsia"/>
        </w:rPr>
        <w:t>153.88</w:t>
      </w:r>
      <w:r>
        <w:t>万元，主要是</w:t>
      </w:r>
      <w:r>
        <w:rPr>
          <w:rFonts w:hint="eastAsia"/>
        </w:rPr>
        <w:t>机构调整，盐边县鰔鱼彝族乡卫生院并入我院同时人员工资、社会保险、住房公积金等的增加</w:t>
      </w:r>
      <w:r>
        <w:t>。</w:t>
      </w:r>
    </w:p>
    <w:p>
      <w:pPr>
        <w:spacing w:line="560" w:lineRule="exact"/>
        <w:ind w:firstLine="640" w:firstLineChars="200"/>
        <w:rPr>
          <w:rFonts w:eastAsia="楷体_GB2312"/>
        </w:rPr>
      </w:pPr>
      <w:r>
        <w:rPr>
          <w:rFonts w:eastAsia="楷体_GB2312"/>
        </w:rPr>
        <w:t>（二）一般公共预算当年拨款结构情况。</w:t>
      </w:r>
    </w:p>
    <w:p>
      <w:pPr>
        <w:spacing w:line="560" w:lineRule="exact"/>
        <w:ind w:firstLine="640" w:firstLineChars="200"/>
      </w:pPr>
      <w:r>
        <w:t>一般公共</w:t>
      </w:r>
      <w:r>
        <w:rPr>
          <w:rFonts w:hint="eastAsia"/>
          <w:lang w:eastAsia="zh-CN"/>
        </w:rPr>
        <w:t>预算</w:t>
      </w:r>
      <w:r>
        <w:t>支出</w:t>
      </w:r>
      <w:r>
        <w:rPr>
          <w:rFonts w:hint="eastAsia"/>
        </w:rPr>
        <w:t>242.18</w:t>
      </w:r>
      <w:r>
        <w:t>万元，占</w:t>
      </w:r>
      <w:r>
        <w:rPr>
          <w:rFonts w:hint="eastAsia"/>
        </w:rPr>
        <w:t>100</w:t>
      </w:r>
      <w:r>
        <w:t>%；</w:t>
      </w:r>
      <w:r>
        <w:rPr>
          <w:rFonts w:hint="eastAsia"/>
        </w:rPr>
        <w:t>社会保障与就业支出24.07万元，医疗卫生与计划生育支出194.34万元，住房保障支出23.77万元</w:t>
      </w:r>
      <w:r>
        <w:t>。</w:t>
      </w:r>
    </w:p>
    <w:p>
      <w:pPr>
        <w:spacing w:line="560" w:lineRule="exact"/>
        <w:ind w:firstLine="640" w:firstLineChars="200"/>
        <w:rPr>
          <w:rFonts w:eastAsia="楷体_GB2312"/>
        </w:rPr>
      </w:pPr>
      <w:r>
        <w:rPr>
          <w:rFonts w:eastAsia="楷体_GB2312"/>
        </w:rPr>
        <w:t>（三）一般公共预算当年拨款具体使用情况。</w:t>
      </w:r>
    </w:p>
    <w:p>
      <w:pPr>
        <w:spacing w:line="579" w:lineRule="exact"/>
        <w:ind w:firstLine="640" w:firstLineChars="200"/>
      </w:pPr>
      <w:r>
        <w:t>本单位预算安排支出主要用于保障该</w:t>
      </w:r>
      <w:r>
        <w:rPr>
          <w:rFonts w:hint="eastAsia"/>
        </w:rPr>
        <w:t>单位</w:t>
      </w:r>
      <w:r>
        <w:t>机构正常运转、完成日常工作任务以及本单位承担的</w:t>
      </w:r>
      <w:r>
        <w:rPr>
          <w:rFonts w:hint="eastAsia"/>
        </w:rPr>
        <w:t>公共卫生服务</w:t>
      </w:r>
      <w:r>
        <w:t>工作。</w:t>
      </w:r>
    </w:p>
    <w:p>
      <w:pPr>
        <w:spacing w:line="579" w:lineRule="exact"/>
        <w:ind w:firstLine="640"/>
      </w:pPr>
      <w:r>
        <w:t>基本支出，是用于保障</w:t>
      </w:r>
      <w:r>
        <w:rPr>
          <w:rFonts w:hint="eastAsia"/>
        </w:rPr>
        <w:t>我单位</w:t>
      </w:r>
      <w:r>
        <w:t>正常运转的日常支出，包括基本工资、津贴补贴、离退休费、住房公积金和日常公用经费等。</w:t>
      </w:r>
    </w:p>
    <w:p>
      <w:pPr>
        <w:spacing w:line="579" w:lineRule="exact"/>
        <w:ind w:firstLine="640"/>
      </w:pPr>
      <w:r>
        <w:t>项目支出，是用于保障</w:t>
      </w:r>
      <w:r>
        <w:rPr>
          <w:rFonts w:hint="eastAsia"/>
        </w:rPr>
        <w:t>我单位</w:t>
      </w:r>
      <w:r>
        <w:t>为完成特定的行政工作任务或事业发展目标，用于专项业务工作的经费支出。</w:t>
      </w:r>
    </w:p>
    <w:p>
      <w:pPr>
        <w:spacing w:line="579" w:lineRule="exact"/>
        <w:ind w:firstLine="640"/>
      </w:pPr>
      <w:r>
        <w:t>按支出功能分类主要用于以下方面：</w:t>
      </w:r>
    </w:p>
    <w:p>
      <w:pPr>
        <w:spacing w:line="579" w:lineRule="exact"/>
        <w:ind w:firstLine="640" w:firstLineChars="200"/>
      </w:pPr>
      <w:r>
        <w:t>（一）</w:t>
      </w:r>
      <w:r>
        <w:rPr>
          <w:rFonts w:hint="eastAsia"/>
        </w:rPr>
        <w:t>医疗卫生与计划生育支出194.34</w:t>
      </w:r>
      <w:r>
        <w:t>万元，主要用于单位人员工资、日常运转以及为完成特定行政工作任务和事业发展目标而安排的年度项目支出</w:t>
      </w:r>
      <w:r>
        <w:rPr>
          <w:rFonts w:hint="eastAsia"/>
        </w:rPr>
        <w:t>。</w:t>
      </w:r>
    </w:p>
    <w:p>
      <w:pPr>
        <w:spacing w:line="579" w:lineRule="exact"/>
        <w:ind w:firstLine="640" w:firstLineChars="200"/>
      </w:pPr>
      <w:r>
        <w:t>（二）社会保障和就业支出</w:t>
      </w:r>
      <w:r>
        <w:rPr>
          <w:rFonts w:hint="eastAsia"/>
        </w:rPr>
        <w:t>24.07</w:t>
      </w:r>
      <w:r>
        <w:t>万元，主要用于机关及下属事业单位离退休人员支出以及养老保险单位缴费等支出。</w:t>
      </w:r>
    </w:p>
    <w:p>
      <w:pPr>
        <w:spacing w:line="560" w:lineRule="exact"/>
        <w:ind w:firstLine="640" w:firstLineChars="200"/>
      </w:pPr>
      <w:r>
        <w:rPr>
          <w:rFonts w:hint="eastAsia"/>
        </w:rPr>
        <w:t>(三</w:t>
      </w:r>
      <w:r>
        <w:t>）住房保障支出</w:t>
      </w:r>
      <w:r>
        <w:rPr>
          <w:rFonts w:hint="eastAsia"/>
        </w:rPr>
        <w:t>23.77</w:t>
      </w:r>
      <w:r>
        <w:t>万元，用于机关及下属事业单位按照规定标准为职工缴纳住房公积金等支出。</w:t>
      </w:r>
    </w:p>
    <w:p>
      <w:pPr>
        <w:spacing w:line="560" w:lineRule="exact"/>
        <w:ind w:firstLine="640" w:firstLineChars="200"/>
        <w:rPr>
          <w:rFonts w:eastAsia="黑体"/>
        </w:rPr>
      </w:pPr>
      <w:r>
        <w:rPr>
          <w:rFonts w:eastAsia="黑体"/>
        </w:rPr>
        <w:t>六、一般公共预算基本支出情况说明</w:t>
      </w:r>
    </w:p>
    <w:p>
      <w:pPr>
        <w:spacing w:line="560" w:lineRule="exact"/>
        <w:ind w:firstLine="640" w:firstLineChars="200"/>
      </w:pPr>
      <w:r>
        <w:rPr>
          <w:rFonts w:hint="eastAsia"/>
        </w:rPr>
        <w:t>本单位</w:t>
      </w:r>
      <w:r>
        <w:t>202</w:t>
      </w:r>
      <w:r>
        <w:rPr>
          <w:rFonts w:hint="eastAsia"/>
        </w:rPr>
        <w:t>1</w:t>
      </w:r>
      <w:r>
        <w:t>年一般公共预算基本支出</w:t>
      </w:r>
      <w:r>
        <w:rPr>
          <w:rFonts w:hint="eastAsia"/>
        </w:rPr>
        <w:t>242.18</w:t>
      </w:r>
      <w:r>
        <w:t>万元，其中：</w:t>
      </w:r>
    </w:p>
    <w:p>
      <w:pPr>
        <w:spacing w:line="560" w:lineRule="exact"/>
        <w:ind w:firstLine="640" w:firstLineChars="200"/>
        <w:rPr>
          <w:u w:val="single"/>
        </w:rPr>
      </w:pPr>
      <w:r>
        <w:t>人员经费</w:t>
      </w:r>
      <w:r>
        <w:rPr>
          <w:rFonts w:hint="eastAsia"/>
        </w:rPr>
        <w:t>220.45</w:t>
      </w:r>
      <w:r>
        <w:t>万元，主要包括：基本工资、津贴补贴、奖金、社会保险缴费</w:t>
      </w:r>
      <w:r>
        <w:rPr>
          <w:rFonts w:hint="eastAsia"/>
        </w:rPr>
        <w:t>、住房公积金等。</w:t>
      </w:r>
    </w:p>
    <w:p>
      <w:pPr>
        <w:spacing w:line="560" w:lineRule="exact"/>
        <w:ind w:firstLine="640" w:firstLineChars="200"/>
      </w:pPr>
      <w:r>
        <w:t>公用经费</w:t>
      </w:r>
      <w:r>
        <w:rPr>
          <w:rFonts w:hint="eastAsia"/>
        </w:rPr>
        <w:t>21.73</w:t>
      </w:r>
      <w:r>
        <w:t>万元，主要包括：</w:t>
      </w:r>
      <w:r>
        <w:rPr>
          <w:rFonts w:hint="eastAsia"/>
        </w:rPr>
        <w:t>办公费、水费、电费差旅费等。</w:t>
      </w:r>
    </w:p>
    <w:p>
      <w:pPr>
        <w:spacing w:line="560" w:lineRule="exact"/>
        <w:ind w:firstLine="640" w:firstLineChars="200"/>
        <w:rPr>
          <w:rFonts w:eastAsia="黑体"/>
        </w:rPr>
      </w:pPr>
      <w:r>
        <w:rPr>
          <w:rFonts w:eastAsia="黑体"/>
        </w:rPr>
        <w:t>七、“三公”经费财政拨款预算安排情况说明</w:t>
      </w:r>
    </w:p>
    <w:p>
      <w:pPr>
        <w:spacing w:line="560" w:lineRule="exact"/>
        <w:ind w:firstLine="640" w:firstLineChars="200"/>
      </w:pPr>
      <w:r>
        <w:rPr>
          <w:rFonts w:hint="eastAsia"/>
        </w:rPr>
        <w:t>我单位</w:t>
      </w:r>
      <w:r>
        <w:t>2021年“三公”经费财政拨款预算数</w:t>
      </w:r>
      <w:r>
        <w:rPr>
          <w:rFonts w:hint="eastAsia"/>
        </w:rPr>
        <w:t>0.36</w:t>
      </w:r>
      <w:r>
        <w:t>万元，其中：因公出国（境）经费</w:t>
      </w:r>
      <w:r>
        <w:rPr>
          <w:rFonts w:hint="eastAsia"/>
        </w:rPr>
        <w:t>0.00</w:t>
      </w:r>
      <w:r>
        <w:t>万元，公务接待费</w:t>
      </w:r>
      <w:r>
        <w:rPr>
          <w:rFonts w:hint="eastAsia"/>
        </w:rPr>
        <w:t>0.36</w:t>
      </w:r>
      <w:r>
        <w:t>万元，公务用车购置及运行维护费</w:t>
      </w:r>
      <w:r>
        <w:rPr>
          <w:rFonts w:hint="eastAsia"/>
        </w:rPr>
        <w:t>0</w:t>
      </w:r>
      <w:r>
        <w:t>万元。</w:t>
      </w:r>
    </w:p>
    <w:p>
      <w:pPr>
        <w:spacing w:line="560" w:lineRule="exact"/>
        <w:ind w:firstLine="640" w:firstLineChars="200"/>
        <w:rPr>
          <w:u w:val="none"/>
        </w:rPr>
      </w:pPr>
      <w:r>
        <w:rPr>
          <w:rFonts w:eastAsia="楷体_GB2312"/>
        </w:rPr>
        <w:t>（一）因公出国（境）经费较2020年预</w:t>
      </w:r>
      <w:r>
        <w:rPr>
          <w:rFonts w:eastAsia="楷体_GB2312"/>
          <w:u w:val="none"/>
        </w:rPr>
        <w:t>算增长/下降</w:t>
      </w:r>
      <w:r>
        <w:rPr>
          <w:rFonts w:hint="eastAsia" w:eastAsia="楷体_GB2312"/>
          <w:u w:val="none"/>
        </w:rPr>
        <w:t>0</w:t>
      </w:r>
      <w:r>
        <w:rPr>
          <w:rFonts w:eastAsia="楷体_GB2312"/>
          <w:u w:val="none"/>
        </w:rPr>
        <w:t>%</w:t>
      </w:r>
      <w:r>
        <w:rPr>
          <w:u w:val="none"/>
        </w:rPr>
        <w:t>主要原因是</w:t>
      </w:r>
      <w:r>
        <w:rPr>
          <w:rFonts w:hint="eastAsia"/>
          <w:u w:val="none"/>
        </w:rPr>
        <w:t>本单位暂不涉及相关情况</w:t>
      </w:r>
      <w:r>
        <w:rPr>
          <w:u w:val="none"/>
        </w:rPr>
        <w:t>。</w:t>
      </w:r>
    </w:p>
    <w:p>
      <w:pPr>
        <w:spacing w:line="560" w:lineRule="exact"/>
        <w:ind w:firstLine="640" w:firstLineChars="200"/>
      </w:pPr>
      <w:r>
        <w:rPr>
          <w:u w:val="none"/>
        </w:rPr>
        <w:t>根据市外事侨务办（台办）批准的2021年因公临时出国（境）</w:t>
      </w:r>
      <w:r>
        <w:t>安排，拟安排出国（境）团组</w:t>
      </w:r>
      <w:r>
        <w:rPr>
          <w:rFonts w:hint="eastAsia"/>
        </w:rPr>
        <w:t>0</w:t>
      </w:r>
      <w:r>
        <w:t xml:space="preserve">次, </w:t>
      </w:r>
      <w:r>
        <w:rPr>
          <w:rFonts w:hint="eastAsia"/>
        </w:rPr>
        <w:t>0</w:t>
      </w:r>
      <w:r>
        <w:t>人。</w:t>
      </w:r>
    </w:p>
    <w:p>
      <w:pPr>
        <w:spacing w:line="560" w:lineRule="exact"/>
        <w:ind w:firstLine="640" w:firstLineChars="200"/>
        <w:rPr>
          <w:u w:val="none"/>
        </w:rPr>
      </w:pPr>
      <w:r>
        <w:rPr>
          <w:rFonts w:eastAsia="楷体_GB2312"/>
        </w:rPr>
        <w:t>（二）公务接待费较2020年预算</w:t>
      </w:r>
      <w:r>
        <w:rPr>
          <w:rFonts w:eastAsia="楷体_GB2312"/>
          <w:u w:val="none"/>
        </w:rPr>
        <w:t>增长</w:t>
      </w:r>
      <w:r>
        <w:rPr>
          <w:rFonts w:hint="eastAsia" w:eastAsia="楷体_GB2312"/>
          <w:u w:val="none"/>
        </w:rPr>
        <w:t>36.00</w:t>
      </w:r>
      <w:r>
        <w:rPr>
          <w:rFonts w:eastAsia="楷体_GB2312"/>
          <w:u w:val="none"/>
        </w:rPr>
        <w:t>%</w:t>
      </w:r>
      <w:r>
        <w:rPr>
          <w:u w:val="none"/>
        </w:rPr>
        <w:t>主要原因是</w:t>
      </w:r>
      <w:r>
        <w:rPr>
          <w:rFonts w:hint="eastAsia"/>
          <w:u w:val="none"/>
        </w:rPr>
        <w:t>上级部门到我院检查等</w:t>
      </w:r>
      <w:r>
        <w:rPr>
          <w:u w:val="none"/>
        </w:rPr>
        <w:t>。</w:t>
      </w:r>
    </w:p>
    <w:p>
      <w:pPr>
        <w:spacing w:line="560" w:lineRule="exact"/>
        <w:ind w:firstLine="640" w:firstLineChars="200"/>
        <w:rPr>
          <w:u w:val="none"/>
        </w:rPr>
      </w:pPr>
      <w:r>
        <w:rPr>
          <w:u w:val="none"/>
        </w:rPr>
        <w:t>2021年公务接待费计划用于</w:t>
      </w:r>
      <w:r>
        <w:rPr>
          <w:rFonts w:hint="eastAsia"/>
          <w:u w:val="none"/>
        </w:rPr>
        <w:t>上级部门到我院进行检查</w:t>
      </w:r>
      <w:r>
        <w:rPr>
          <w:u w:val="none"/>
        </w:rPr>
        <w:t>。</w:t>
      </w:r>
    </w:p>
    <w:p>
      <w:pPr>
        <w:spacing w:line="560" w:lineRule="exact"/>
        <w:ind w:firstLine="640" w:firstLineChars="200"/>
        <w:rPr>
          <w:u w:val="none"/>
        </w:rPr>
      </w:pPr>
      <w:r>
        <w:rPr>
          <w:rFonts w:eastAsia="楷体_GB2312"/>
          <w:u w:val="none"/>
        </w:rPr>
        <w:t>（三）公务用车购置及运行维护费较2020年预算增长/下降</w:t>
      </w:r>
      <w:r>
        <w:rPr>
          <w:rFonts w:hint="eastAsia" w:eastAsia="楷体_GB2312"/>
          <w:u w:val="none"/>
        </w:rPr>
        <w:t>0</w:t>
      </w:r>
      <w:r>
        <w:rPr>
          <w:rFonts w:eastAsia="楷体_GB2312"/>
          <w:u w:val="none"/>
        </w:rPr>
        <w:t>%。</w:t>
      </w:r>
      <w:r>
        <w:rPr>
          <w:u w:val="none"/>
        </w:rPr>
        <w:t>主要原因是</w:t>
      </w:r>
      <w:r>
        <w:rPr>
          <w:rFonts w:hint="eastAsia"/>
          <w:u w:val="none"/>
        </w:rPr>
        <w:t>调入资金安排</w:t>
      </w:r>
      <w:r>
        <w:rPr>
          <w:u w:val="none"/>
        </w:rPr>
        <w:t>。</w:t>
      </w:r>
    </w:p>
    <w:p>
      <w:pPr>
        <w:spacing w:line="560" w:lineRule="exact"/>
        <w:ind w:firstLine="640" w:firstLineChars="200"/>
      </w:pPr>
      <w:r>
        <w:t>单位现有公务用车</w:t>
      </w:r>
      <w:r>
        <w:rPr>
          <w:rFonts w:hint="eastAsia"/>
        </w:rPr>
        <w:t>1</w:t>
      </w:r>
      <w:r>
        <w:t>辆，其中：轿车（含7座以下商务车、城市越野车）</w:t>
      </w:r>
      <w:r>
        <w:rPr>
          <w:rFonts w:hint="eastAsia"/>
        </w:rPr>
        <w:t>0</w:t>
      </w:r>
      <w:r>
        <w:t>辆，7座以上19座（含19座）以下客车</w:t>
      </w:r>
      <w:r>
        <w:rPr>
          <w:rFonts w:hint="eastAsia"/>
        </w:rPr>
        <w:t>0</w:t>
      </w:r>
      <w:r>
        <w:t>辆，越野车</w:t>
      </w:r>
      <w:r>
        <w:rPr>
          <w:rFonts w:hint="eastAsia"/>
        </w:rPr>
        <w:t>0</w:t>
      </w:r>
      <w:r>
        <w:t>辆，货车及19座以上客车</w:t>
      </w:r>
      <w:r>
        <w:rPr>
          <w:rFonts w:hint="eastAsia"/>
        </w:rPr>
        <w:t>0</w:t>
      </w:r>
      <w:r>
        <w:t>辆，摩托车</w:t>
      </w:r>
      <w:r>
        <w:rPr>
          <w:rFonts w:hint="eastAsia"/>
        </w:rPr>
        <w:t>0</w:t>
      </w:r>
      <w:r>
        <w:t>辆。</w:t>
      </w:r>
    </w:p>
    <w:p>
      <w:pPr>
        <w:spacing w:line="560" w:lineRule="exact"/>
        <w:ind w:firstLine="640" w:firstLineChars="200"/>
      </w:pPr>
      <w:r>
        <w:t>2021年安排公务用车购置费</w:t>
      </w:r>
      <w:r>
        <w:rPr>
          <w:rFonts w:hint="eastAsia"/>
        </w:rPr>
        <w:t>0</w:t>
      </w:r>
      <w:r>
        <w:t>万元，购置公务用车</w:t>
      </w:r>
      <w:r>
        <w:rPr>
          <w:rFonts w:hint="eastAsia"/>
        </w:rPr>
        <w:t>0</w:t>
      </w:r>
      <w:r>
        <w:t>辆，其中：轿车（含7座以下商务车、城市越野车）</w:t>
      </w:r>
      <w:r>
        <w:rPr>
          <w:rFonts w:hint="eastAsia"/>
        </w:rPr>
        <w:t>0</w:t>
      </w:r>
      <w:r>
        <w:t>辆，7座以上19座（含19座）以下客车</w:t>
      </w:r>
      <w:r>
        <w:rPr>
          <w:rFonts w:hint="eastAsia"/>
        </w:rPr>
        <w:t>0</w:t>
      </w:r>
      <w:r>
        <w:t>辆，越野车</w:t>
      </w:r>
      <w:r>
        <w:rPr>
          <w:rFonts w:hint="eastAsia"/>
          <w:lang w:val="en-US" w:eastAsia="zh-CN"/>
        </w:rPr>
        <w:t>0</w:t>
      </w:r>
      <w:r>
        <w:t>辆，货车及19座以上客车</w:t>
      </w:r>
      <w:r>
        <w:rPr>
          <w:rFonts w:hint="eastAsia"/>
        </w:rPr>
        <w:t>0</w:t>
      </w:r>
      <w:r>
        <w:t>辆，摩托车</w:t>
      </w:r>
      <w:r>
        <w:rPr>
          <w:rFonts w:hint="eastAsia"/>
        </w:rPr>
        <w:t>0</w:t>
      </w:r>
      <w:r>
        <w:t>辆。</w:t>
      </w:r>
    </w:p>
    <w:p>
      <w:pPr>
        <w:spacing w:line="560" w:lineRule="exact"/>
        <w:ind w:firstLine="640" w:firstLineChars="200"/>
      </w:pPr>
      <w:r>
        <w:t>2021年安排公务用车运行维护费</w:t>
      </w:r>
      <w:r>
        <w:rPr>
          <w:rFonts w:hint="eastAsia"/>
        </w:rPr>
        <w:t>0</w:t>
      </w:r>
      <w:r>
        <w:t>万元。</w:t>
      </w:r>
    </w:p>
    <w:p>
      <w:pPr>
        <w:spacing w:line="560" w:lineRule="exact"/>
        <w:ind w:firstLine="640" w:firstLineChars="200"/>
        <w:rPr>
          <w:rFonts w:eastAsia="黑体"/>
        </w:rPr>
      </w:pPr>
      <w:r>
        <w:rPr>
          <w:rFonts w:eastAsia="黑体"/>
        </w:rPr>
        <w:t>八、政府性基金预算支出情况说明</w:t>
      </w:r>
    </w:p>
    <w:p>
      <w:pPr>
        <w:spacing w:line="560" w:lineRule="exact"/>
        <w:ind w:firstLine="640" w:firstLineChars="200"/>
      </w:pPr>
      <w:r>
        <w:t>2021年没有使用政府性基金预算拨款安排的支出。</w:t>
      </w:r>
    </w:p>
    <w:p>
      <w:pPr>
        <w:spacing w:line="560" w:lineRule="exact"/>
        <w:ind w:firstLine="640" w:firstLineChars="200"/>
        <w:rPr>
          <w:rFonts w:eastAsia="黑体"/>
        </w:rPr>
      </w:pPr>
      <w:r>
        <w:rPr>
          <w:rFonts w:eastAsia="黑体"/>
        </w:rPr>
        <w:t>九、其他重要事项的情况说明</w:t>
      </w:r>
    </w:p>
    <w:p>
      <w:pPr>
        <w:spacing w:line="560" w:lineRule="exact"/>
        <w:ind w:firstLine="640" w:firstLineChars="200"/>
        <w:rPr>
          <w:rFonts w:eastAsia="楷体_GB2312"/>
        </w:rPr>
      </w:pPr>
      <w:r>
        <w:rPr>
          <w:rFonts w:eastAsia="楷体_GB2312"/>
        </w:rPr>
        <w:t>（一）业务运行经费。</w:t>
      </w:r>
    </w:p>
    <w:p>
      <w:pPr>
        <w:spacing w:line="560" w:lineRule="exact"/>
        <w:ind w:firstLine="640" w:firstLineChars="200"/>
        <w:rPr>
          <w:u w:val="none"/>
        </w:rPr>
      </w:pPr>
      <w:r>
        <w:t>2021年，</w:t>
      </w:r>
      <w:r>
        <w:rPr>
          <w:rFonts w:hint="eastAsia"/>
        </w:rPr>
        <w:t>我院</w:t>
      </w:r>
      <w:r>
        <w:t>以及下属等</w:t>
      </w:r>
      <w:r>
        <w:rPr>
          <w:rFonts w:hint="eastAsia"/>
        </w:rPr>
        <w:t>0</w:t>
      </w:r>
      <w:r>
        <w:t>家行政单位、</w:t>
      </w:r>
      <w:r>
        <w:rPr>
          <w:rFonts w:hint="eastAsia"/>
        </w:rPr>
        <w:t>0</w:t>
      </w:r>
      <w:r>
        <w:t>家参公管理事业单位的机关运行经费财政拨款预算为</w:t>
      </w:r>
      <w:r>
        <w:rPr>
          <w:rFonts w:hint="eastAsia"/>
        </w:rPr>
        <w:t>0</w:t>
      </w:r>
      <w:r>
        <w:t>万元，比20</w:t>
      </w:r>
      <w:r>
        <w:rPr>
          <w:rFonts w:hint="eastAsia"/>
        </w:rPr>
        <w:t>20</w:t>
      </w:r>
      <w:r>
        <w:t>年预算</w:t>
      </w:r>
      <w:r>
        <w:rPr>
          <w:u w:val="single"/>
        </w:rPr>
        <w:t>增</w:t>
      </w:r>
      <w:r>
        <w:rPr>
          <w:u w:val="none"/>
        </w:rPr>
        <w:t>加/减少</w:t>
      </w:r>
      <w:r>
        <w:rPr>
          <w:rFonts w:hint="eastAsia"/>
          <w:u w:val="none"/>
        </w:rPr>
        <w:t>0</w:t>
      </w:r>
      <w:r>
        <w:rPr>
          <w:u w:val="none"/>
        </w:rPr>
        <w:t>万元，增长/下降</w:t>
      </w:r>
      <w:r>
        <w:rPr>
          <w:rFonts w:hint="eastAsia"/>
          <w:u w:val="none"/>
        </w:rPr>
        <w:t>0</w:t>
      </w:r>
      <w:r>
        <w:rPr>
          <w:u w:val="none"/>
        </w:rPr>
        <w:t>%。</w:t>
      </w:r>
    </w:p>
    <w:p>
      <w:pPr>
        <w:spacing w:line="579" w:lineRule="exact"/>
        <w:ind w:firstLine="640"/>
        <w:rPr>
          <w:rFonts w:eastAsia="楷体_GB2312"/>
        </w:rPr>
      </w:pPr>
      <w:r>
        <w:rPr>
          <w:rFonts w:eastAsia="楷体_GB2312"/>
        </w:rPr>
        <w:t>（二）国有资产占有使用情况。</w:t>
      </w:r>
    </w:p>
    <w:p>
      <w:pPr>
        <w:spacing w:line="560" w:lineRule="exact"/>
        <w:ind w:firstLine="640" w:firstLineChars="200"/>
        <w:rPr>
          <w:u w:val="none"/>
        </w:rPr>
      </w:pPr>
      <w:r>
        <w:t>截至</w:t>
      </w:r>
      <w:r>
        <w:rPr>
          <w:rFonts w:hint="eastAsia"/>
        </w:rPr>
        <w:t>2020</w:t>
      </w:r>
      <w:r>
        <w:t>年底，</w:t>
      </w:r>
      <w:r>
        <w:rPr>
          <w:rFonts w:hint="eastAsia"/>
        </w:rPr>
        <w:t>我单位</w:t>
      </w:r>
      <w:r>
        <w:rPr>
          <w:u w:val="none"/>
        </w:rPr>
        <w:t>及所属的非独立核算单位共有车辆</w:t>
      </w:r>
      <w:r>
        <w:rPr>
          <w:rFonts w:hint="eastAsia"/>
          <w:u w:val="none"/>
        </w:rPr>
        <w:t>1</w:t>
      </w:r>
      <w:r>
        <w:rPr>
          <w:u w:val="none"/>
        </w:rPr>
        <w:t>辆，其中，执法执勤用车</w:t>
      </w:r>
      <w:r>
        <w:rPr>
          <w:rFonts w:hint="eastAsia"/>
          <w:u w:val="none"/>
        </w:rPr>
        <w:t>0</w:t>
      </w:r>
      <w:r>
        <w:rPr>
          <w:u w:val="none"/>
        </w:rPr>
        <w:t>辆。单位价值200万元以上大型设备</w:t>
      </w:r>
      <w:r>
        <w:rPr>
          <w:rFonts w:hint="eastAsia"/>
          <w:u w:val="none"/>
        </w:rPr>
        <w:t>0</w:t>
      </w:r>
      <w:r>
        <w:rPr>
          <w:u w:val="none"/>
        </w:rPr>
        <w:t>台（套）。</w:t>
      </w:r>
    </w:p>
    <w:p>
      <w:pPr>
        <w:spacing w:line="560" w:lineRule="exact"/>
        <w:ind w:firstLine="640" w:firstLineChars="200"/>
        <w:rPr>
          <w:rFonts w:eastAsia="楷体_GB2312"/>
        </w:rPr>
      </w:pPr>
      <w:r>
        <w:rPr>
          <w:rFonts w:eastAsia="楷体_GB2312"/>
        </w:rPr>
        <w:t>（三）绩效目标设置情况。</w:t>
      </w:r>
    </w:p>
    <w:p>
      <w:pPr>
        <w:spacing w:line="560" w:lineRule="exact"/>
        <w:ind w:firstLine="640" w:firstLineChars="200"/>
      </w:pPr>
      <w:r>
        <w:t>202</w:t>
      </w:r>
      <w:r>
        <w:rPr>
          <w:rFonts w:hint="eastAsia"/>
        </w:rPr>
        <w:t>1</w:t>
      </w:r>
      <w:r>
        <w:t>年</w:t>
      </w:r>
      <w:r>
        <w:rPr>
          <w:rFonts w:hint="eastAsia"/>
        </w:rPr>
        <w:t>本单位</w:t>
      </w:r>
      <w:r>
        <w:t>部门通用项目和专用项目均按要求实行绩效目标管理，涉及一般公共预算当年拨款</w:t>
      </w:r>
      <w:r>
        <w:rPr>
          <w:rFonts w:hint="eastAsia"/>
        </w:rPr>
        <w:t>242.18</w:t>
      </w:r>
      <w:r>
        <w:t>万元。</w:t>
      </w:r>
    </w:p>
    <w:p>
      <w:pPr>
        <w:numPr>
          <w:ilvl w:val="0"/>
          <w:numId w:val="1"/>
        </w:numPr>
        <w:spacing w:line="560" w:lineRule="exact"/>
        <w:ind w:firstLine="640" w:firstLineChars="200"/>
        <w:rPr>
          <w:rFonts w:hint="eastAsia"/>
          <w:lang w:eastAsia="zh-CN"/>
        </w:rPr>
      </w:pPr>
      <w:r>
        <w:rPr>
          <w:rFonts w:hint="eastAsia"/>
          <w:lang w:eastAsia="zh-CN"/>
        </w:rPr>
        <w:t>政府采购预算安排情况</w:t>
      </w:r>
    </w:p>
    <w:p>
      <w:pPr>
        <w:numPr>
          <w:numId w:val="0"/>
        </w:numPr>
        <w:spacing w:line="560" w:lineRule="exact"/>
        <w:ind w:firstLine="640" w:firstLineChars="200"/>
        <w:rPr>
          <w:rFonts w:hint="eastAsia"/>
          <w:lang w:eastAsia="zh-CN"/>
        </w:rPr>
      </w:pPr>
      <w:r>
        <w:rPr>
          <w:rFonts w:hint="eastAsia"/>
          <w:lang w:eastAsia="zh-CN"/>
        </w:rPr>
        <w:t>盐边县渔门中心卫生院2021年</w:t>
      </w:r>
      <w:r>
        <w:rPr>
          <w:rFonts w:hint="eastAsia" w:ascii="仿宋" w:hAnsi="仿宋" w:eastAsia="仿宋" w:cs="仿宋"/>
          <w:color w:val="333333"/>
          <w:kern w:val="0"/>
          <w:lang w:val="en-US" w:eastAsia="zh-CN"/>
        </w:rPr>
        <w:t>政府采购年初预算安排为0万元。</w:t>
      </w:r>
      <w:bookmarkStart w:id="1" w:name="_GoBack"/>
      <w:bookmarkEnd w:id="1"/>
    </w:p>
    <w:p>
      <w:pPr>
        <w:spacing w:line="560" w:lineRule="exact"/>
        <w:ind w:firstLine="640" w:firstLineChars="200"/>
        <w:rPr>
          <w:rFonts w:eastAsia="黑体"/>
        </w:rPr>
      </w:pPr>
      <w:r>
        <w:rPr>
          <w:rFonts w:eastAsia="黑体"/>
        </w:rPr>
        <w:t>十、名词解释</w:t>
      </w:r>
    </w:p>
    <w:p>
      <w:pPr>
        <w:spacing w:line="560" w:lineRule="exact"/>
        <w:ind w:firstLine="643" w:firstLineChars="200"/>
      </w:pPr>
      <w:r>
        <w:rPr>
          <w:b/>
        </w:rPr>
        <w:t>1.一般公共预算拨款收入：</w:t>
      </w:r>
      <w:r>
        <w:t>指县级财政当年拨付的资金。</w:t>
      </w:r>
    </w:p>
    <w:p>
      <w:pPr>
        <w:spacing w:line="560" w:lineRule="exact"/>
        <w:ind w:firstLine="643" w:firstLineChars="200"/>
      </w:pPr>
      <w:r>
        <w:rPr>
          <w:b/>
        </w:rPr>
        <w:t>2.医疗卫生与计划生育（类）行政事业单位医疗（款）行政单位医疗（项）：</w:t>
      </w:r>
      <w:r>
        <w:t>指县级机关及参公管理事业单位用于缴纳单位基本医疗保险支出。（单位涉及的所有支出功能分类科目都要解释）</w:t>
      </w:r>
    </w:p>
    <w:p>
      <w:pPr>
        <w:spacing w:line="560" w:lineRule="exact"/>
        <w:ind w:firstLine="643" w:firstLineChars="200"/>
      </w:pPr>
      <w:r>
        <w:rPr>
          <w:b/>
        </w:rPr>
        <w:t>3.基本支出：</w:t>
      </w:r>
      <w:r>
        <w:t>指为保证机构正常运转，完成日常工作任务而发生的人员支出和公用支出。</w:t>
      </w:r>
    </w:p>
    <w:p>
      <w:pPr>
        <w:spacing w:line="560" w:lineRule="exact"/>
        <w:ind w:firstLine="643" w:firstLineChars="200"/>
      </w:pPr>
      <w:r>
        <w:rPr>
          <w:b/>
        </w:rPr>
        <w:t>4.项目支出：</w:t>
      </w:r>
      <w:r>
        <w:t>指在基本支出之外为完成特定行政任务和事业发展目标所发生的支出。</w:t>
      </w:r>
    </w:p>
    <w:p>
      <w:pPr>
        <w:spacing w:line="560" w:lineRule="exact"/>
        <w:ind w:firstLine="643" w:firstLineChars="200"/>
      </w:pPr>
      <w:r>
        <w:rPr>
          <w:b/>
        </w:rPr>
        <w:t>5.“三公”经费：</w:t>
      </w:r>
      <w:r>
        <w:t>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3" w:firstLineChars="200"/>
      </w:pPr>
      <w:r>
        <w:rPr>
          <w:b/>
        </w:rPr>
        <w:t>6.业务运行经费：</w:t>
      </w:r>
      <w:r>
        <w:t>为保障行政单位（包含参照公务员法管理的事业单位）运行用于购买货物和服务的各项资金。包括办公及办公费、水费、电费、印刷费、邮电费、差旅费、会议费等费用开支。</w:t>
      </w:r>
    </w:p>
    <w:p>
      <w:pPr>
        <w:spacing w:line="560" w:lineRule="exact"/>
        <w:ind w:firstLine="640" w:firstLineChars="200"/>
      </w:pPr>
    </w:p>
    <w:p>
      <w:pPr>
        <w:spacing w:line="560" w:lineRule="exact"/>
        <w:ind w:firstLine="640" w:firstLineChars="200"/>
      </w:pPr>
      <w:r>
        <w:t>附件：公开01表  收支总表</w:t>
      </w:r>
    </w:p>
    <w:p>
      <w:pPr>
        <w:spacing w:line="560" w:lineRule="exact"/>
      </w:pPr>
      <w:r>
        <w:t>　　      公开02表  收入总表</w:t>
      </w:r>
    </w:p>
    <w:p>
      <w:pPr>
        <w:spacing w:line="560" w:lineRule="exact"/>
      </w:pPr>
      <w:r>
        <w:t>　　      公开03表  支出总表</w:t>
      </w:r>
    </w:p>
    <w:p>
      <w:pPr>
        <w:spacing w:line="560" w:lineRule="exact"/>
      </w:pPr>
      <w:r>
        <w:t>　　      公开04表  财政拨款收支预算总表</w:t>
      </w:r>
    </w:p>
    <w:p>
      <w:pPr>
        <w:spacing w:line="560" w:lineRule="exact"/>
      </w:pPr>
      <w:r>
        <w:t>　　      公开05表  一般公共预算支出预算表</w:t>
      </w:r>
    </w:p>
    <w:p>
      <w:pPr>
        <w:spacing w:line="560" w:lineRule="exact"/>
      </w:pPr>
      <w:r>
        <w:t>　　      公开06表  一般公共预算基本支出预算表</w:t>
      </w:r>
    </w:p>
    <w:p>
      <w:pPr>
        <w:spacing w:line="560" w:lineRule="exact"/>
      </w:pPr>
      <w:r>
        <w:t>　　      公开07表  一般公共预算项目支出预算表</w:t>
      </w:r>
    </w:p>
    <w:p>
      <w:pPr>
        <w:spacing w:line="560" w:lineRule="exact"/>
      </w:pPr>
      <w:r>
        <w:t>　　      公开08表  一般公共预算“三公”经费预算表</w:t>
      </w:r>
    </w:p>
    <w:p>
      <w:pPr>
        <w:spacing w:line="560" w:lineRule="exact"/>
        <w:ind w:firstLine="1600" w:firstLineChars="500"/>
      </w:pPr>
      <w:r>
        <w:t>公开09表  政府性基金支出预算表</w:t>
      </w:r>
    </w:p>
    <w:p>
      <w:pPr>
        <w:spacing w:line="560" w:lineRule="exact"/>
        <w:ind w:left="3360" w:leftChars="500" w:hanging="1760" w:hangingChars="550"/>
      </w:pPr>
      <w:r>
        <w:t>公开10表  政府性基金预算“三公”经费支出预算表</w:t>
      </w:r>
    </w:p>
    <w:p>
      <w:pPr>
        <w:spacing w:line="560" w:lineRule="exact"/>
        <w:ind w:firstLine="1600" w:firstLineChars="500"/>
      </w:pPr>
      <w:r>
        <w:t>公开11表  国有资本经营预算支出预算表</w:t>
      </w:r>
    </w:p>
    <w:p>
      <w:pPr>
        <w:spacing w:line="560" w:lineRule="exact"/>
        <w:ind w:firstLine="640" w:firstLineChars="200"/>
        <w:rPr>
          <w:u w:val="single"/>
        </w:rPr>
      </w:pPr>
    </w:p>
    <w:sectPr>
      <w:footerReference r:id="rId3" w:type="default"/>
      <w:footerReference r:id="rId4" w:type="even"/>
      <w:pgSz w:w="11906" w:h="16838"/>
      <w:pgMar w:top="2098" w:right="1474" w:bottom="1984" w:left="1587"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Style w:val="9"/>
                    <w:rFonts w:ascii="宋体" w:hAnsi="宋体"/>
                    <w:sz w:val="30"/>
                    <w:szCs w:val="30"/>
                  </w:rPr>
                </w:pPr>
                <w:r>
                  <w:rPr>
                    <w:rFonts w:ascii="宋体" w:hAnsi="宋体"/>
                    <w:sz w:val="30"/>
                    <w:szCs w:val="30"/>
                  </w:rPr>
                  <w:fldChar w:fldCharType="begin"/>
                </w:r>
                <w:r>
                  <w:rPr>
                    <w:rStyle w:val="9"/>
                    <w:rFonts w:ascii="宋体" w:hAnsi="宋体"/>
                    <w:sz w:val="30"/>
                    <w:szCs w:val="30"/>
                  </w:rPr>
                  <w:instrText xml:space="preserve">PAGE  </w:instrText>
                </w:r>
                <w:r>
                  <w:rPr>
                    <w:rFonts w:ascii="宋体" w:hAnsi="宋体"/>
                    <w:sz w:val="30"/>
                    <w:szCs w:val="30"/>
                  </w:rPr>
                  <w:fldChar w:fldCharType="separate"/>
                </w:r>
                <w:r>
                  <w:rPr>
                    <w:rStyle w:val="9"/>
                    <w:rFonts w:ascii="宋体" w:hAnsi="宋体"/>
                    <w:sz w:val="30"/>
                    <w:szCs w:val="30"/>
                  </w:rPr>
                  <w:t>- 1 -</w:t>
                </w:r>
                <w:r>
                  <w:rPr>
                    <w:rFonts w:ascii="宋体" w:hAnsi="宋体"/>
                    <w:sz w:val="30"/>
                    <w:szCs w:val="3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BA26C"/>
    <w:multiLevelType w:val="singleLevel"/>
    <w:tmpl w:val="75EBA2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GZkMWJhN2YyYWU1ZWRlMWQ0NzVhN2I3YjE2ZmI5YTAifQ=="/>
  </w:docVars>
  <w:rsids>
    <w:rsidRoot w:val="00172A27"/>
    <w:rsid w:val="00097D7C"/>
    <w:rsid w:val="000B1612"/>
    <w:rsid w:val="000C59B2"/>
    <w:rsid w:val="000D17D7"/>
    <w:rsid w:val="001152A7"/>
    <w:rsid w:val="00172A27"/>
    <w:rsid w:val="0019019F"/>
    <w:rsid w:val="001E189C"/>
    <w:rsid w:val="00221649"/>
    <w:rsid w:val="00270C1F"/>
    <w:rsid w:val="00281699"/>
    <w:rsid w:val="00361D61"/>
    <w:rsid w:val="004277FC"/>
    <w:rsid w:val="00427900"/>
    <w:rsid w:val="00442A8A"/>
    <w:rsid w:val="004C3259"/>
    <w:rsid w:val="004D6582"/>
    <w:rsid w:val="00501C35"/>
    <w:rsid w:val="0050715B"/>
    <w:rsid w:val="006175FE"/>
    <w:rsid w:val="006346E2"/>
    <w:rsid w:val="006427FB"/>
    <w:rsid w:val="00661871"/>
    <w:rsid w:val="006649AE"/>
    <w:rsid w:val="00672E88"/>
    <w:rsid w:val="006C5E26"/>
    <w:rsid w:val="006C6E0F"/>
    <w:rsid w:val="006D7AC8"/>
    <w:rsid w:val="006E31E6"/>
    <w:rsid w:val="00813706"/>
    <w:rsid w:val="00863D89"/>
    <w:rsid w:val="00865840"/>
    <w:rsid w:val="008677B2"/>
    <w:rsid w:val="00906480"/>
    <w:rsid w:val="009D3448"/>
    <w:rsid w:val="00A62D56"/>
    <w:rsid w:val="00B01DFF"/>
    <w:rsid w:val="00BA6340"/>
    <w:rsid w:val="00BD25A6"/>
    <w:rsid w:val="00BE1885"/>
    <w:rsid w:val="00C01213"/>
    <w:rsid w:val="00C17C62"/>
    <w:rsid w:val="00C83622"/>
    <w:rsid w:val="00CD58B0"/>
    <w:rsid w:val="00D117F4"/>
    <w:rsid w:val="00D81592"/>
    <w:rsid w:val="00DD00E6"/>
    <w:rsid w:val="00E103FB"/>
    <w:rsid w:val="00E12B1E"/>
    <w:rsid w:val="00E332ED"/>
    <w:rsid w:val="00E42956"/>
    <w:rsid w:val="00E47518"/>
    <w:rsid w:val="00E53FB6"/>
    <w:rsid w:val="00EB4768"/>
    <w:rsid w:val="00EB71A9"/>
    <w:rsid w:val="00EF0AF6"/>
    <w:rsid w:val="00F3112C"/>
    <w:rsid w:val="00F51748"/>
    <w:rsid w:val="00F84F71"/>
    <w:rsid w:val="00FC596E"/>
    <w:rsid w:val="00FE1886"/>
    <w:rsid w:val="06B41656"/>
    <w:rsid w:val="0A280455"/>
    <w:rsid w:val="0AD30695"/>
    <w:rsid w:val="111C4182"/>
    <w:rsid w:val="20B70D23"/>
    <w:rsid w:val="21B90185"/>
    <w:rsid w:val="267716B3"/>
    <w:rsid w:val="2A7A4CF5"/>
    <w:rsid w:val="32957BC0"/>
    <w:rsid w:val="357F58F8"/>
    <w:rsid w:val="3AC04E69"/>
    <w:rsid w:val="3FB8278A"/>
    <w:rsid w:val="44A37F36"/>
    <w:rsid w:val="456336E2"/>
    <w:rsid w:val="4B270992"/>
    <w:rsid w:val="4CA8047D"/>
    <w:rsid w:val="5B0527B2"/>
    <w:rsid w:val="70FD6ECB"/>
    <w:rsid w:val="72717662"/>
    <w:rsid w:val="73A008DD"/>
    <w:rsid w:val="760261A1"/>
    <w:rsid w:val="763924B4"/>
    <w:rsid w:val="76D435B5"/>
    <w:rsid w:val="7E6243A5"/>
    <w:rsid w:val="7E88212D"/>
    <w:rsid w:val="7F46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sz w:val="30"/>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Char Char Char Char Char Char Char Char Char Char Char Char"/>
    <w:basedOn w:val="1"/>
    <w:qFormat/>
    <w:uiPriority w:val="0"/>
    <w:rPr>
      <w:szCs w:val="21"/>
    </w:rPr>
  </w:style>
  <w:style w:type="paragraph" w:customStyle="1" w:styleId="11">
    <w:name w:val="Char Char1 Char Char Char Char Char Char Char Char"/>
    <w:basedOn w:val="1"/>
    <w:next w:val="1"/>
    <w:qFormat/>
    <w:uiPriority w:val="0"/>
    <w:pPr>
      <w:spacing w:line="240" w:lineRule="atLeast"/>
      <w:ind w:left="420" w:firstLine="420"/>
      <w:jc w:val="left"/>
    </w:pPr>
    <w:rPr>
      <w:rFonts w:eastAsia="宋体"/>
      <w:kern w:val="0"/>
      <w:sz w:val="21"/>
      <w:szCs w:val="21"/>
    </w:rPr>
  </w:style>
  <w:style w:type="paragraph" w:customStyle="1" w:styleId="12">
    <w:name w:val="para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3627</Words>
  <Characters>3890</Characters>
  <Lines>30</Lines>
  <Paragraphs>8</Paragraphs>
  <TotalTime>0</TotalTime>
  <ScaleCrop>false</ScaleCrop>
  <LinksUpToDate>false</LinksUpToDate>
  <CharactersWithSpaces>3969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2021-02-24T02:19:00Z</dcterms:created>
  <dc:creator>赵树子</dc:creator>
  <cp:lastModifiedBy>卿超</cp:lastModifiedBy>
  <cp:lastPrinted>2017-02-23T08:48:00Z</cp:lastPrinted>
  <dcterms:modified xsi:type="dcterms:W3CDTF">2022-06-24T05:22:25Z</dcterms:modified>
  <dc:title>四川省财政厅2011年部门预算编制说明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16EC599E16C34373AA8A1356578795B9</vt:lpwstr>
  </property>
</Properties>
</file>