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14" w:name="_GoBack"/>
      <w:bookmarkEnd w:id="14"/>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52180062"/>
      <w:bookmarkStart w:id="4" w:name="_Toc15377425"/>
      <w:bookmarkStart w:id="5" w:name="_Toc15378441"/>
      <w:bookmarkStart w:id="6" w:name="_Toc15396475"/>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7426"/>
      <w:bookmarkStart w:id="8" w:name="_Toc15396476"/>
      <w:bookmarkStart w:id="9" w:name="_Toc52180063"/>
      <w:bookmarkStart w:id="10" w:name="_Toc15396598"/>
      <w:bookmarkStart w:id="11" w:name="_Toc15378442"/>
      <w:bookmarkStart w:id="12" w:name="_Toc15377194"/>
      <w:r>
        <w:rPr>
          <w:rFonts w:hint="eastAsia" w:ascii="方正小标宋简体" w:hAnsi="宋体" w:eastAsia="方正小标宋简体"/>
          <w:color w:val="000000"/>
          <w:sz w:val="72"/>
          <w:szCs w:val="72"/>
        </w:rPr>
        <w:t>盐边县</w:t>
      </w:r>
      <w:bookmarkEnd w:id="0"/>
      <w:bookmarkStart w:id="13" w:name="_Toc15306268"/>
      <w:r>
        <w:rPr>
          <w:rFonts w:hint="eastAsia" w:ascii="方正小标宋简体" w:hAnsi="宋体" w:eastAsia="方正小标宋简体"/>
          <w:color w:val="000000"/>
          <w:sz w:val="72"/>
          <w:szCs w:val="72"/>
        </w:rPr>
        <w:t>财政局部门决算</w:t>
      </w:r>
      <w:bookmarkEnd w:id="7"/>
      <w:bookmarkEnd w:id="8"/>
      <w:bookmarkEnd w:id="9"/>
      <w:bookmarkEnd w:id="10"/>
      <w:bookmarkEnd w:id="11"/>
      <w:bookmarkEnd w:id="12"/>
      <w:bookmarkEnd w:id="13"/>
    </w:p>
    <w:p>
      <w:pPr>
        <w:pStyle w:val="2"/>
        <w:jc w:val="center"/>
        <w:rPr>
          <w:rFonts w:eastAsia="方正小标宋简体"/>
        </w:rPr>
      </w:pPr>
      <w:r>
        <w:rPr>
          <w:rFonts w:hint="eastAsia" w:ascii="方正小标宋简体" w:hAnsi="宋体" w:eastAsia="方正小标宋简体"/>
          <w:color w:val="000000"/>
          <w:sz w:val="72"/>
          <w:szCs w:val="72"/>
        </w:rPr>
        <w:t>编制说明</w:t>
      </w:r>
    </w:p>
    <w:p>
      <w:pPr>
        <w:widowControl/>
        <w:spacing w:line="640" w:lineRule="exact"/>
        <w:jc w:val="center"/>
        <w:rPr>
          <w:rFonts w:eastAsia="方正小标宋_GBK"/>
          <w:color w:val="000000"/>
          <w:sz w:val="44"/>
          <w:szCs w:val="44"/>
        </w:rPr>
      </w:pPr>
      <w:r>
        <w:rPr>
          <w:rFonts w:ascii="方正小标宋简体" w:hAnsi="宋体" w:eastAsia="方正小标宋简体"/>
          <w:color w:val="000000"/>
          <w:sz w:val="36"/>
          <w:szCs w:val="36"/>
        </w:rPr>
        <w:br w:type="page"/>
      </w:r>
      <w:r>
        <w:rPr>
          <w:rFonts w:eastAsia="方正小标宋_GBK"/>
          <w:color w:val="000000"/>
          <w:sz w:val="44"/>
          <w:szCs w:val="44"/>
        </w:rPr>
        <w:t>目  录</w:t>
      </w:r>
    </w:p>
    <w:p>
      <w:pPr>
        <w:spacing w:line="640" w:lineRule="exact"/>
        <w:jc w:val="center"/>
        <w:rPr>
          <w:rFonts w:eastAsia="方正楷体_GBK"/>
          <w:sz w:val="32"/>
          <w:szCs w:val="32"/>
        </w:rPr>
      </w:pPr>
      <w:r>
        <w:rPr>
          <w:rFonts w:eastAsia="方正楷体_GBK"/>
          <w:sz w:val="32"/>
          <w:szCs w:val="32"/>
        </w:rPr>
        <w:t>公开时间：2021年</w:t>
      </w:r>
      <w:r>
        <w:rPr>
          <w:rFonts w:hint="eastAsia" w:eastAsia="方正楷体_GBK"/>
          <w:sz w:val="32"/>
          <w:szCs w:val="32"/>
        </w:rPr>
        <w:t>10</w:t>
      </w:r>
      <w:r>
        <w:rPr>
          <w:rFonts w:eastAsia="方正楷体_GBK"/>
          <w:sz w:val="32"/>
          <w:szCs w:val="32"/>
        </w:rPr>
        <w:t xml:space="preserve"> 月</w:t>
      </w:r>
      <w:r>
        <w:rPr>
          <w:rFonts w:hint="eastAsia" w:eastAsia="方正楷体_GBK"/>
          <w:sz w:val="32"/>
          <w:szCs w:val="32"/>
        </w:rPr>
        <w:t>20</w:t>
      </w:r>
      <w:r>
        <w:rPr>
          <w:rFonts w:eastAsia="方正楷体_GBK"/>
          <w:sz w:val="32"/>
          <w:szCs w:val="32"/>
        </w:rPr>
        <w:t xml:space="preserve"> 日</w:t>
      </w:r>
    </w:p>
    <w:p>
      <w:pPr>
        <w:pStyle w:val="7"/>
        <w:rPr>
          <w:rFonts w:ascii="仿宋_GB2312" w:hAnsi="仿宋_GB2312" w:eastAsia="仿宋_GB2312" w:cs="仿宋_GB2312"/>
          <w:b/>
          <w:bCs/>
          <w:sz w:val="32"/>
          <w:szCs w:val="32"/>
        </w:rPr>
      </w:pPr>
    </w:p>
    <w:sdt>
      <w:sdtPr>
        <w:rPr>
          <w:rFonts w:hint="eastAsia" w:ascii="仿宋_GB2312" w:hAnsi="仿宋_GB2312" w:eastAsia="仿宋_GB2312" w:cs="仿宋_GB2312"/>
          <w:sz w:val="28"/>
          <w:szCs w:val="28"/>
          <w:lang w:val="zh-CN"/>
        </w:rPr>
        <w:id w:val="864955229"/>
      </w:sdtPr>
      <w:sdtEndPr>
        <w:rPr>
          <w:rFonts w:hint="eastAsia" w:ascii="Times New Roman" w:hAnsi="Times New Roman" w:eastAsia="宋体" w:cs="Times New Roman"/>
          <w:sz w:val="21"/>
          <w:szCs w:val="24"/>
          <w:lang w:val="en-US"/>
        </w:rPr>
      </w:sdtEndPr>
      <w:sdtContent>
        <w:p>
          <w:pPr>
            <w:spacing w:line="560" w:lineRule="exact"/>
            <w:ind w:firstLine="560" w:firstLineChars="200"/>
            <w:rPr>
              <w:rFonts w:eastAsia="黑体"/>
              <w:sz w:val="32"/>
              <w:szCs w:val="32"/>
            </w:rPr>
          </w:pPr>
          <w:r>
            <w:rPr>
              <w:rFonts w:eastAsia="黑体"/>
              <w:sz w:val="32"/>
              <w:szCs w:val="32"/>
            </w:rPr>
            <w:t>第一部分 部门概况</w:t>
          </w:r>
          <w:r>
            <w:rPr>
              <w:rFonts w:hint="eastAsia" w:eastAsia="黑体"/>
              <w:sz w:val="32"/>
              <w:szCs w:val="32"/>
            </w:rPr>
            <w:t>........................................................4</w:t>
          </w:r>
        </w:p>
        <w:p>
          <w:pPr>
            <w:spacing w:line="560" w:lineRule="exact"/>
            <w:ind w:firstLine="640" w:firstLineChars="200"/>
            <w:rPr>
              <w:rFonts w:eastAsia="仿宋_GB2312"/>
              <w:sz w:val="32"/>
              <w:szCs w:val="32"/>
            </w:rPr>
          </w:pPr>
          <w:r>
            <w:rPr>
              <w:rFonts w:eastAsia="仿宋_GB2312"/>
              <w:sz w:val="32"/>
              <w:szCs w:val="32"/>
            </w:rPr>
            <w:t>一、基本职能及主要工作</w:t>
          </w:r>
          <w:r>
            <w:rPr>
              <w:rFonts w:hint="eastAsia" w:eastAsia="仿宋_GB2312"/>
              <w:sz w:val="32"/>
              <w:szCs w:val="32"/>
            </w:rPr>
            <w:t>.............................................4</w:t>
          </w:r>
        </w:p>
        <w:p>
          <w:pPr>
            <w:spacing w:line="560" w:lineRule="exact"/>
            <w:ind w:firstLine="640" w:firstLineChars="200"/>
            <w:rPr>
              <w:rFonts w:eastAsia="仿宋_GB2312"/>
              <w:sz w:val="32"/>
              <w:szCs w:val="32"/>
            </w:rPr>
          </w:pPr>
          <w:r>
            <w:rPr>
              <w:rFonts w:eastAsia="仿宋_GB2312"/>
              <w:sz w:val="32"/>
              <w:szCs w:val="32"/>
            </w:rPr>
            <w:t>二、机构设置</w:t>
          </w:r>
          <w:r>
            <w:rPr>
              <w:rFonts w:hint="eastAsia" w:eastAsia="仿宋_GB2312"/>
              <w:sz w:val="32"/>
              <w:szCs w:val="32"/>
            </w:rPr>
            <w:t>................................................................14</w:t>
          </w:r>
        </w:p>
        <w:p>
          <w:pPr>
            <w:spacing w:line="560" w:lineRule="exact"/>
            <w:ind w:firstLine="640" w:firstLineChars="200"/>
            <w:rPr>
              <w:rFonts w:eastAsia="黑体"/>
              <w:sz w:val="32"/>
              <w:szCs w:val="32"/>
            </w:rPr>
          </w:pPr>
          <w:r>
            <w:rPr>
              <w:rFonts w:eastAsia="黑体"/>
              <w:sz w:val="32"/>
              <w:szCs w:val="32"/>
            </w:rPr>
            <w:t>第二部分度部门决算情况说明</w:t>
          </w:r>
          <w:r>
            <w:rPr>
              <w:rFonts w:hint="eastAsia" w:eastAsia="黑体"/>
              <w:sz w:val="32"/>
              <w:szCs w:val="32"/>
            </w:rPr>
            <w:t>.....................................15</w:t>
          </w:r>
        </w:p>
        <w:p>
          <w:pPr>
            <w:spacing w:line="560" w:lineRule="exact"/>
            <w:ind w:firstLine="640" w:firstLineChars="200"/>
            <w:rPr>
              <w:rFonts w:eastAsia="仿宋_GB2312"/>
              <w:sz w:val="32"/>
              <w:szCs w:val="32"/>
            </w:rPr>
          </w:pPr>
          <w:r>
            <w:rPr>
              <w:rFonts w:eastAsia="仿宋_GB2312"/>
              <w:sz w:val="32"/>
              <w:szCs w:val="32"/>
            </w:rPr>
            <w:t>一、收入支出决算总体情况说明</w:t>
          </w:r>
          <w:r>
            <w:rPr>
              <w:rFonts w:hint="eastAsia" w:eastAsia="仿宋_GB2312"/>
              <w:sz w:val="32"/>
              <w:szCs w:val="32"/>
            </w:rPr>
            <w:t>.................................15</w:t>
          </w:r>
        </w:p>
        <w:p>
          <w:pPr>
            <w:spacing w:line="560" w:lineRule="exact"/>
            <w:ind w:firstLine="640" w:firstLineChars="200"/>
            <w:rPr>
              <w:rFonts w:eastAsia="仿宋_GB2312"/>
              <w:sz w:val="32"/>
              <w:szCs w:val="32"/>
            </w:rPr>
          </w:pPr>
          <w:r>
            <w:rPr>
              <w:rFonts w:eastAsia="仿宋_GB2312"/>
              <w:sz w:val="32"/>
              <w:szCs w:val="32"/>
            </w:rPr>
            <w:t>二、收入决算情况说明</w:t>
          </w:r>
          <w:r>
            <w:rPr>
              <w:rFonts w:hint="eastAsia" w:eastAsia="仿宋_GB2312"/>
              <w:sz w:val="32"/>
              <w:szCs w:val="32"/>
            </w:rPr>
            <w:t>.................................................16</w:t>
          </w:r>
        </w:p>
        <w:p>
          <w:pPr>
            <w:spacing w:line="560" w:lineRule="exact"/>
            <w:ind w:firstLine="640" w:firstLineChars="200"/>
            <w:rPr>
              <w:rFonts w:eastAsia="仿宋_GB2312"/>
              <w:sz w:val="32"/>
              <w:szCs w:val="32"/>
            </w:rPr>
          </w:pPr>
          <w:r>
            <w:rPr>
              <w:rFonts w:eastAsia="仿宋_GB2312"/>
              <w:sz w:val="32"/>
              <w:szCs w:val="32"/>
            </w:rPr>
            <w:t>三、支出决算情况说明</w:t>
          </w:r>
          <w:r>
            <w:rPr>
              <w:rFonts w:hint="eastAsia" w:eastAsia="仿宋_GB2312"/>
              <w:sz w:val="32"/>
              <w:szCs w:val="32"/>
            </w:rPr>
            <w:t>.................................................16</w:t>
          </w:r>
        </w:p>
        <w:p>
          <w:pPr>
            <w:spacing w:line="560" w:lineRule="exact"/>
            <w:ind w:firstLine="640" w:firstLineChars="200"/>
            <w:rPr>
              <w:rFonts w:eastAsia="仿宋_GB2312"/>
              <w:sz w:val="32"/>
              <w:szCs w:val="32"/>
            </w:rPr>
          </w:pPr>
          <w:r>
            <w:rPr>
              <w:rFonts w:eastAsia="仿宋_GB2312"/>
              <w:sz w:val="32"/>
              <w:szCs w:val="32"/>
            </w:rPr>
            <w:t>四、财政拨款收入支出决算总体情况说明</w:t>
          </w:r>
          <w:r>
            <w:rPr>
              <w:rFonts w:hint="eastAsia" w:eastAsia="仿宋_GB2312"/>
              <w:sz w:val="32"/>
              <w:szCs w:val="32"/>
            </w:rPr>
            <w:t>.................16</w:t>
          </w:r>
        </w:p>
        <w:p>
          <w:pPr>
            <w:spacing w:line="560" w:lineRule="exact"/>
            <w:ind w:firstLine="640" w:firstLineChars="200"/>
            <w:rPr>
              <w:rFonts w:eastAsia="仿宋_GB2312"/>
              <w:sz w:val="32"/>
              <w:szCs w:val="32"/>
            </w:rPr>
          </w:pPr>
          <w:r>
            <w:rPr>
              <w:rFonts w:eastAsia="仿宋_GB2312"/>
              <w:sz w:val="32"/>
              <w:szCs w:val="32"/>
            </w:rPr>
            <w:t>五、一般公共预算财政拨款支出决算情况说明</w:t>
          </w:r>
          <w:r>
            <w:rPr>
              <w:rFonts w:hint="eastAsia" w:eastAsia="仿宋_GB2312"/>
              <w:sz w:val="32"/>
              <w:szCs w:val="32"/>
            </w:rPr>
            <w:t>.........17</w:t>
          </w:r>
        </w:p>
        <w:p>
          <w:pPr>
            <w:spacing w:line="560" w:lineRule="exact"/>
            <w:ind w:firstLine="640" w:firstLineChars="200"/>
            <w:rPr>
              <w:rFonts w:eastAsia="仿宋_GB2312"/>
              <w:sz w:val="32"/>
              <w:szCs w:val="32"/>
            </w:rPr>
          </w:pPr>
          <w:r>
            <w:rPr>
              <w:rFonts w:eastAsia="仿宋_GB2312"/>
              <w:sz w:val="32"/>
              <w:szCs w:val="32"/>
            </w:rPr>
            <w:t>六、一般公共预算财政拨款基本支出决算情况说明</w:t>
          </w:r>
          <w:r>
            <w:rPr>
              <w:rFonts w:hint="eastAsia" w:eastAsia="仿宋_GB2312"/>
              <w:sz w:val="32"/>
              <w:szCs w:val="32"/>
            </w:rPr>
            <w:t>.19</w:t>
          </w:r>
        </w:p>
        <w:p>
          <w:pPr>
            <w:spacing w:line="560" w:lineRule="exact"/>
            <w:ind w:firstLine="640" w:firstLineChars="200"/>
            <w:rPr>
              <w:rFonts w:eastAsia="仿宋_GB2312"/>
              <w:sz w:val="32"/>
              <w:szCs w:val="32"/>
            </w:rPr>
          </w:pPr>
          <w:r>
            <w:rPr>
              <w:rFonts w:eastAsia="仿宋_GB2312"/>
              <w:sz w:val="32"/>
              <w:szCs w:val="32"/>
            </w:rPr>
            <w:t>七、“三公”经费财政拨款支出决算情况说明</w:t>
          </w:r>
          <w:r>
            <w:rPr>
              <w:rFonts w:hint="eastAsia" w:eastAsia="仿宋_GB2312"/>
              <w:sz w:val="32"/>
              <w:szCs w:val="32"/>
            </w:rPr>
            <w:t>..............20</w:t>
          </w:r>
        </w:p>
        <w:p>
          <w:pPr>
            <w:spacing w:line="560" w:lineRule="exact"/>
            <w:ind w:firstLine="640" w:firstLineChars="200"/>
            <w:rPr>
              <w:rFonts w:eastAsia="仿宋_GB2312"/>
              <w:sz w:val="32"/>
              <w:szCs w:val="32"/>
            </w:rPr>
          </w:pPr>
          <w:r>
            <w:rPr>
              <w:rFonts w:eastAsia="仿宋_GB2312"/>
              <w:sz w:val="32"/>
              <w:szCs w:val="32"/>
            </w:rPr>
            <w:t>八、政府性基金预算支出决算情况说明</w:t>
          </w:r>
          <w:r>
            <w:rPr>
              <w:rFonts w:hint="eastAsia" w:eastAsia="仿宋_GB2312"/>
              <w:sz w:val="32"/>
              <w:szCs w:val="32"/>
            </w:rPr>
            <w:t>......................22</w:t>
          </w:r>
        </w:p>
        <w:p>
          <w:pPr>
            <w:spacing w:line="560" w:lineRule="exact"/>
            <w:ind w:firstLine="640" w:firstLineChars="200"/>
            <w:rPr>
              <w:rFonts w:eastAsia="仿宋_GB2312"/>
              <w:sz w:val="32"/>
              <w:szCs w:val="32"/>
            </w:rPr>
          </w:pPr>
          <w:r>
            <w:rPr>
              <w:rFonts w:eastAsia="仿宋_GB2312"/>
              <w:sz w:val="32"/>
              <w:szCs w:val="32"/>
            </w:rPr>
            <w:t>九、国有资本经营预算支出决算情况说明</w:t>
          </w:r>
          <w:r>
            <w:rPr>
              <w:rFonts w:hint="eastAsia" w:eastAsia="仿宋_GB2312"/>
              <w:sz w:val="32"/>
              <w:szCs w:val="32"/>
            </w:rPr>
            <w:t>..................22</w:t>
          </w:r>
        </w:p>
        <w:p>
          <w:pPr>
            <w:spacing w:line="560" w:lineRule="exact"/>
            <w:ind w:firstLine="640" w:firstLineChars="200"/>
            <w:rPr>
              <w:rFonts w:eastAsia="仿宋_GB2312"/>
              <w:sz w:val="32"/>
              <w:szCs w:val="32"/>
            </w:rPr>
          </w:pPr>
          <w:r>
            <w:rPr>
              <w:rFonts w:eastAsia="仿宋_GB2312"/>
              <w:sz w:val="32"/>
              <w:szCs w:val="32"/>
            </w:rPr>
            <w:t>十、其他重要事项的情况说明</w:t>
          </w:r>
          <w:r>
            <w:rPr>
              <w:rFonts w:hint="eastAsia" w:eastAsia="仿宋_GB2312"/>
              <w:sz w:val="32"/>
              <w:szCs w:val="32"/>
            </w:rPr>
            <w:t>......................................22</w:t>
          </w:r>
        </w:p>
        <w:p>
          <w:pPr>
            <w:spacing w:line="560" w:lineRule="exact"/>
            <w:ind w:firstLine="640" w:firstLineChars="200"/>
            <w:rPr>
              <w:rFonts w:eastAsia="黑体"/>
              <w:sz w:val="32"/>
              <w:szCs w:val="32"/>
            </w:rPr>
          </w:pPr>
          <w:r>
            <w:rPr>
              <w:rFonts w:eastAsia="黑体"/>
              <w:sz w:val="32"/>
              <w:szCs w:val="32"/>
            </w:rPr>
            <w:t>第三部分 名词解释</w:t>
          </w:r>
          <w:r>
            <w:rPr>
              <w:rFonts w:hint="eastAsia" w:eastAsia="黑体"/>
              <w:sz w:val="32"/>
              <w:szCs w:val="32"/>
            </w:rPr>
            <w:t>........................................................32</w:t>
          </w:r>
        </w:p>
        <w:p>
          <w:pPr>
            <w:spacing w:line="560" w:lineRule="exact"/>
            <w:ind w:firstLine="640" w:firstLineChars="200"/>
            <w:rPr>
              <w:rFonts w:eastAsia="黑体"/>
              <w:sz w:val="32"/>
              <w:szCs w:val="32"/>
            </w:rPr>
          </w:pPr>
          <w:r>
            <w:rPr>
              <w:rFonts w:eastAsia="黑体"/>
              <w:sz w:val="32"/>
              <w:szCs w:val="32"/>
            </w:rPr>
            <w:t>第四部分 附件</w:t>
          </w:r>
          <w:r>
            <w:rPr>
              <w:rFonts w:hint="eastAsia" w:eastAsia="黑体"/>
              <w:sz w:val="32"/>
              <w:szCs w:val="32"/>
            </w:rPr>
            <w:t>................................................................37</w:t>
          </w:r>
        </w:p>
        <w:p>
          <w:pPr>
            <w:spacing w:line="560" w:lineRule="exact"/>
            <w:ind w:firstLine="640" w:firstLineChars="200"/>
            <w:rPr>
              <w:rFonts w:eastAsia="仿宋_GB2312"/>
              <w:sz w:val="32"/>
              <w:szCs w:val="32"/>
            </w:rPr>
          </w:pPr>
          <w:r>
            <w:rPr>
              <w:rFonts w:eastAsia="仿宋_GB2312"/>
              <w:sz w:val="32"/>
              <w:szCs w:val="32"/>
            </w:rPr>
            <w:t>附件1</w:t>
          </w:r>
          <w:r>
            <w:rPr>
              <w:rFonts w:hint="eastAsia" w:eastAsia="仿宋_GB2312"/>
              <w:sz w:val="32"/>
              <w:szCs w:val="32"/>
            </w:rPr>
            <w:t>...............................................................................35</w:t>
          </w:r>
        </w:p>
        <w:p>
          <w:pPr>
            <w:spacing w:line="560" w:lineRule="exact"/>
            <w:ind w:firstLine="640" w:firstLineChars="200"/>
            <w:rPr>
              <w:rFonts w:eastAsia="仿宋_GB2312"/>
              <w:sz w:val="32"/>
              <w:szCs w:val="32"/>
            </w:rPr>
          </w:pPr>
          <w:r>
            <w:rPr>
              <w:rFonts w:eastAsia="仿宋_GB2312"/>
              <w:sz w:val="32"/>
              <w:szCs w:val="32"/>
            </w:rPr>
            <w:t>附件2</w:t>
          </w:r>
          <w:r>
            <w:rPr>
              <w:rFonts w:hint="eastAsia" w:eastAsia="仿宋_GB2312"/>
              <w:sz w:val="32"/>
              <w:szCs w:val="32"/>
            </w:rPr>
            <w:t>...............................................................................43</w:t>
          </w:r>
        </w:p>
        <w:p>
          <w:pPr>
            <w:spacing w:line="560" w:lineRule="exact"/>
            <w:ind w:firstLine="640" w:firstLineChars="200"/>
            <w:rPr>
              <w:rFonts w:eastAsia="黑体"/>
              <w:sz w:val="32"/>
              <w:szCs w:val="32"/>
            </w:rPr>
          </w:pPr>
          <w:r>
            <w:rPr>
              <w:rFonts w:eastAsia="黑体"/>
              <w:sz w:val="32"/>
              <w:szCs w:val="32"/>
            </w:rPr>
            <w:t>第五部分 附表</w:t>
          </w:r>
          <w:r>
            <w:rPr>
              <w:rFonts w:hint="eastAsia" w:eastAsia="黑体"/>
              <w:sz w:val="32"/>
              <w:szCs w:val="32"/>
            </w:rPr>
            <w:t>................................................................49</w:t>
          </w:r>
        </w:p>
        <w:p>
          <w:pPr>
            <w:spacing w:line="560" w:lineRule="exact"/>
            <w:ind w:firstLine="640" w:firstLineChars="200"/>
            <w:rPr>
              <w:rFonts w:eastAsia="仿宋_GB2312"/>
              <w:sz w:val="32"/>
              <w:szCs w:val="32"/>
            </w:rPr>
          </w:pPr>
          <w:r>
            <w:rPr>
              <w:rFonts w:eastAsia="仿宋_GB2312"/>
              <w:sz w:val="32"/>
              <w:szCs w:val="32"/>
            </w:rPr>
            <w:t>一、收入支出决算总表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二、收入决算表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三、支出决算表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四、财政拨款收入支出决算总表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五、财政拨款支出决算明细表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六、一般公共预算财政拨款支出决算表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七、一般公共预算财政拨款支出决算明细表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八、一般公共预算财政拨款基本支出决算表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九、一般公共预算财政拨款项目支出决算表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十、一般公共预算财政拨款“三公”经费支出决算表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十一、政府性基金预算财政拨款收入支出决算表</w:t>
          </w:r>
          <w:r>
            <w:rPr>
              <w:rFonts w:hint="eastAsia" w:eastAsia="仿宋_GB2312"/>
              <w:sz w:val="32"/>
              <w:szCs w:val="32"/>
            </w:rPr>
            <w:t>.......49</w:t>
          </w:r>
        </w:p>
        <w:p>
          <w:pPr>
            <w:spacing w:line="560" w:lineRule="exact"/>
            <w:ind w:left="958" w:leftChars="304" w:hanging="320" w:hangingChars="100"/>
            <w:rPr>
              <w:rFonts w:eastAsia="仿宋_GB2312"/>
              <w:sz w:val="32"/>
              <w:szCs w:val="32"/>
            </w:rPr>
          </w:pPr>
          <w:r>
            <w:rPr>
              <w:rFonts w:eastAsia="仿宋_GB2312"/>
              <w:sz w:val="32"/>
              <w:szCs w:val="32"/>
            </w:rPr>
            <w:t>十二</w:t>
          </w:r>
          <w:r>
            <w:rPr>
              <w:rFonts w:hint="eastAsia" w:eastAsia="仿宋_GB2312"/>
              <w:sz w:val="32"/>
              <w:szCs w:val="32"/>
            </w:rPr>
            <w:t>、</w:t>
          </w:r>
          <w:r>
            <w:rPr>
              <w:rFonts w:eastAsia="仿宋_GB2312"/>
              <w:sz w:val="32"/>
              <w:szCs w:val="32"/>
            </w:rPr>
            <w:t>政府性基金预算财政拨款“三公”经费支出决算表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十三、国有资本经营预算财政拨款收入支出决算表</w:t>
          </w:r>
          <w:r>
            <w:rPr>
              <w:rFonts w:hint="eastAsia" w:eastAsia="仿宋_GB2312"/>
              <w:sz w:val="32"/>
              <w:szCs w:val="32"/>
            </w:rPr>
            <w:t>...49</w:t>
          </w:r>
        </w:p>
        <w:p>
          <w:pPr>
            <w:spacing w:line="560" w:lineRule="exact"/>
            <w:ind w:firstLine="640" w:firstLineChars="200"/>
            <w:rPr>
              <w:rFonts w:eastAsia="仿宋_GB2312"/>
              <w:sz w:val="32"/>
              <w:szCs w:val="32"/>
            </w:rPr>
          </w:pPr>
          <w:r>
            <w:rPr>
              <w:rFonts w:eastAsia="仿宋_GB2312"/>
              <w:sz w:val="32"/>
              <w:szCs w:val="32"/>
            </w:rPr>
            <w:t>十四、国有资本经营预算财政拨款支出决算表</w:t>
          </w:r>
          <w:r>
            <w:rPr>
              <w:rFonts w:hint="eastAsia" w:eastAsia="仿宋_GB2312"/>
              <w:sz w:val="32"/>
              <w:szCs w:val="32"/>
            </w:rPr>
            <w:t>...........49</w:t>
          </w:r>
        </w:p>
        <w:p/>
      </w:sdtContent>
    </w:sdt>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jc w:val="center"/>
        <w:rPr>
          <w:rFonts w:eastAsia="方正小标宋_GBK"/>
          <w:sz w:val="44"/>
          <w:szCs w:val="44"/>
        </w:rPr>
      </w:pPr>
      <w:r>
        <w:rPr>
          <w:rFonts w:eastAsia="方正小标宋_GBK"/>
          <w:sz w:val="44"/>
          <w:szCs w:val="44"/>
        </w:rPr>
        <w:t>第一部分 部门概况</w:t>
      </w:r>
    </w:p>
    <w:p>
      <w:pPr>
        <w:pStyle w:val="2"/>
      </w:pPr>
    </w:p>
    <w:p>
      <w:pPr>
        <w:pStyle w:val="2"/>
        <w:spacing w:line="560" w:lineRule="exact"/>
        <w:ind w:firstLine="640" w:firstLineChars="200"/>
        <w:rPr>
          <w:rFonts w:eastAsia="黑体"/>
          <w:sz w:val="32"/>
          <w:szCs w:val="32"/>
        </w:rPr>
      </w:pPr>
      <w:r>
        <w:rPr>
          <w:rFonts w:eastAsia="黑体"/>
          <w:sz w:val="32"/>
          <w:szCs w:val="32"/>
        </w:rPr>
        <w:t>一、基本职能及主要工作</w:t>
      </w:r>
    </w:p>
    <w:p>
      <w:pPr>
        <w:pStyle w:val="2"/>
        <w:spacing w:line="560" w:lineRule="exact"/>
        <w:ind w:firstLine="640" w:firstLineChars="200"/>
        <w:rPr>
          <w:rFonts w:eastAsia="楷体_GB2312"/>
          <w:sz w:val="32"/>
          <w:szCs w:val="32"/>
        </w:rPr>
      </w:pPr>
      <w:r>
        <w:rPr>
          <w:rFonts w:eastAsia="楷体_GB2312"/>
          <w:sz w:val="32"/>
          <w:szCs w:val="32"/>
        </w:rPr>
        <w:t>（一）主要职能。</w:t>
      </w:r>
    </w:p>
    <w:p>
      <w:pPr>
        <w:pStyle w:val="2"/>
        <w:spacing w:line="560" w:lineRule="exact"/>
        <w:ind w:firstLine="640" w:firstLineChars="200"/>
        <w:rPr>
          <w:rFonts w:eastAsia="仿宋_GB2312"/>
          <w:sz w:val="32"/>
          <w:szCs w:val="32"/>
        </w:rPr>
      </w:pPr>
      <w:r>
        <w:rPr>
          <w:rFonts w:eastAsia="仿宋_GB2312"/>
          <w:sz w:val="32"/>
          <w:szCs w:val="32"/>
        </w:rPr>
        <w:t>1.拟订全县财税发展战略、规划、政策和改革方案并组织实施。分析预测宏观经济形势，参与制定各项经济政策，提出运用财税政策实施宏观调控和综合平衡社会财力的建议。拟订县与乡（镇）政府、政府与企业的分配政策，完善鼓励公益事业发展的财税政策。</w:t>
      </w:r>
    </w:p>
    <w:p>
      <w:pPr>
        <w:pStyle w:val="2"/>
        <w:spacing w:line="560" w:lineRule="exact"/>
        <w:ind w:firstLine="640" w:firstLineChars="200"/>
        <w:rPr>
          <w:rFonts w:eastAsia="仿宋_GB2312"/>
          <w:sz w:val="32"/>
          <w:szCs w:val="32"/>
        </w:rPr>
      </w:pPr>
      <w:r>
        <w:rPr>
          <w:rFonts w:eastAsia="仿宋_GB2312"/>
          <w:sz w:val="32"/>
          <w:szCs w:val="32"/>
        </w:rPr>
        <w:t>2.贯彻执行财政、税收、财务、会计管理的法律法规和规章。负责组织起草地方性财政政策、规范性文件和规章制度并组织实施。按照管理权限管理全县税政事项。承办国务院关税税则委员会办公室要求县一级承担的工作。</w:t>
      </w:r>
    </w:p>
    <w:p>
      <w:pPr>
        <w:pStyle w:val="2"/>
        <w:spacing w:line="560" w:lineRule="exact"/>
        <w:ind w:firstLine="640" w:firstLineChars="200"/>
        <w:rPr>
          <w:rFonts w:eastAsia="仿宋_GB2312"/>
          <w:sz w:val="32"/>
          <w:szCs w:val="32"/>
        </w:rPr>
      </w:pPr>
      <w:r>
        <w:rPr>
          <w:rFonts w:eastAsia="仿宋_GB2312"/>
          <w:sz w:val="32"/>
          <w:szCs w:val="32"/>
        </w:rPr>
        <w:t>3.负责管理各项财政收支。编制年度县级预决算草案并组织执行。组织制定经费开支标准、定额，审核批复部门（单位）年度预决算。受县政府委托，向县人大及其常委会报告财政预算、执行和决算等情况。负责政府投资基金县级财政出资的资产管理。负责县级预决算公开。负责全面实施预算绩效管理。</w:t>
      </w:r>
    </w:p>
    <w:p>
      <w:pPr>
        <w:pStyle w:val="2"/>
        <w:spacing w:line="560" w:lineRule="exact"/>
        <w:ind w:firstLine="640" w:firstLineChars="200"/>
        <w:rPr>
          <w:rFonts w:eastAsia="仿宋_GB2312"/>
          <w:sz w:val="32"/>
          <w:szCs w:val="32"/>
        </w:rPr>
      </w:pPr>
      <w:r>
        <w:rPr>
          <w:rFonts w:eastAsia="仿宋_GB2312"/>
          <w:sz w:val="32"/>
          <w:szCs w:val="32"/>
        </w:rPr>
        <w:t>4.按分工负责政府非税收入管理。负责政府性基金管理，按规定管理行政事业性收费等其他非税收入。管理财政票据。贯彻执行彩票管理政策，监管彩票市场，按规定管理彩票资金。</w:t>
      </w:r>
    </w:p>
    <w:p>
      <w:pPr>
        <w:pStyle w:val="2"/>
        <w:spacing w:line="560" w:lineRule="exact"/>
        <w:ind w:firstLine="640" w:firstLineChars="200"/>
        <w:rPr>
          <w:rFonts w:eastAsia="仿宋_GB2312"/>
          <w:sz w:val="32"/>
          <w:szCs w:val="32"/>
        </w:rPr>
      </w:pPr>
      <w:r>
        <w:rPr>
          <w:rFonts w:eastAsia="仿宋_GB2312"/>
          <w:sz w:val="32"/>
          <w:szCs w:val="32"/>
        </w:rPr>
        <w:t>5.组织制定全县国库管理制度、国库集中收付制度，指导和监督国库业务，开展国库现金管理工作。贯彻执行政府财务报告编制办法并组织实施。监督管理全县政府采购工作。</w:t>
      </w:r>
    </w:p>
    <w:p>
      <w:pPr>
        <w:pStyle w:val="2"/>
        <w:spacing w:line="560" w:lineRule="exact"/>
        <w:ind w:firstLine="640" w:firstLineChars="200"/>
        <w:rPr>
          <w:rFonts w:eastAsia="仿宋_GB2312"/>
          <w:sz w:val="32"/>
          <w:szCs w:val="32"/>
        </w:rPr>
      </w:pPr>
      <w:r>
        <w:rPr>
          <w:rFonts w:eastAsia="仿宋_GB2312"/>
          <w:sz w:val="32"/>
          <w:szCs w:val="32"/>
        </w:rPr>
        <w:t xml:space="preserve">6.贯彻执行地方政府债务管理制度和政策，制定具体管理办法，编制地方政府债余额限额计划，统一管理政府外债，防范财政风险。                   </w:t>
      </w:r>
    </w:p>
    <w:p>
      <w:pPr>
        <w:pStyle w:val="2"/>
        <w:spacing w:line="560" w:lineRule="exact"/>
        <w:ind w:firstLine="640" w:firstLineChars="200"/>
        <w:rPr>
          <w:rFonts w:eastAsia="仿宋_GB2312"/>
          <w:sz w:val="32"/>
          <w:szCs w:val="32"/>
        </w:rPr>
      </w:pPr>
      <w:r>
        <w:rPr>
          <w:rFonts w:eastAsia="仿宋_GB2312"/>
          <w:sz w:val="32"/>
          <w:szCs w:val="32"/>
        </w:rPr>
        <w:t>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负责县属国有企业监督管理。</w:t>
      </w:r>
    </w:p>
    <w:p>
      <w:pPr>
        <w:pStyle w:val="2"/>
        <w:spacing w:line="560" w:lineRule="exact"/>
        <w:ind w:firstLine="640" w:firstLineChars="200"/>
        <w:rPr>
          <w:rFonts w:eastAsia="仿宋_GB2312"/>
          <w:sz w:val="32"/>
          <w:szCs w:val="32"/>
        </w:rPr>
      </w:pPr>
      <w:r>
        <w:rPr>
          <w:rFonts w:eastAsia="仿宋_GB2312"/>
          <w:sz w:val="32"/>
          <w:szCs w:val="32"/>
        </w:rPr>
        <w:t>8.负责审核并汇总编制全县国有资本经营预决算草案。制定国有资本经营预算制度和办法，收取县本级企业国有资本收益。组织实施企业财务制度，负责财政预算内行政事业单位和社会团体的非贸易外汇和财政预算内的国际收支管理。</w:t>
      </w:r>
    </w:p>
    <w:p>
      <w:pPr>
        <w:pStyle w:val="2"/>
        <w:spacing w:line="560" w:lineRule="exact"/>
        <w:ind w:firstLine="640" w:firstLineChars="200"/>
        <w:rPr>
          <w:rFonts w:eastAsia="仿宋_GB2312"/>
          <w:sz w:val="32"/>
          <w:szCs w:val="32"/>
        </w:rPr>
      </w:pPr>
      <w:r>
        <w:rPr>
          <w:rFonts w:eastAsia="仿宋_GB2312"/>
          <w:sz w:val="32"/>
          <w:szCs w:val="32"/>
        </w:rPr>
        <w:t>9.负责审核并汇总编制全县社会保险基金预决算草案，会同有关部门拟订有关资金（基金）财务管理制度，承担社会保险基金财政监管工作。</w:t>
      </w:r>
    </w:p>
    <w:p>
      <w:pPr>
        <w:pStyle w:val="2"/>
        <w:spacing w:line="560" w:lineRule="exact"/>
        <w:ind w:firstLine="640" w:firstLineChars="200"/>
        <w:rPr>
          <w:rFonts w:eastAsia="仿宋_GB2312"/>
          <w:sz w:val="32"/>
          <w:szCs w:val="32"/>
        </w:rPr>
      </w:pPr>
      <w:r>
        <w:rPr>
          <w:rFonts w:eastAsia="仿宋_GB2312"/>
          <w:sz w:val="32"/>
          <w:szCs w:val="32"/>
        </w:rPr>
        <w:t>10.负责办理和监督县级财政的经济发展支出、县级政府性投资项目的财政拨款，负责投资评审管理工作，参与拟订县级基建投资有关政策，制定基建财务管理制度。负责政府性投资项目竣工决算、结算管理工作。</w:t>
      </w:r>
    </w:p>
    <w:p>
      <w:pPr>
        <w:pStyle w:val="2"/>
        <w:spacing w:line="560" w:lineRule="exact"/>
        <w:ind w:firstLine="640" w:firstLineChars="200"/>
        <w:rPr>
          <w:rFonts w:eastAsia="仿宋_GB2312"/>
          <w:sz w:val="32"/>
          <w:szCs w:val="32"/>
        </w:rPr>
      </w:pPr>
      <w:r>
        <w:rPr>
          <w:rFonts w:eastAsia="仿宋_GB2312"/>
          <w:sz w:val="32"/>
          <w:szCs w:val="32"/>
        </w:rPr>
        <w:t>11.管理外国政府和国际金融机构贷（赠）款项目的有关业务，参与财经领域的国际交流与合作。</w:t>
      </w:r>
    </w:p>
    <w:p>
      <w:pPr>
        <w:pStyle w:val="2"/>
        <w:spacing w:line="560" w:lineRule="exact"/>
        <w:ind w:firstLine="640" w:firstLineChars="200"/>
        <w:rPr>
          <w:rFonts w:eastAsia="仿宋_GB2312"/>
          <w:sz w:val="32"/>
          <w:szCs w:val="32"/>
        </w:rPr>
      </w:pPr>
      <w:r>
        <w:rPr>
          <w:rFonts w:eastAsia="仿宋_GB2312"/>
          <w:sz w:val="32"/>
          <w:szCs w:val="32"/>
        </w:rPr>
        <w:t>12.负责管理全县会计工作，监督和规范会计行为，组织实施国家统一的会计制度，指导社会审计。依法管理资产评估有关工作。</w:t>
      </w:r>
    </w:p>
    <w:p>
      <w:pPr>
        <w:pStyle w:val="2"/>
        <w:spacing w:line="560" w:lineRule="exact"/>
        <w:ind w:firstLine="640" w:firstLineChars="200"/>
        <w:rPr>
          <w:rFonts w:eastAsia="仿宋_GB2312"/>
          <w:sz w:val="32"/>
          <w:szCs w:val="32"/>
        </w:rPr>
      </w:pPr>
      <w:r>
        <w:rPr>
          <w:rFonts w:eastAsia="仿宋_GB2312"/>
          <w:sz w:val="32"/>
          <w:szCs w:val="32"/>
        </w:rPr>
        <w:t>13.拟定和执行国有资产管理的政策法规、规章制度和管理办法；负责全县行政事业单位国有资产及国有资产经营收益管理工作；组织实施行政事业单位国有资产及县属国有企业资产的清产核资和绩效评价工作；组织实施县级行政事业单位及国有企业产权界定、企业国有资产产权界定和转让工作，监缴国有资产收益；负责国有资产及县属国有企业资产的统计、分析；指导和监督行政事业单位、县属国有企业资产的产权界定、清查登记等工作；指导和监督办理执行《企业财务通则》和相关财务会计制度，参与拟定企业国有资产管理相关制度；负责所监管的经营性事业单位转企改制工作。</w:t>
      </w:r>
    </w:p>
    <w:p>
      <w:pPr>
        <w:pStyle w:val="2"/>
        <w:spacing w:line="560" w:lineRule="exact"/>
        <w:ind w:firstLine="640" w:firstLineChars="200"/>
        <w:rPr>
          <w:rFonts w:eastAsia="仿宋_GB2312"/>
          <w:sz w:val="32"/>
          <w:szCs w:val="32"/>
        </w:rPr>
      </w:pPr>
      <w:r>
        <w:rPr>
          <w:rFonts w:eastAsia="仿宋_GB2312"/>
          <w:sz w:val="32"/>
          <w:szCs w:val="32"/>
        </w:rPr>
        <w:t>14.会同有关部门拟订地方金融政策措施。拟订全县金融业发展的中长期规划并组织实施；负责联系协调全县金融机构，推动地方政府与金融机构合作交流，防控金融风险、深化金融改革；会同有关部门推进地方金融业规范发展，组建、培育、壮大地方法人金融机构；统筹推进全县企业直接融资工作，统筹全市地方金融要素市场体系建设，参与全县投融资体制改革工作；负责全县小额贷款公司、融资担保公司、典当行、融资租赁公司等监管；负责地方金融机构和金融中介机构的行业管理和服务，促进金融中介服务业发展，参与拟订促进与金融业密切相关的中介服务机构发展的政策、规划并配合有关部门实施；维护地方金融秩序，牵头会同有关部门防范、化解和处置地方金融风险；牵头处置非法集资、协调配合有关部门打击其他非法金融活动；推进全县金融知识宣传普及工作。</w:t>
      </w:r>
    </w:p>
    <w:p>
      <w:pPr>
        <w:pStyle w:val="2"/>
        <w:spacing w:line="560" w:lineRule="exact"/>
        <w:ind w:firstLine="640" w:firstLineChars="200"/>
        <w:rPr>
          <w:rFonts w:eastAsia="仿宋_GB2312"/>
          <w:sz w:val="32"/>
          <w:szCs w:val="32"/>
        </w:rPr>
      </w:pPr>
      <w:r>
        <w:rPr>
          <w:rFonts w:eastAsia="仿宋_GB2312"/>
          <w:sz w:val="32"/>
          <w:szCs w:val="32"/>
        </w:rPr>
        <w:t>15.负责职责范围内的安全生产和职业健康、生态环境保护、审批服务便民化等工作。</w:t>
      </w:r>
    </w:p>
    <w:p>
      <w:pPr>
        <w:pStyle w:val="2"/>
        <w:spacing w:line="560" w:lineRule="exact"/>
        <w:ind w:firstLine="640" w:firstLineChars="200"/>
        <w:rPr>
          <w:rFonts w:eastAsia="仿宋_GB2312"/>
          <w:sz w:val="32"/>
          <w:szCs w:val="32"/>
        </w:rPr>
      </w:pPr>
      <w:r>
        <w:rPr>
          <w:rFonts w:eastAsia="仿宋_GB2312"/>
          <w:sz w:val="32"/>
          <w:szCs w:val="32"/>
        </w:rPr>
        <w:t>16.完成县委、县政府交办的其他任务。</w:t>
      </w:r>
    </w:p>
    <w:p>
      <w:pPr>
        <w:pStyle w:val="2"/>
        <w:spacing w:line="560" w:lineRule="exact"/>
        <w:ind w:firstLine="640" w:firstLineChars="200"/>
        <w:rPr>
          <w:rFonts w:eastAsia="仿宋_GB2312"/>
          <w:sz w:val="32"/>
          <w:szCs w:val="32"/>
        </w:rPr>
      </w:pPr>
      <w:r>
        <w:rPr>
          <w:rFonts w:eastAsia="仿宋_GB2312"/>
          <w:sz w:val="32"/>
          <w:szCs w:val="32"/>
        </w:rPr>
        <w:t>17.职能转变。</w:t>
      </w:r>
    </w:p>
    <w:p>
      <w:pPr>
        <w:pStyle w:val="2"/>
        <w:spacing w:line="560" w:lineRule="exact"/>
        <w:ind w:firstLine="640" w:firstLineChars="200"/>
        <w:rPr>
          <w:rFonts w:eastAsia="仿宋_GB2312"/>
          <w:sz w:val="32"/>
          <w:szCs w:val="32"/>
        </w:rPr>
      </w:pPr>
      <w:r>
        <w:rPr>
          <w:rFonts w:eastAsia="仿宋_GB2312"/>
          <w:sz w:val="32"/>
          <w:szCs w:val="32"/>
        </w:rPr>
        <w:t>（1）完善宏观调控体系，创新调控方式，构建发展规划、财政、金融等政策协调和工作协同机制，强化经济监测预测预警能力，建立健全重大问题研究和政策储备工作机制，增强宏观调控前瞻性、针对性、协同性。</w:t>
      </w:r>
    </w:p>
    <w:p>
      <w:pPr>
        <w:pStyle w:val="2"/>
        <w:spacing w:line="560" w:lineRule="exact"/>
        <w:ind w:firstLine="640" w:firstLineChars="200"/>
        <w:rPr>
          <w:rFonts w:eastAsia="仿宋_GB2312"/>
          <w:sz w:val="32"/>
          <w:szCs w:val="32"/>
        </w:rPr>
      </w:pPr>
      <w:r>
        <w:rPr>
          <w:rFonts w:eastAsia="仿宋_GB2312"/>
          <w:sz w:val="32"/>
          <w:szCs w:val="32"/>
        </w:rPr>
        <w:t>（2）深化财税体制改革。加快建立现代财政制度，推进财政事权和支出责任划分改革，理顺县与乡（镇）收入划分，建立权责清晰、财力协调、区域均衡的县以下政府间财政关系。完善转移支付制度，优化转移支付分类，规范转移支付项目，增强地方统筹能力。逐步统一预算分配，全面实施绩效管理，建立全面规范透明、标准科学、约束有力的预算制度。全面推行政府性基金和行政事业性收费清单管理，完善监督制度。深化税收制度改革，健全地方税体系，逐步提高直接税比重，推动形成税法统一、税负公平、调节有度的税收制度体系。</w:t>
      </w:r>
    </w:p>
    <w:p>
      <w:pPr>
        <w:pStyle w:val="2"/>
        <w:spacing w:line="560" w:lineRule="exact"/>
        <w:ind w:firstLine="640" w:firstLineChars="200"/>
        <w:rPr>
          <w:rFonts w:eastAsia="仿宋_GB2312"/>
          <w:sz w:val="32"/>
          <w:szCs w:val="32"/>
        </w:rPr>
      </w:pPr>
      <w:r>
        <w:rPr>
          <w:rFonts w:eastAsia="仿宋_GB2312"/>
          <w:sz w:val="32"/>
          <w:szCs w:val="32"/>
        </w:rPr>
        <w:t>（3）防范化解地方政府债务风险。规范举债融资机制，构建“闭环”管理体系，严控法定限额内债务风险，着力防控隐性债务风险，牢牢守住不发生系统性风险的底线。</w:t>
      </w:r>
    </w:p>
    <w:p>
      <w:pPr>
        <w:pStyle w:val="2"/>
        <w:spacing w:line="560" w:lineRule="exact"/>
        <w:ind w:firstLine="640" w:firstLineChars="200"/>
        <w:rPr>
          <w:rFonts w:eastAsia="仿宋_GB2312"/>
          <w:sz w:val="32"/>
          <w:szCs w:val="32"/>
        </w:rPr>
      </w:pPr>
      <w:r>
        <w:rPr>
          <w:rFonts w:eastAsia="仿宋_GB2312"/>
          <w:sz w:val="32"/>
          <w:szCs w:val="32"/>
        </w:rPr>
        <w:t>18.有关职责分工。</w:t>
      </w:r>
    </w:p>
    <w:p>
      <w:pPr>
        <w:pStyle w:val="2"/>
        <w:spacing w:line="560" w:lineRule="exact"/>
        <w:ind w:firstLine="640" w:firstLineChars="200"/>
        <w:rPr>
          <w:rFonts w:eastAsia="仿宋_GB2312"/>
          <w:sz w:val="32"/>
          <w:szCs w:val="32"/>
        </w:rPr>
      </w:pPr>
      <w:r>
        <w:rPr>
          <w:rFonts w:eastAsia="仿宋_GB2312"/>
          <w:sz w:val="32"/>
          <w:szCs w:val="32"/>
        </w:rPr>
        <w:t>（1）税政管理职责分工。县财政局负责提出税收政策建议，与县税务局共同上报和下发。参与提出关税政策建议。</w:t>
      </w:r>
    </w:p>
    <w:p>
      <w:pPr>
        <w:pStyle w:val="2"/>
        <w:spacing w:line="560" w:lineRule="exact"/>
        <w:ind w:firstLine="640" w:firstLineChars="200"/>
        <w:rPr>
          <w:rFonts w:eastAsia="仿宋_GB2312"/>
          <w:sz w:val="32"/>
          <w:szCs w:val="32"/>
        </w:rPr>
      </w:pPr>
      <w:r>
        <w:rPr>
          <w:rFonts w:eastAsia="仿宋_GB2312"/>
          <w:sz w:val="32"/>
          <w:szCs w:val="32"/>
        </w:rPr>
        <w:t>（2）非税收入管理职责分工。县财政局贯彻落实非税收入国库集中收缴制度，负责非税收入账户、收缴方式、退付退库等管理。县税务局等部门按照非税收入国库集中收缴等有关规定，负责做好非税收入申报征收、会统核算、缴费检查、欠费追缴和违法处罚等工作，有关非税收入项目收缴信息与县财政局及时共享。</w:t>
      </w:r>
    </w:p>
    <w:p>
      <w:pPr>
        <w:pStyle w:val="2"/>
        <w:spacing w:line="560" w:lineRule="exact"/>
        <w:ind w:firstLine="640" w:firstLineChars="200"/>
        <w:rPr>
          <w:rFonts w:eastAsia="仿宋_GB2312"/>
          <w:sz w:val="32"/>
          <w:szCs w:val="32"/>
        </w:rPr>
      </w:pPr>
      <w:r>
        <w:rPr>
          <w:rFonts w:eastAsia="仿宋_GB2312"/>
          <w:sz w:val="32"/>
          <w:szCs w:val="32"/>
        </w:rPr>
        <w:t xml:space="preserve">（3）县级行政事业单位国有资产管理职责分工。县财政局负责制定行政事业单位国有资产管理制度，并负责组织实施和监督检查。会同县政府办（县机关事务管理局）负责县级行政事业单位国有资产管理。县政府办（县机关事务管理局）负责制定县级行政事业单位国有资产管理具体制度和办法并组织实施，承担产权界定、清查登记、资产处置等工作，接受县财政局的指导和监督检查。县级行政事业单位具体承担所属事业单位及派出机构的国有资产管理工作。 </w:t>
      </w:r>
    </w:p>
    <w:p>
      <w:pPr>
        <w:pStyle w:val="2"/>
        <w:spacing w:line="560" w:lineRule="exact"/>
        <w:ind w:firstLine="640" w:firstLineChars="200"/>
        <w:rPr>
          <w:rFonts w:eastAsia="仿宋_GB2312"/>
          <w:sz w:val="32"/>
          <w:szCs w:val="32"/>
        </w:rPr>
      </w:pPr>
      <w:r>
        <w:rPr>
          <w:rFonts w:eastAsia="仿宋_GB2312"/>
          <w:sz w:val="32"/>
          <w:szCs w:val="32"/>
        </w:rPr>
        <w:t>（4）各类投资基金管理职责分工。县发展改革局负责指导相关部门推动政府出资产业投资基金行业信用体系建设，配合有关部门贯彻执行促进私募股权基金发展的政策措施。县财政局负责地方国有金融资本管理工作，会同县发展改革局及县级行业部门负责财政性资金出资发起设立或参股设立的股权投资基金管理。县财政局参与指导各类投资基金规范发展。</w:t>
      </w:r>
    </w:p>
    <w:p>
      <w:pPr>
        <w:pStyle w:val="2"/>
        <w:spacing w:line="560" w:lineRule="exact"/>
        <w:ind w:firstLine="640" w:firstLineChars="200"/>
        <w:rPr>
          <w:rFonts w:eastAsia="楷体_GB2312"/>
          <w:sz w:val="32"/>
          <w:szCs w:val="32"/>
        </w:rPr>
      </w:pPr>
      <w:r>
        <w:rPr>
          <w:rFonts w:eastAsia="楷体_GB2312"/>
          <w:sz w:val="32"/>
          <w:szCs w:val="32"/>
        </w:rPr>
        <w:t>（二）2020年重点工作完成情况。</w:t>
      </w:r>
    </w:p>
    <w:p>
      <w:pPr>
        <w:pStyle w:val="2"/>
        <w:spacing w:line="560" w:lineRule="exact"/>
        <w:ind w:firstLine="643" w:firstLineChars="200"/>
        <w:rPr>
          <w:rFonts w:eastAsia="仿宋_GB2312"/>
          <w:b/>
          <w:sz w:val="32"/>
          <w:szCs w:val="32"/>
        </w:rPr>
      </w:pPr>
      <w:r>
        <w:rPr>
          <w:rFonts w:eastAsia="仿宋_GB2312"/>
          <w:b/>
          <w:sz w:val="32"/>
          <w:szCs w:val="32"/>
        </w:rPr>
        <w:t>1.着力抓牢收入组织，圆满完成目标任务</w:t>
      </w:r>
    </w:p>
    <w:p>
      <w:pPr>
        <w:pStyle w:val="2"/>
        <w:spacing w:line="560" w:lineRule="exact"/>
        <w:ind w:firstLine="640" w:firstLineChars="200"/>
        <w:rPr>
          <w:rFonts w:eastAsia="仿宋_GB2312"/>
          <w:sz w:val="32"/>
          <w:szCs w:val="32"/>
        </w:rPr>
      </w:pPr>
      <w:r>
        <w:rPr>
          <w:rFonts w:eastAsia="仿宋_GB2312"/>
          <w:sz w:val="32"/>
          <w:szCs w:val="32"/>
        </w:rPr>
        <w:t>一年来，</w:t>
      </w:r>
      <w:r>
        <w:rPr>
          <w:rFonts w:hint="eastAsia" w:eastAsia="仿宋_GB2312"/>
          <w:sz w:val="32"/>
          <w:szCs w:val="32"/>
          <w:lang w:eastAsia="zh-CN"/>
        </w:rPr>
        <w:t>财政局</w:t>
      </w:r>
      <w:r>
        <w:rPr>
          <w:rFonts w:eastAsia="仿宋_GB2312"/>
          <w:sz w:val="32"/>
          <w:szCs w:val="32"/>
        </w:rPr>
        <w:t>全</w:t>
      </w:r>
      <w:r>
        <w:rPr>
          <w:rFonts w:hint="eastAsia" w:eastAsia="仿宋_GB2312"/>
          <w:sz w:val="32"/>
          <w:szCs w:val="32"/>
          <w:lang w:eastAsia="zh-CN"/>
        </w:rPr>
        <w:t>体职工</w:t>
      </w:r>
      <w:r>
        <w:rPr>
          <w:rFonts w:eastAsia="仿宋_GB2312"/>
          <w:sz w:val="32"/>
          <w:szCs w:val="32"/>
        </w:rPr>
        <w:t>，积极协调征管部门迎难而上、主动作为、勇于担当，科学研判收入形势，充分挖掘增收潜力，强化征管措施，确保应收尽收。通过努力，全年一般公共预算收入完成76,243万元，超年初人代会通过的目标任务5,043万元，增长8.85%，圆满完成了目标任务，其中：税收收入完成57,395万元，增长8.02%；非税收入完成18,848万元，增长11.46%。</w:t>
      </w:r>
    </w:p>
    <w:p>
      <w:pPr>
        <w:pStyle w:val="2"/>
        <w:spacing w:line="560" w:lineRule="exact"/>
        <w:ind w:firstLine="643" w:firstLineChars="200"/>
        <w:rPr>
          <w:rFonts w:eastAsia="仿宋_GB2312"/>
          <w:b/>
          <w:sz w:val="32"/>
          <w:szCs w:val="32"/>
        </w:rPr>
      </w:pPr>
      <w:r>
        <w:rPr>
          <w:rFonts w:eastAsia="仿宋_GB2312"/>
          <w:b/>
          <w:sz w:val="32"/>
          <w:szCs w:val="32"/>
        </w:rPr>
        <w:t>2.夯实三抓工作基础，资金争取成效明显</w:t>
      </w:r>
    </w:p>
    <w:p>
      <w:pPr>
        <w:pStyle w:val="2"/>
        <w:spacing w:line="560" w:lineRule="exact"/>
        <w:ind w:firstLine="640" w:firstLineChars="200"/>
        <w:rPr>
          <w:rFonts w:eastAsia="仿宋_GB2312"/>
          <w:sz w:val="32"/>
          <w:szCs w:val="32"/>
        </w:rPr>
      </w:pPr>
      <w:r>
        <w:rPr>
          <w:rFonts w:eastAsia="仿宋_GB2312"/>
          <w:sz w:val="32"/>
          <w:szCs w:val="32"/>
        </w:rPr>
        <w:t>强化“三抓一强”基础工作，深入剖析解读政策，充分用活用好政策，积极与省财政对接，加大对均衡性转移支付、县级基本财力保障机制奖补资金、特殊转移支付、抗疫特别国债资金争取力度。同时，通过安排项目包装经费、及时兑现对上争取奖励等措施，充分调动各部门资金争取的积极性。2020年全县共争取上级各项资金153,786万元，比2020年的133,867万元增加了19,919万元，增长14.88 %。</w:t>
      </w:r>
    </w:p>
    <w:p>
      <w:pPr>
        <w:pStyle w:val="2"/>
        <w:spacing w:line="560" w:lineRule="exact"/>
        <w:ind w:firstLine="643" w:firstLineChars="200"/>
        <w:rPr>
          <w:rFonts w:eastAsia="仿宋_GB2312"/>
          <w:b/>
          <w:sz w:val="32"/>
          <w:szCs w:val="32"/>
        </w:rPr>
      </w:pPr>
      <w:r>
        <w:rPr>
          <w:rFonts w:eastAsia="仿宋_GB2312"/>
          <w:b/>
          <w:sz w:val="32"/>
          <w:szCs w:val="32"/>
        </w:rPr>
        <w:t>3.资金统筹着实有效，重点支出保障有力</w:t>
      </w:r>
    </w:p>
    <w:p>
      <w:pPr>
        <w:pStyle w:val="2"/>
        <w:spacing w:line="560" w:lineRule="exact"/>
        <w:ind w:firstLine="640" w:firstLineChars="200"/>
        <w:rPr>
          <w:rFonts w:eastAsia="仿宋_GB2312"/>
          <w:sz w:val="32"/>
          <w:szCs w:val="32"/>
        </w:rPr>
      </w:pPr>
      <w:r>
        <w:rPr>
          <w:rFonts w:eastAsia="仿宋_GB2312"/>
          <w:sz w:val="32"/>
          <w:szCs w:val="32"/>
        </w:rPr>
        <w:t>面对收支矛盾十分突出的局面，财政部门科学调度和有效统筹资金，确保了全县干部职工工资按时足额发放、县乡机关事业单位正常运转，保证了重大风险防范、精准脱贫、疫情防控、污染防治、民生工程、卫生县城创建、扫黑除恶、民族宗教等重点工作有序推进。2020年，我县一般公共预算支出完成210,688万元，增长20.45%，增支35,777万元。当年民生支出达149,333万元,占一般公共预算支出比重达70.88%，提高5.78个百分点，民生保障更加有力。</w:t>
      </w:r>
    </w:p>
    <w:p>
      <w:pPr>
        <w:pStyle w:val="2"/>
        <w:spacing w:line="560" w:lineRule="exact"/>
        <w:ind w:firstLine="640" w:firstLineChars="200"/>
        <w:rPr>
          <w:rFonts w:eastAsia="仿宋_GB2312"/>
          <w:sz w:val="32"/>
          <w:szCs w:val="32"/>
        </w:rPr>
      </w:pPr>
      <w:r>
        <w:rPr>
          <w:rFonts w:eastAsia="仿宋_GB2312"/>
          <w:sz w:val="32"/>
          <w:szCs w:val="32"/>
        </w:rPr>
        <w:t>重点支出情况：一般公共服务支出24,324万元，占一般公共预算支出11.55%。公共安全支出13,237万元，占一般公共预算支出6.28%。教育支出34,709万元,占一般公共预算支出16.47%。社会保障和就业支出20,425万元,占一般公共预算支出9.69%。卫生健康支出24,431万元,占一般公共预算支出11.6%。节能环保支出5,200万元，占一般公共预算支出2.47%。城乡社区支出3,693万元，占一般公共预算支出1.75%。农林水支出46,434万元,占一般公共预算支出22.04%。交通运输支出8,386万元，占一般公共预算支出3.98%。住房保障支出10,551万元，占一般公共预算支出5.01%。</w:t>
      </w:r>
    </w:p>
    <w:p>
      <w:pPr>
        <w:pStyle w:val="2"/>
        <w:spacing w:line="560" w:lineRule="exact"/>
        <w:ind w:firstLine="643" w:firstLineChars="200"/>
        <w:rPr>
          <w:rFonts w:eastAsia="仿宋_GB2312"/>
          <w:b/>
          <w:sz w:val="32"/>
          <w:szCs w:val="32"/>
        </w:rPr>
      </w:pPr>
      <w:r>
        <w:rPr>
          <w:rFonts w:eastAsia="仿宋_GB2312"/>
          <w:b/>
          <w:sz w:val="32"/>
          <w:szCs w:val="32"/>
        </w:rPr>
        <w:t>4.支持打好“三大攻坚战”，措施得力成绩显著</w:t>
      </w:r>
    </w:p>
    <w:p>
      <w:pPr>
        <w:pStyle w:val="2"/>
        <w:spacing w:line="560" w:lineRule="exact"/>
        <w:ind w:firstLine="640" w:firstLineChars="200"/>
        <w:rPr>
          <w:rFonts w:eastAsia="仿宋_GB2312"/>
          <w:sz w:val="32"/>
          <w:szCs w:val="32"/>
        </w:rPr>
      </w:pPr>
      <w:r>
        <w:rPr>
          <w:rFonts w:eastAsia="仿宋_GB2312"/>
          <w:sz w:val="32"/>
          <w:szCs w:val="32"/>
        </w:rPr>
        <w:t>一是打好防范化解重大风险攻坚战。坚决守住不发生区域性系统性风险的底线，将全县政府综合债务率牢牢控制在100%风险警戒线以下，2020年偿还到期债券本金19,280万元，已化解隐性债务本金8,280万元，截止2020年末全县地方政府债务余额为178,378万元，债务风险可控。二是打好精准脱贫攻坚战。严格落实“四不摘”要求，保持财政扶贫政策总体稳定。继续加大财政投入，2020年脱贫攻坚共计投入超14,000万元（其中：各级财政扶贫专项资金投入5,597万元），为我县脱贫攻坚项目实施提供了资金保障。三是打好污染防治攻坚战。加快城市污水处理 PPP 项目建设，目前完成投资约19,500万元，其中县城垃圾转运站和污水处理厂扩能重建项目已投入运行，月潭小区改造已完成。</w:t>
      </w:r>
    </w:p>
    <w:p>
      <w:pPr>
        <w:pStyle w:val="2"/>
        <w:spacing w:line="560" w:lineRule="exact"/>
        <w:ind w:firstLine="643" w:firstLineChars="200"/>
        <w:rPr>
          <w:rFonts w:eastAsia="仿宋_GB2312"/>
          <w:b/>
          <w:sz w:val="32"/>
          <w:szCs w:val="32"/>
        </w:rPr>
      </w:pPr>
      <w:r>
        <w:rPr>
          <w:rFonts w:eastAsia="仿宋_GB2312"/>
          <w:b/>
          <w:sz w:val="32"/>
          <w:szCs w:val="32"/>
        </w:rPr>
        <w:t>5.提高财政保障能力，全力支持乡村振兴</w:t>
      </w:r>
    </w:p>
    <w:p>
      <w:pPr>
        <w:pStyle w:val="2"/>
        <w:spacing w:line="560" w:lineRule="exact"/>
        <w:ind w:firstLine="640" w:firstLineChars="200"/>
        <w:rPr>
          <w:rFonts w:eastAsia="仿宋_GB2312"/>
          <w:sz w:val="32"/>
          <w:szCs w:val="32"/>
        </w:rPr>
      </w:pPr>
      <w:r>
        <w:rPr>
          <w:rFonts w:eastAsia="仿宋_GB2312"/>
          <w:sz w:val="32"/>
          <w:szCs w:val="32"/>
        </w:rPr>
        <w:t xml:space="preserve">2020年财政投入乡村振兴资金58,209万元，主要用于水利工程建设、高标准农田建设、现代农业“7+3”产业体系建设等。构建财政金融联动机制，通过设立乡村振兴农业产业发展贷款风险补偿金，由合作银行按照补偿金规模10倍给予信贷支持，累计撬动银行发放农业产业贷款8,908万元。 </w:t>
      </w:r>
    </w:p>
    <w:p>
      <w:pPr>
        <w:pStyle w:val="2"/>
        <w:spacing w:line="560" w:lineRule="exact"/>
        <w:ind w:firstLine="643" w:firstLineChars="200"/>
        <w:rPr>
          <w:rFonts w:eastAsia="仿宋_GB2312"/>
          <w:b/>
          <w:sz w:val="32"/>
          <w:szCs w:val="32"/>
        </w:rPr>
      </w:pPr>
      <w:r>
        <w:rPr>
          <w:rFonts w:eastAsia="仿宋_GB2312"/>
          <w:b/>
          <w:sz w:val="32"/>
          <w:szCs w:val="32"/>
        </w:rPr>
        <w:t>6.加强财政资金保障，持续改善民生福祉</w:t>
      </w:r>
    </w:p>
    <w:p>
      <w:pPr>
        <w:pStyle w:val="2"/>
        <w:spacing w:line="560" w:lineRule="exact"/>
        <w:ind w:firstLine="640" w:firstLineChars="200"/>
        <w:rPr>
          <w:rFonts w:eastAsia="仿宋_GB2312"/>
          <w:sz w:val="32"/>
          <w:szCs w:val="32"/>
        </w:rPr>
      </w:pPr>
      <w:r>
        <w:rPr>
          <w:rFonts w:eastAsia="仿宋_GB2312"/>
          <w:sz w:val="32"/>
          <w:szCs w:val="32"/>
        </w:rPr>
        <w:t>加强民生资金及疫情防控资金保障力度，全面落实31件省、市、县民生实事和疫情防控资金。一是支持教育优先发展，严格落实高中生均公用经费省级奖补标准，提升普通高中财政保障水平，安排减免非民族自治地区幼儿保教费补助资金300万元，安排为义务教育阶段家庭经济困难寄宿生提供生活费补助684万元，安排为义务教育阶段学生提供营养膳食补助1,340万元等。二是深化医药卫生体制改革，支持中医药创新发展，安排计划生育专项资金947万元，安排重大公共卫生专项资金481万元，安排基本公共卫生服务补助资金1,448万元，安排实施基本药物制度补助资金356万元，支持县级公立医院改革及医疗服务能力提升补助资金437万元, 城乡医疗救助资金503万元等。三是健全完善城乡社保体系，安排城乡低保资金2,465万元，特困人员供养资金1,182万元，临时价格补贴448万元，社会救济救助补助资金253万元，残疾人事业发展补助资金257万元，长寿人员补贴335万元，城乡养老保险补助资金464万元，优抚抚恤补助资金908万元，优抚安置补助资金678万元，再就业补助资金536万元等，着力保障各项民生政策落实到位。四是加强疫情防控资金保障，全年累计投入新冠肺炎疫情防控资金7,100万元，用于疫情防控物资采购、医疗能力提升项目建设、村社区干部疫情防控值班补助等支出。</w:t>
      </w:r>
    </w:p>
    <w:p>
      <w:pPr>
        <w:pStyle w:val="2"/>
        <w:spacing w:line="560" w:lineRule="exact"/>
        <w:ind w:firstLine="643" w:firstLineChars="200"/>
        <w:rPr>
          <w:rFonts w:eastAsia="仿宋_GB2312"/>
          <w:b/>
          <w:sz w:val="32"/>
          <w:szCs w:val="32"/>
        </w:rPr>
      </w:pPr>
      <w:r>
        <w:rPr>
          <w:rFonts w:eastAsia="仿宋_GB2312"/>
          <w:b/>
          <w:sz w:val="32"/>
          <w:szCs w:val="32"/>
        </w:rPr>
        <w:t>7.努力做好财政基础管理，资金使用提质增效</w:t>
      </w:r>
    </w:p>
    <w:p>
      <w:pPr>
        <w:pStyle w:val="2"/>
        <w:spacing w:line="560" w:lineRule="exact"/>
        <w:ind w:firstLine="640" w:firstLineChars="200"/>
        <w:rPr>
          <w:rFonts w:eastAsia="仿宋_GB2312"/>
          <w:sz w:val="32"/>
          <w:szCs w:val="32"/>
        </w:rPr>
      </w:pPr>
      <w:r>
        <w:rPr>
          <w:rFonts w:eastAsia="仿宋_GB2312"/>
          <w:sz w:val="32"/>
          <w:szCs w:val="32"/>
        </w:rPr>
        <w:t>一是继续压缩运行成本。牢固树立过“紧日子”的思想，严格控制“三公经费”等一般性支出，按中央、省、市财政的要求，确保我县2020年一般性支出在2020年基础上压缩10%以上。二是加强财政投资评审，严格政府采购监管。2020年共评审项目95个，总送审资金46,635万元，审减资金4,680万元，审定资金41,955万元，综合审减率为10.04%。三是严格政府采购监管。坚持没有编制政府采购预算的一律不予政府采购，2020年共组织采购201场次，成交201场次，政府采购预算19,393万元，实际采购18,215万元，节约率6.07%。四是充分发挥财政监督职能，确保资金使用安全。认真贯彻落实严肃财经纪律要求，强化执纪问责，严格履行监管职责，强化财经纪律问题查处结果运用。对县委巡察组移交的问题进行回访检查，督促巡察发现问题整改落实到位。五是积极推进全面预算绩效管理，确保资金使用绩效。不断提升财政资金配置和使用绩效，深化绩效目标管理，强化绩效监控和绩效评价结果应用，分别选取教育、扶贫、新冠肺炎疫情防控专项资金等项目开展重点绩效评价。六是着力盘活存量资金，提高财政资金使用效益。进一步加大财政统筹力度，严格执行财政存量资金清理收回的相关规定，对以前年度结转结余资金进行了梳理统计，2020年，全县财政盘活存量资金24,289万元，统筹用于保基本民生、保基层运转等重点领域投入。</w:t>
      </w:r>
    </w:p>
    <w:p>
      <w:pPr>
        <w:pStyle w:val="2"/>
        <w:spacing w:line="560" w:lineRule="exact"/>
        <w:ind w:firstLine="643" w:firstLineChars="200"/>
        <w:rPr>
          <w:rFonts w:eastAsia="仿宋_GB2312"/>
          <w:b/>
          <w:sz w:val="32"/>
          <w:szCs w:val="32"/>
        </w:rPr>
      </w:pPr>
      <w:r>
        <w:rPr>
          <w:rFonts w:eastAsia="仿宋_GB2312"/>
          <w:b/>
          <w:sz w:val="32"/>
          <w:szCs w:val="32"/>
        </w:rPr>
        <w:t>8.强化财政履职尽责，财政工作成绩突出</w:t>
      </w:r>
    </w:p>
    <w:p>
      <w:pPr>
        <w:pStyle w:val="2"/>
        <w:spacing w:line="560" w:lineRule="exact"/>
        <w:ind w:firstLine="640" w:firstLineChars="200"/>
        <w:rPr>
          <w:rFonts w:eastAsia="仿宋_GB2312"/>
          <w:sz w:val="32"/>
          <w:szCs w:val="32"/>
        </w:rPr>
      </w:pPr>
      <w:r>
        <w:rPr>
          <w:rFonts w:eastAsia="仿宋_GB2312"/>
          <w:sz w:val="32"/>
          <w:szCs w:val="32"/>
        </w:rPr>
        <w:t>在充分履行财政职能职责的同时，按照县委、县政府的要求，严格按照时间节点完成各项目标任务。通过不懈努力，县财政局工作得到了各级各部门的表彰及县委、县政府主要领导肯定性批示。2020年4月9日，因2020年度国有企业经济效益月度快报工作成绩突出，受到省财政厅通报表扬（川财资</w:t>
      </w:r>
      <w:r>
        <w:rPr>
          <w:sz w:val="32"/>
          <w:szCs w:val="32"/>
        </w:rPr>
        <w:t>﹝</w:t>
      </w:r>
      <w:r>
        <w:rPr>
          <w:rFonts w:eastAsia="仿宋_GB2312"/>
          <w:sz w:val="32"/>
          <w:szCs w:val="32"/>
        </w:rPr>
        <w:t>2020</w:t>
      </w:r>
      <w:r>
        <w:rPr>
          <w:sz w:val="32"/>
          <w:szCs w:val="32"/>
        </w:rPr>
        <w:t>﹞</w:t>
      </w:r>
      <w:r>
        <w:rPr>
          <w:rFonts w:eastAsia="仿宋_GB2312"/>
          <w:sz w:val="32"/>
          <w:szCs w:val="32"/>
        </w:rPr>
        <w:t>20号）。2020年4月10日，获四川省双拥工作领导小组通报表扬为“四川省拥军优属先进单位”（川拥</w:t>
      </w:r>
      <w:r>
        <w:rPr>
          <w:sz w:val="32"/>
          <w:szCs w:val="32"/>
        </w:rPr>
        <w:t>﹝</w:t>
      </w:r>
      <w:r>
        <w:rPr>
          <w:rFonts w:eastAsia="仿宋_GB2312"/>
          <w:sz w:val="32"/>
          <w:szCs w:val="32"/>
        </w:rPr>
        <w:t>2020</w:t>
      </w:r>
      <w:r>
        <w:rPr>
          <w:sz w:val="32"/>
          <w:szCs w:val="32"/>
        </w:rPr>
        <w:t>﹞</w:t>
      </w:r>
      <w:r>
        <w:rPr>
          <w:rFonts w:eastAsia="仿宋_GB2312"/>
          <w:sz w:val="32"/>
          <w:szCs w:val="32"/>
        </w:rPr>
        <w:t>1号）。2020年9月14日，因2020年度企业财务会计决算工作成绩突出，受省财政厅通报表扬（川财资</w:t>
      </w:r>
      <w:r>
        <w:rPr>
          <w:sz w:val="32"/>
          <w:szCs w:val="32"/>
        </w:rPr>
        <w:t>﹝</w:t>
      </w:r>
      <w:r>
        <w:rPr>
          <w:rFonts w:eastAsia="仿宋_GB2312"/>
          <w:sz w:val="32"/>
          <w:szCs w:val="32"/>
        </w:rPr>
        <w:t>2020</w:t>
      </w:r>
      <w:r>
        <w:rPr>
          <w:sz w:val="32"/>
          <w:szCs w:val="32"/>
        </w:rPr>
        <w:t>﹞</w:t>
      </w:r>
      <w:r>
        <w:rPr>
          <w:rFonts w:eastAsia="仿宋_GB2312"/>
          <w:sz w:val="32"/>
          <w:szCs w:val="32"/>
        </w:rPr>
        <w:t>88号）。2020年12月3日，因2020年度财政总决算工作和部门决算工作成绩突出，受到省财政厅通报表扬（川财库</w:t>
      </w:r>
      <w:r>
        <w:rPr>
          <w:sz w:val="32"/>
          <w:szCs w:val="32"/>
        </w:rPr>
        <w:t>﹝</w:t>
      </w:r>
      <w:r>
        <w:rPr>
          <w:rFonts w:eastAsia="仿宋_GB2312"/>
          <w:sz w:val="32"/>
          <w:szCs w:val="32"/>
        </w:rPr>
        <w:t>2020</w:t>
      </w:r>
      <w:r>
        <w:rPr>
          <w:sz w:val="32"/>
          <w:szCs w:val="32"/>
        </w:rPr>
        <w:t>﹞</w:t>
      </w:r>
      <w:r>
        <w:rPr>
          <w:rFonts w:eastAsia="仿宋_GB2312"/>
          <w:sz w:val="32"/>
          <w:szCs w:val="32"/>
        </w:rPr>
        <w:t>28号）。2020年1月6日，获县委县政府通报表扬为“2020 年度信访积案化解工作先进集体”（盐边委办</w:t>
      </w:r>
      <w:r>
        <w:rPr>
          <w:sz w:val="32"/>
          <w:szCs w:val="32"/>
        </w:rPr>
        <w:t>﹝</w:t>
      </w:r>
      <w:r>
        <w:rPr>
          <w:rFonts w:eastAsia="仿宋_GB2312"/>
          <w:sz w:val="32"/>
          <w:szCs w:val="32"/>
        </w:rPr>
        <w:t>2020</w:t>
      </w:r>
      <w:r>
        <w:rPr>
          <w:sz w:val="32"/>
          <w:szCs w:val="32"/>
        </w:rPr>
        <w:t>﹞</w:t>
      </w:r>
      <w:r>
        <w:rPr>
          <w:rFonts w:eastAsia="仿宋_GB2312"/>
          <w:sz w:val="32"/>
          <w:szCs w:val="32"/>
        </w:rPr>
        <w:t>3 号）。2020年1月9日，获攀枝花市爱国卫生运动委员会通报表扬为“市级健康单位”（攀爱卫</w:t>
      </w:r>
      <w:r>
        <w:rPr>
          <w:sz w:val="32"/>
          <w:szCs w:val="32"/>
        </w:rPr>
        <w:t>﹝</w:t>
      </w:r>
      <w:r>
        <w:rPr>
          <w:rFonts w:eastAsia="仿宋_GB2312"/>
          <w:sz w:val="32"/>
          <w:szCs w:val="32"/>
        </w:rPr>
        <w:t>2020</w:t>
      </w:r>
      <w:r>
        <w:rPr>
          <w:sz w:val="32"/>
          <w:szCs w:val="32"/>
        </w:rPr>
        <w:t>﹞</w:t>
      </w:r>
      <w:r>
        <w:rPr>
          <w:rFonts w:eastAsia="仿宋_GB2312"/>
          <w:sz w:val="32"/>
          <w:szCs w:val="32"/>
        </w:rPr>
        <w:t>3 号）。2020年1月16日，获县委县政府通报表扬为2020年度禁毒工作先进单位（盐边委办</w:t>
      </w:r>
      <w:r>
        <w:rPr>
          <w:sz w:val="32"/>
          <w:szCs w:val="32"/>
        </w:rPr>
        <w:t>﹝</w:t>
      </w:r>
      <w:r>
        <w:rPr>
          <w:rFonts w:eastAsia="仿宋_GB2312"/>
          <w:sz w:val="32"/>
          <w:szCs w:val="32"/>
        </w:rPr>
        <w:t>2020</w:t>
      </w:r>
      <w:r>
        <w:rPr>
          <w:sz w:val="32"/>
          <w:szCs w:val="32"/>
        </w:rPr>
        <w:t>﹞</w:t>
      </w:r>
      <w:r>
        <w:rPr>
          <w:rFonts w:eastAsia="仿宋_GB2312"/>
          <w:sz w:val="32"/>
          <w:szCs w:val="32"/>
        </w:rPr>
        <w:t>5 号）。2020年1月18日，因我局在“厉行法治、严正执法法律知识竞赛”中荣获二等奖，受县政府通报表扬。2020年4月22日，获县委县政府通报表扬为“2020 年度综治工作先进集体”（盐边委办</w:t>
      </w:r>
      <w:r>
        <w:rPr>
          <w:sz w:val="32"/>
          <w:szCs w:val="32"/>
        </w:rPr>
        <w:t>﹝</w:t>
      </w:r>
      <w:r>
        <w:rPr>
          <w:rFonts w:eastAsia="仿宋_GB2312"/>
          <w:sz w:val="32"/>
          <w:szCs w:val="32"/>
        </w:rPr>
        <w:t>2020</w:t>
      </w:r>
      <w:r>
        <w:rPr>
          <w:sz w:val="32"/>
          <w:szCs w:val="32"/>
        </w:rPr>
        <w:t>﹞</w:t>
      </w:r>
      <w:r>
        <w:rPr>
          <w:rFonts w:eastAsia="仿宋_GB2312"/>
          <w:sz w:val="32"/>
          <w:szCs w:val="32"/>
        </w:rPr>
        <w:t>40 号）。2020年6月2日，在2020年全县机关公文写作比赛中，盐边县财政局因获“优秀组织奖”受到通报表扬。2020年9月11日，获县委县政府通报表扬为“2020年度拥军优属先进单位”。同时县财政局因工作成效突出，10次受县委、县政府主要领导肯定性批示。</w:t>
      </w:r>
    </w:p>
    <w:p>
      <w:pPr>
        <w:pStyle w:val="2"/>
        <w:spacing w:line="560" w:lineRule="exact"/>
        <w:ind w:firstLine="640" w:firstLineChars="200"/>
        <w:rPr>
          <w:rFonts w:eastAsia="黑体"/>
          <w:sz w:val="32"/>
          <w:szCs w:val="32"/>
        </w:rPr>
      </w:pPr>
      <w:r>
        <w:rPr>
          <w:rFonts w:eastAsia="黑体"/>
          <w:sz w:val="32"/>
          <w:szCs w:val="32"/>
        </w:rPr>
        <w:t>二、机构设置</w:t>
      </w:r>
    </w:p>
    <w:p>
      <w:pPr>
        <w:pStyle w:val="2"/>
        <w:spacing w:line="560" w:lineRule="exact"/>
        <w:ind w:firstLine="640" w:firstLineChars="200"/>
        <w:rPr>
          <w:rFonts w:eastAsia="仿宋_GB2312"/>
          <w:sz w:val="32"/>
          <w:szCs w:val="32"/>
        </w:rPr>
      </w:pPr>
      <w:r>
        <w:rPr>
          <w:rFonts w:eastAsia="仿宋_GB2312"/>
          <w:sz w:val="32"/>
          <w:szCs w:val="32"/>
        </w:rPr>
        <w:t>我局为一级行政单位，下属二级决算单位2个，参照公务员法管理的事业单位1个、其他事业单位1个。</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40" w:lineRule="exact"/>
        <w:jc w:val="center"/>
        <w:rPr>
          <w:rFonts w:eastAsia="方正小标宋_GBK"/>
          <w:sz w:val="44"/>
          <w:szCs w:val="44"/>
        </w:rPr>
      </w:pPr>
      <w:r>
        <w:rPr>
          <w:rFonts w:eastAsia="方正小标宋_GBK"/>
          <w:sz w:val="44"/>
          <w:szCs w:val="44"/>
        </w:rPr>
        <w:t>第二部分2020年度部门决算情况说明</w:t>
      </w:r>
    </w:p>
    <w:p>
      <w:pPr>
        <w:spacing w:line="540" w:lineRule="exact"/>
      </w:pPr>
    </w:p>
    <w:p>
      <w:pPr>
        <w:spacing w:line="580" w:lineRule="exact"/>
        <w:ind w:firstLine="640" w:firstLineChars="200"/>
        <w:rPr>
          <w:rFonts w:eastAsia="黑体"/>
          <w:sz w:val="32"/>
          <w:szCs w:val="32"/>
        </w:rPr>
      </w:pPr>
      <w:r>
        <w:rPr>
          <w:rFonts w:eastAsia="黑体"/>
          <w:sz w:val="32"/>
          <w:szCs w:val="32"/>
        </w:rPr>
        <w:t>一、收入支出决算总体情况说明</w:t>
      </w:r>
    </w:p>
    <w:p>
      <w:pPr>
        <w:spacing w:line="580" w:lineRule="exact"/>
        <w:ind w:firstLine="640" w:firstLineChars="200"/>
        <w:rPr>
          <w:rFonts w:eastAsia="仿宋_GB2312"/>
          <w:sz w:val="32"/>
          <w:szCs w:val="32"/>
        </w:rPr>
      </w:pPr>
      <w:r>
        <w:rPr>
          <w:rFonts w:eastAsia="仿宋_GB2312"/>
          <w:sz w:val="32"/>
          <w:szCs w:val="32"/>
        </w:rPr>
        <w:t>2020年度收、支总计1025.94万元。与20</w:t>
      </w:r>
      <w:r>
        <w:rPr>
          <w:rFonts w:hint="eastAsia" w:eastAsia="仿宋_GB2312"/>
          <w:sz w:val="32"/>
          <w:szCs w:val="32"/>
        </w:rPr>
        <w:t>19</w:t>
      </w:r>
      <w:r>
        <w:rPr>
          <w:rFonts w:eastAsia="仿宋_GB2312"/>
          <w:sz w:val="32"/>
          <w:szCs w:val="32"/>
        </w:rPr>
        <w:t>年相比，收、支总计减少55.67万元，下降5.14%。主要变动原因是2020年项目支出经费减少。</w:t>
      </w:r>
    </w:p>
    <w:p>
      <w:pPr>
        <w:pStyle w:val="2"/>
      </w:pPr>
    </w:p>
    <w:p>
      <w:r>
        <w:drawing>
          <wp:inline distT="0" distB="0" distL="114300" distR="114300">
            <wp:extent cx="4938395" cy="2552700"/>
            <wp:effectExtent l="4445" t="4445" r="10160" b="14605"/>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spacing w:line="580" w:lineRule="exact"/>
        <w:ind w:firstLine="640" w:firstLineChars="200"/>
        <w:rPr>
          <w:rFonts w:eastAsia="黑体"/>
          <w:sz w:val="32"/>
          <w:szCs w:val="32"/>
        </w:rPr>
      </w:pPr>
    </w:p>
    <w:p>
      <w:pPr>
        <w:pStyle w:val="2"/>
        <w:spacing w:line="580" w:lineRule="exact"/>
        <w:ind w:firstLine="640" w:firstLineChars="200"/>
        <w:rPr>
          <w:rFonts w:eastAsia="黑体"/>
          <w:sz w:val="32"/>
          <w:szCs w:val="32"/>
        </w:rPr>
      </w:pPr>
      <w:r>
        <w:rPr>
          <w:rFonts w:eastAsia="黑体"/>
          <w:sz w:val="32"/>
          <w:szCs w:val="32"/>
        </w:rPr>
        <w:t>二、收入决算情况说明</w:t>
      </w:r>
    </w:p>
    <w:p>
      <w:pPr>
        <w:pStyle w:val="2"/>
        <w:spacing w:line="580" w:lineRule="exact"/>
        <w:ind w:firstLine="640" w:firstLineChars="200"/>
        <w:rPr>
          <w:rFonts w:eastAsia="仿宋_GB2312"/>
          <w:sz w:val="32"/>
          <w:szCs w:val="32"/>
        </w:rPr>
      </w:pPr>
      <w:r>
        <w:rPr>
          <w:rFonts w:eastAsia="仿宋_GB2312"/>
          <w:sz w:val="32"/>
          <w:szCs w:val="32"/>
        </w:rPr>
        <w:t>2020年本年收入合计998.86万元，其中：一般公共预算财政拨款收入998.86万元，占100%；政府性基金预算财政拨款收入0万元，占0%；上级补助收入0万元，占0%；事业收入0万元，占0%；经营收入0万元，占0%；附属单位上缴收入0万元，占0%；其他收入0万元，占0%。</w:t>
      </w:r>
    </w:p>
    <w:p>
      <w:r>
        <w:drawing>
          <wp:inline distT="0" distB="0" distL="114300" distR="114300">
            <wp:extent cx="5184140" cy="2325370"/>
            <wp:effectExtent l="5080" t="4445" r="11430" b="1333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60" w:lineRule="exact"/>
        <w:ind w:firstLine="640" w:firstLineChars="200"/>
        <w:rPr>
          <w:rFonts w:eastAsia="黑体"/>
          <w:sz w:val="32"/>
          <w:szCs w:val="32"/>
        </w:rPr>
      </w:pPr>
    </w:p>
    <w:p>
      <w:pPr>
        <w:spacing w:line="560" w:lineRule="exact"/>
        <w:ind w:firstLine="640" w:firstLineChars="200"/>
        <w:rPr>
          <w:rFonts w:eastAsia="黑体"/>
          <w:sz w:val="32"/>
          <w:szCs w:val="32"/>
        </w:rPr>
      </w:pPr>
      <w:r>
        <w:rPr>
          <w:rFonts w:eastAsia="黑体"/>
          <w:sz w:val="32"/>
          <w:szCs w:val="32"/>
        </w:rPr>
        <w:t>三、支出决算情况说明</w:t>
      </w:r>
    </w:p>
    <w:p>
      <w:pPr>
        <w:spacing w:line="560" w:lineRule="exact"/>
        <w:ind w:firstLine="640" w:firstLineChars="200"/>
        <w:rPr>
          <w:rFonts w:eastAsia="仿宋_GB2312"/>
          <w:sz w:val="32"/>
          <w:szCs w:val="32"/>
        </w:rPr>
      </w:pPr>
      <w:r>
        <w:rPr>
          <w:rFonts w:eastAsia="仿宋_GB2312"/>
          <w:sz w:val="32"/>
          <w:szCs w:val="32"/>
        </w:rPr>
        <w:t>2020年本年支出合计998.86万元，其中：基本支出620.05万元，占62.08%；项目支出378.81万元，占37.92%；上缴上级支出0万元，占0%；经营支出0万元，占0%；对附属单位补助支出0万元，占0%。</w:t>
      </w:r>
    </w:p>
    <w:p>
      <w:pPr>
        <w:pStyle w:val="2"/>
      </w:pPr>
    </w:p>
    <w:p>
      <w:pPr>
        <w:pStyle w:val="2"/>
      </w:pPr>
      <w:r>
        <w:drawing>
          <wp:inline distT="0" distB="0" distL="114300" distR="114300">
            <wp:extent cx="4234815" cy="2359025"/>
            <wp:effectExtent l="4445" t="4445" r="8890" b="1778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60" w:lineRule="exact"/>
        <w:ind w:firstLine="640" w:firstLineChars="200"/>
        <w:rPr>
          <w:rFonts w:eastAsia="黑体"/>
          <w:sz w:val="32"/>
          <w:szCs w:val="32"/>
        </w:rPr>
      </w:pPr>
      <w:r>
        <w:rPr>
          <w:rFonts w:eastAsia="黑体"/>
          <w:sz w:val="32"/>
          <w:szCs w:val="32"/>
        </w:rPr>
        <w:t>四、财政拨款收入支出决算总体情况说明</w:t>
      </w:r>
    </w:p>
    <w:p>
      <w:pPr>
        <w:spacing w:line="560" w:lineRule="exact"/>
        <w:ind w:firstLine="640" w:firstLineChars="200"/>
        <w:rPr>
          <w:rFonts w:eastAsia="仿宋_GB2312"/>
          <w:sz w:val="32"/>
          <w:szCs w:val="32"/>
        </w:rPr>
      </w:pPr>
      <w:r>
        <w:rPr>
          <w:rFonts w:eastAsia="仿宋_GB2312"/>
          <w:sz w:val="32"/>
          <w:szCs w:val="32"/>
        </w:rPr>
        <w:t>2020年财政拨款收、支总计1025.94万元。与2019年相比，财政拨款收、支总计减少55.67万元，下降5.14%。主要变动原因2020年项目支出经费减少。</w:t>
      </w:r>
    </w:p>
    <w:p>
      <w:pPr>
        <w:pStyle w:val="2"/>
        <w:ind w:right="-483" w:rightChars="-230"/>
      </w:pPr>
      <w:r>
        <w:drawing>
          <wp:inline distT="0" distB="0" distL="114300" distR="114300">
            <wp:extent cx="5638800" cy="2533650"/>
            <wp:effectExtent l="19050" t="0" r="19050" b="0"/>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
      <w:pPr>
        <w:pStyle w:val="2"/>
        <w:spacing w:line="560" w:lineRule="exact"/>
        <w:ind w:firstLine="640" w:firstLineChars="200"/>
        <w:rPr>
          <w:rFonts w:eastAsia="黑体"/>
          <w:sz w:val="32"/>
          <w:szCs w:val="32"/>
        </w:rPr>
      </w:pPr>
      <w:r>
        <w:rPr>
          <w:rFonts w:eastAsia="黑体"/>
          <w:sz w:val="32"/>
          <w:szCs w:val="32"/>
        </w:rPr>
        <w:t>五、一般公共预算财政拨款支出决算情况说明</w:t>
      </w:r>
    </w:p>
    <w:p>
      <w:pPr>
        <w:pStyle w:val="2"/>
        <w:spacing w:line="560" w:lineRule="exact"/>
        <w:ind w:firstLine="640" w:firstLineChars="200"/>
        <w:rPr>
          <w:rFonts w:eastAsia="楷体_GB2312"/>
          <w:sz w:val="32"/>
          <w:szCs w:val="32"/>
        </w:rPr>
      </w:pPr>
      <w:r>
        <w:rPr>
          <w:rFonts w:eastAsia="楷体_GB2312"/>
          <w:sz w:val="32"/>
          <w:szCs w:val="32"/>
        </w:rPr>
        <w:t>（一）一般公共预算财政拨款支出决算总体情况。</w:t>
      </w:r>
    </w:p>
    <w:p>
      <w:pPr>
        <w:pStyle w:val="2"/>
        <w:spacing w:line="560" w:lineRule="exact"/>
        <w:ind w:firstLine="640" w:firstLineChars="200"/>
        <w:rPr>
          <w:rFonts w:eastAsia="仿宋_GB2312"/>
          <w:sz w:val="32"/>
          <w:szCs w:val="32"/>
        </w:rPr>
      </w:pPr>
      <w:r>
        <w:rPr>
          <w:rFonts w:eastAsia="仿宋_GB2312"/>
          <w:sz w:val="32"/>
          <w:szCs w:val="32"/>
        </w:rPr>
        <w:t>2020年一般公共预算财政拨款支出998.86万元，占本年支出合计的100%。与2019年相比，一般公共预算财政拨款减少55.67万元，下降5.57%。主要变动原因是2020年项目经费支出减少。</w:t>
      </w:r>
    </w:p>
    <w:p/>
    <w:p>
      <w:pPr>
        <w:pStyle w:val="2"/>
      </w:pPr>
      <w:r>
        <w:drawing>
          <wp:inline distT="0" distB="0" distL="114300" distR="114300">
            <wp:extent cx="5071110" cy="2245360"/>
            <wp:effectExtent l="4445" t="4445" r="10795" b="17145"/>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
      <w:pPr>
        <w:pStyle w:val="2"/>
        <w:spacing w:line="560" w:lineRule="exact"/>
        <w:ind w:firstLine="640" w:firstLineChars="200"/>
        <w:rPr>
          <w:rFonts w:eastAsia="楷体_GB2312"/>
          <w:sz w:val="32"/>
          <w:szCs w:val="32"/>
        </w:rPr>
      </w:pPr>
      <w:r>
        <w:rPr>
          <w:rFonts w:eastAsia="楷体_GB2312"/>
          <w:sz w:val="32"/>
          <w:szCs w:val="32"/>
        </w:rPr>
        <w:t>（二）一般公共预算财政拨款支出决算结构情况。</w:t>
      </w:r>
    </w:p>
    <w:p>
      <w:pPr>
        <w:pStyle w:val="2"/>
        <w:spacing w:line="560" w:lineRule="exact"/>
        <w:ind w:firstLine="640" w:firstLineChars="200"/>
      </w:pPr>
      <w:r>
        <w:rPr>
          <w:rFonts w:eastAsia="仿宋_GB2312"/>
          <w:sz w:val="32"/>
          <w:szCs w:val="32"/>
        </w:rPr>
        <w:t>2020年一般公共预算财政拨款支出998.86万元，主要用于以下方面:一般公共服务（类）支出877.00万元，占87.80%；社会保障和就业（类）支出62.38万元，占6.25%；卫生健康支出（类）支出1万元，占0.1%；农林水支出（类）支出2万元，占0.2%；住房保障支出（类）56.48万元，占5.65%。（罗列全部功能分类科目，至类级。）</w:t>
      </w:r>
    </w:p>
    <w:p/>
    <w:p>
      <w:pPr>
        <w:pStyle w:val="2"/>
      </w:pPr>
      <w:r>
        <w:drawing>
          <wp:inline distT="0" distB="0" distL="114300" distR="114300">
            <wp:extent cx="5268595" cy="3237865"/>
            <wp:effectExtent l="4445" t="4445" r="22860" b="1524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60" w:lineRule="exact"/>
        <w:ind w:firstLine="640" w:firstLineChars="200"/>
        <w:rPr>
          <w:rFonts w:eastAsia="楷体_GB2312"/>
          <w:sz w:val="32"/>
          <w:szCs w:val="32"/>
        </w:rPr>
      </w:pPr>
      <w:r>
        <w:rPr>
          <w:rFonts w:eastAsia="楷体_GB2312"/>
          <w:sz w:val="32"/>
          <w:szCs w:val="32"/>
        </w:rPr>
        <w:t>（三）一般公共预算财政拨款支出决算具体情况。</w:t>
      </w:r>
    </w:p>
    <w:p>
      <w:pPr>
        <w:spacing w:line="560" w:lineRule="exact"/>
        <w:ind w:firstLine="640" w:firstLineChars="200"/>
        <w:rPr>
          <w:rFonts w:eastAsia="仿宋_GB2312"/>
          <w:sz w:val="32"/>
          <w:szCs w:val="32"/>
        </w:rPr>
      </w:pPr>
      <w:r>
        <w:rPr>
          <w:rFonts w:eastAsia="仿宋_GB2312"/>
          <w:sz w:val="32"/>
          <w:szCs w:val="32"/>
        </w:rPr>
        <w:t>2020年般公共预算支出决算数为998.86万元，完成预算100%。其中：</w:t>
      </w:r>
    </w:p>
    <w:p>
      <w:pPr>
        <w:spacing w:line="560" w:lineRule="exact"/>
        <w:ind w:firstLine="643" w:firstLineChars="200"/>
        <w:rPr>
          <w:rFonts w:eastAsia="仿宋_GB2312"/>
          <w:b/>
          <w:sz w:val="32"/>
          <w:szCs w:val="32"/>
        </w:rPr>
      </w:pPr>
      <w:r>
        <w:rPr>
          <w:rFonts w:eastAsia="仿宋_GB2312"/>
          <w:b/>
          <w:sz w:val="32"/>
          <w:szCs w:val="32"/>
        </w:rPr>
        <w:t>1.一般公共服务（类）财政事务支出（款）</w:t>
      </w:r>
    </w:p>
    <w:p>
      <w:pPr>
        <w:spacing w:line="560" w:lineRule="exact"/>
        <w:ind w:firstLine="640" w:firstLineChars="200"/>
        <w:rPr>
          <w:rFonts w:eastAsia="仿宋_GB2312"/>
          <w:sz w:val="32"/>
          <w:szCs w:val="32"/>
        </w:rPr>
      </w:pPr>
      <w:r>
        <w:rPr>
          <w:rFonts w:eastAsia="仿宋_GB2312"/>
          <w:sz w:val="32"/>
          <w:szCs w:val="32"/>
        </w:rPr>
        <w:t>①行政运行: 支出决算为297.93万元，完成预算100%，决算数等于预算数。</w:t>
      </w:r>
    </w:p>
    <w:p>
      <w:pPr>
        <w:spacing w:line="560" w:lineRule="exact"/>
        <w:ind w:firstLine="640" w:firstLineChars="200"/>
        <w:rPr>
          <w:rFonts w:eastAsia="仿宋_GB2312"/>
          <w:sz w:val="32"/>
          <w:szCs w:val="32"/>
        </w:rPr>
      </w:pPr>
      <w:r>
        <w:rPr>
          <w:rFonts w:eastAsia="仿宋_GB2312"/>
          <w:sz w:val="32"/>
          <w:szCs w:val="32"/>
        </w:rPr>
        <w:t>②事业运行： 支出决算为203.27万元，完成预算100%，决算数等于预算数。</w:t>
      </w:r>
    </w:p>
    <w:p>
      <w:pPr>
        <w:spacing w:line="560" w:lineRule="exact"/>
        <w:ind w:firstLine="640" w:firstLineChars="200"/>
        <w:rPr>
          <w:rFonts w:eastAsia="仿宋_GB2312"/>
          <w:sz w:val="32"/>
          <w:szCs w:val="32"/>
        </w:rPr>
      </w:pPr>
      <w:r>
        <w:rPr>
          <w:rFonts w:eastAsia="仿宋_GB2312"/>
          <w:sz w:val="32"/>
          <w:szCs w:val="32"/>
        </w:rPr>
        <w:t>③一般行政管理事务：支出决算为57.26万元，完成预算100%，决算数等于预算数。</w:t>
      </w:r>
    </w:p>
    <w:p>
      <w:pPr>
        <w:spacing w:line="560" w:lineRule="exact"/>
        <w:ind w:firstLine="640" w:firstLineChars="200"/>
        <w:rPr>
          <w:rFonts w:eastAsia="仿宋_GB2312"/>
          <w:sz w:val="32"/>
          <w:szCs w:val="32"/>
        </w:rPr>
      </w:pPr>
      <w:r>
        <w:rPr>
          <w:rFonts w:eastAsia="仿宋_GB2312"/>
          <w:sz w:val="32"/>
          <w:szCs w:val="32"/>
        </w:rPr>
        <w:t>④信息化建设：支出决算为190.44万元，完成预算100%，决算数等于预算数。</w:t>
      </w:r>
    </w:p>
    <w:p>
      <w:pPr>
        <w:spacing w:line="560" w:lineRule="exact"/>
        <w:ind w:firstLine="640" w:firstLineChars="200"/>
        <w:rPr>
          <w:rFonts w:eastAsia="仿宋_GB2312"/>
          <w:sz w:val="32"/>
          <w:szCs w:val="32"/>
        </w:rPr>
      </w:pPr>
      <w:r>
        <w:rPr>
          <w:rFonts w:eastAsia="仿宋_GB2312"/>
          <w:sz w:val="32"/>
          <w:szCs w:val="32"/>
        </w:rPr>
        <w:t>⑤财政委托业务支出：支出决算为126.4万元，完成预算100%，决算数等于预算数。</w:t>
      </w:r>
    </w:p>
    <w:p>
      <w:pPr>
        <w:spacing w:line="560" w:lineRule="exact"/>
        <w:ind w:firstLine="643" w:firstLineChars="200"/>
        <w:rPr>
          <w:rFonts w:eastAsia="仿宋_GB2312"/>
          <w:b/>
          <w:sz w:val="32"/>
          <w:szCs w:val="32"/>
        </w:rPr>
      </w:pPr>
      <w:r>
        <w:rPr>
          <w:rFonts w:eastAsia="仿宋_GB2312"/>
          <w:b/>
          <w:sz w:val="32"/>
          <w:szCs w:val="32"/>
        </w:rPr>
        <w:t xml:space="preserve">2.社会保障和就业（类）行政事业单位养老支出（款）  </w:t>
      </w:r>
    </w:p>
    <w:p>
      <w:pPr>
        <w:spacing w:line="560" w:lineRule="exact"/>
        <w:ind w:firstLine="640" w:firstLineChars="200"/>
        <w:rPr>
          <w:rFonts w:eastAsia="仿宋_GB2312"/>
          <w:sz w:val="32"/>
          <w:szCs w:val="32"/>
        </w:rPr>
      </w:pPr>
      <w:r>
        <w:rPr>
          <w:rFonts w:eastAsia="仿宋_GB2312"/>
          <w:sz w:val="32"/>
          <w:szCs w:val="32"/>
        </w:rPr>
        <w:t>①行政单位离退休: 支出决算为17.89万元，完成预算100%，决算数等于预算数。</w:t>
      </w:r>
    </w:p>
    <w:p>
      <w:pPr>
        <w:spacing w:line="560" w:lineRule="exact"/>
        <w:ind w:firstLine="640" w:firstLineChars="200"/>
        <w:rPr>
          <w:rFonts w:eastAsia="仿宋_GB2312"/>
          <w:sz w:val="32"/>
          <w:szCs w:val="32"/>
        </w:rPr>
      </w:pPr>
      <w:r>
        <w:rPr>
          <w:rFonts w:eastAsia="仿宋_GB2312"/>
          <w:sz w:val="32"/>
          <w:szCs w:val="32"/>
        </w:rPr>
        <w:t>②机关事业单位基本养老保险缴费支出：支出决算为43.87万元，完成预算100%，决算数等于预算数。</w:t>
      </w:r>
    </w:p>
    <w:p>
      <w:pPr>
        <w:spacing w:line="560" w:lineRule="exact"/>
        <w:ind w:firstLine="640" w:firstLineChars="200"/>
        <w:rPr>
          <w:rFonts w:eastAsia="仿宋_GB2312"/>
          <w:sz w:val="32"/>
          <w:szCs w:val="32"/>
        </w:rPr>
      </w:pPr>
      <w:r>
        <w:rPr>
          <w:rFonts w:eastAsia="仿宋_GB2312"/>
          <w:sz w:val="32"/>
          <w:szCs w:val="32"/>
        </w:rPr>
        <w:sym w:font="Wingdings" w:char="F083"/>
      </w:r>
      <w:r>
        <w:rPr>
          <w:rFonts w:eastAsia="仿宋_GB2312"/>
          <w:sz w:val="32"/>
          <w:szCs w:val="32"/>
        </w:rPr>
        <w:t>事业单位离退休：支出决算为0.62万元，完成预算100%，决算数等于预算数。</w:t>
      </w:r>
    </w:p>
    <w:p>
      <w:pPr>
        <w:spacing w:line="560" w:lineRule="exact"/>
        <w:ind w:firstLine="643" w:firstLineChars="200"/>
        <w:rPr>
          <w:rFonts w:eastAsia="仿宋_GB2312"/>
          <w:sz w:val="32"/>
          <w:szCs w:val="32"/>
        </w:rPr>
      </w:pPr>
      <w:r>
        <w:rPr>
          <w:rFonts w:eastAsia="仿宋_GB2312"/>
          <w:b/>
          <w:sz w:val="32"/>
          <w:szCs w:val="32"/>
        </w:rPr>
        <w:t>3.住房保障支出（类）住房改革支出（款）住房公积金（项）：</w:t>
      </w:r>
      <w:r>
        <w:rPr>
          <w:rFonts w:eastAsia="仿宋_GB2312"/>
          <w:sz w:val="32"/>
          <w:szCs w:val="32"/>
        </w:rPr>
        <w:t>支出决算为56.48万元，完成预算100%，决算数等于预算数。</w:t>
      </w:r>
    </w:p>
    <w:p>
      <w:pPr>
        <w:spacing w:line="560" w:lineRule="exact"/>
        <w:ind w:firstLine="643" w:firstLineChars="200"/>
        <w:rPr>
          <w:rFonts w:eastAsia="仿宋_GB2312"/>
          <w:sz w:val="32"/>
          <w:szCs w:val="32"/>
        </w:rPr>
      </w:pPr>
      <w:r>
        <w:rPr>
          <w:rFonts w:eastAsia="仿宋_GB2312"/>
          <w:b/>
          <w:sz w:val="32"/>
          <w:szCs w:val="32"/>
        </w:rPr>
        <w:t>4.农林水支出（类）扶贫（款）其他扶贫支出（项）：</w:t>
      </w:r>
      <w:r>
        <w:rPr>
          <w:rFonts w:eastAsia="仿宋_GB2312"/>
          <w:sz w:val="32"/>
          <w:szCs w:val="32"/>
        </w:rPr>
        <w:t>支出决算为2万元，完成预算100%，决算数等于预算数。</w:t>
      </w:r>
    </w:p>
    <w:p>
      <w:pPr>
        <w:spacing w:line="560" w:lineRule="exact"/>
        <w:ind w:firstLine="643" w:firstLineChars="200"/>
        <w:rPr>
          <w:rFonts w:eastAsia="仿宋_GB2312"/>
          <w:sz w:val="32"/>
          <w:szCs w:val="32"/>
        </w:rPr>
      </w:pPr>
      <w:r>
        <w:rPr>
          <w:rFonts w:eastAsia="仿宋_GB2312"/>
          <w:b/>
          <w:sz w:val="32"/>
          <w:szCs w:val="32"/>
        </w:rPr>
        <w:t>5.卫生健康支出（类）公共卫生（款）重大公共卫生服务（项）：</w:t>
      </w:r>
      <w:r>
        <w:rPr>
          <w:rFonts w:eastAsia="仿宋_GB2312"/>
          <w:sz w:val="32"/>
          <w:szCs w:val="32"/>
        </w:rPr>
        <w:t>支出决算为1万元，完成预算100%，决算数等于预算数。</w:t>
      </w:r>
    </w:p>
    <w:p>
      <w:pPr>
        <w:spacing w:line="560" w:lineRule="exact"/>
        <w:ind w:firstLine="640" w:firstLineChars="200"/>
        <w:rPr>
          <w:rFonts w:eastAsia="仿宋_GB2312"/>
          <w:sz w:val="32"/>
          <w:szCs w:val="32"/>
        </w:rPr>
      </w:pPr>
      <w:r>
        <w:rPr>
          <w:rFonts w:eastAsia="仿宋_GB2312"/>
          <w:sz w:val="32"/>
          <w:szCs w:val="32"/>
        </w:rPr>
        <w:t>（注：数据来源于财决Z01-1表，罗列全部功能分类科目至项级。上述“预算”口径为调整预算数。增减变动原因为决算数&lt;项级&gt;和调整预算数&lt;项级&gt;比较，与预算数持平可以不写原因。）</w:t>
      </w:r>
    </w:p>
    <w:p>
      <w:pPr>
        <w:spacing w:line="560" w:lineRule="exact"/>
        <w:ind w:firstLine="640" w:firstLineChars="200"/>
        <w:rPr>
          <w:rFonts w:eastAsia="黑体"/>
          <w:sz w:val="32"/>
          <w:szCs w:val="32"/>
        </w:rPr>
      </w:pPr>
      <w:r>
        <w:rPr>
          <w:rFonts w:eastAsia="黑体"/>
          <w:sz w:val="32"/>
          <w:szCs w:val="32"/>
        </w:rPr>
        <w:t>六、一般公共预算财政拨款基本支出决算情况说明</w:t>
      </w:r>
      <w:r>
        <w:rPr>
          <w:rFonts w:eastAsia="黑体"/>
          <w:sz w:val="32"/>
          <w:szCs w:val="32"/>
        </w:rPr>
        <w:tab/>
      </w:r>
    </w:p>
    <w:p>
      <w:pPr>
        <w:spacing w:line="560" w:lineRule="exact"/>
        <w:ind w:firstLine="640" w:firstLineChars="200"/>
        <w:rPr>
          <w:rFonts w:eastAsia="仿宋_GB2312"/>
          <w:sz w:val="32"/>
          <w:szCs w:val="32"/>
        </w:rPr>
      </w:pPr>
      <w:r>
        <w:rPr>
          <w:rFonts w:eastAsia="仿宋_GB2312"/>
          <w:sz w:val="32"/>
          <w:szCs w:val="32"/>
        </w:rPr>
        <w:t>2020年一般公共预算财政拨款基本支出620.05万元，其中：</w:t>
      </w:r>
    </w:p>
    <w:p>
      <w:pPr>
        <w:spacing w:line="560" w:lineRule="exact"/>
        <w:ind w:firstLine="640" w:firstLineChars="200"/>
        <w:rPr>
          <w:rFonts w:eastAsia="仿宋_GB2312"/>
          <w:sz w:val="32"/>
          <w:szCs w:val="32"/>
        </w:rPr>
      </w:pPr>
      <w:r>
        <w:rPr>
          <w:rFonts w:eastAsia="仿宋_GB2312"/>
          <w:sz w:val="32"/>
          <w:szCs w:val="32"/>
        </w:rPr>
        <w:t>人员经费573.93万元，主要包括：基本工资、津贴补贴、奖金、绩效工资、机关事业单位基本养老保险缴费、其他社会保障缴费、其他工资福利支出、退休费、生活补助、医疗费补助、奖励金、住房公积金、其他对个人和家庭的补助支出等。</w:t>
      </w:r>
    </w:p>
    <w:p>
      <w:pPr>
        <w:spacing w:line="560" w:lineRule="exact"/>
        <w:rPr>
          <w:rFonts w:eastAsia="仿宋_GB2312"/>
          <w:sz w:val="32"/>
          <w:szCs w:val="32"/>
        </w:rPr>
      </w:pPr>
      <w:r>
        <w:rPr>
          <w:rFonts w:eastAsia="仿宋_GB2312"/>
          <w:sz w:val="32"/>
          <w:szCs w:val="32"/>
        </w:rPr>
        <w:t>　　日常公用经费46.12万元，主要包括：办公费、水费、电费、差旅费、维修（护）费、培训费、公务接待费、劳务费、委托业务费、工会经费、福利费、其他交通费、其他商品和服务支出等。</w:t>
      </w:r>
    </w:p>
    <w:p>
      <w:pPr>
        <w:spacing w:line="560" w:lineRule="exact"/>
        <w:ind w:firstLine="640" w:firstLineChars="200"/>
        <w:rPr>
          <w:rFonts w:eastAsia="黑体"/>
          <w:sz w:val="32"/>
          <w:szCs w:val="32"/>
        </w:rPr>
      </w:pPr>
      <w:r>
        <w:rPr>
          <w:rFonts w:eastAsia="黑体"/>
          <w:sz w:val="32"/>
          <w:szCs w:val="32"/>
        </w:rPr>
        <w:t>七、“三公”经费财政拨款支出决算情况说明</w:t>
      </w:r>
    </w:p>
    <w:p>
      <w:pPr>
        <w:spacing w:line="560" w:lineRule="exact"/>
        <w:ind w:firstLine="640" w:firstLineChars="200"/>
        <w:rPr>
          <w:rFonts w:eastAsia="楷体_GB2312"/>
          <w:sz w:val="32"/>
          <w:szCs w:val="32"/>
        </w:rPr>
      </w:pPr>
      <w:r>
        <w:rPr>
          <w:rFonts w:eastAsia="楷体_GB2312"/>
          <w:sz w:val="32"/>
          <w:szCs w:val="32"/>
        </w:rPr>
        <w:t>（一）“三公”经费财政拨款支出决算总体情况说明。</w:t>
      </w:r>
    </w:p>
    <w:p>
      <w:pPr>
        <w:spacing w:line="560" w:lineRule="exact"/>
        <w:ind w:firstLine="640" w:firstLineChars="200"/>
        <w:rPr>
          <w:rFonts w:eastAsia="仿宋_GB2312"/>
          <w:sz w:val="32"/>
          <w:szCs w:val="32"/>
        </w:rPr>
      </w:pPr>
      <w:r>
        <w:rPr>
          <w:rFonts w:eastAsia="仿宋_GB2312"/>
          <w:sz w:val="32"/>
          <w:szCs w:val="32"/>
        </w:rPr>
        <w:t>2020年“三公”经费财政拨款支出决算为0.07万元，完成预算100%，决算数与预算数持平。</w:t>
      </w:r>
    </w:p>
    <w:p>
      <w:pPr>
        <w:pStyle w:val="2"/>
      </w:pPr>
      <w:r>
        <w:drawing>
          <wp:inline distT="0" distB="0" distL="114300" distR="114300">
            <wp:extent cx="4316730" cy="2626360"/>
            <wp:effectExtent l="4445" t="4445" r="22225" b="17145"/>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60" w:lineRule="exact"/>
        <w:ind w:firstLine="640" w:firstLineChars="200"/>
        <w:rPr>
          <w:rFonts w:eastAsia="仿宋_GB2312"/>
          <w:sz w:val="32"/>
          <w:szCs w:val="32"/>
        </w:rPr>
      </w:pPr>
      <w:r>
        <w:rPr>
          <w:rFonts w:eastAsia="仿宋_GB2312"/>
          <w:sz w:val="32"/>
          <w:szCs w:val="32"/>
        </w:rPr>
        <w:t>（注：上述“预算”口径为调整预算数，包括政府性基金支出决算情况。）</w:t>
      </w:r>
    </w:p>
    <w:p>
      <w:pPr>
        <w:spacing w:line="560" w:lineRule="exact"/>
        <w:ind w:firstLine="640" w:firstLineChars="200"/>
        <w:rPr>
          <w:rFonts w:eastAsia="楷体_GB2312"/>
          <w:sz w:val="32"/>
          <w:szCs w:val="32"/>
        </w:rPr>
      </w:pPr>
      <w:r>
        <w:rPr>
          <w:rFonts w:eastAsia="楷体_GB2312"/>
          <w:sz w:val="32"/>
          <w:szCs w:val="32"/>
        </w:rPr>
        <w:t>（二）“三公”经费财政拨款支出决算具体情况说明。</w:t>
      </w:r>
    </w:p>
    <w:p>
      <w:pPr>
        <w:spacing w:line="560" w:lineRule="exact"/>
        <w:ind w:firstLine="640" w:firstLineChars="200"/>
        <w:rPr>
          <w:rFonts w:eastAsia="仿宋_GB2312"/>
          <w:sz w:val="32"/>
          <w:szCs w:val="32"/>
        </w:rPr>
      </w:pPr>
      <w:r>
        <w:rPr>
          <w:rFonts w:eastAsia="仿宋_GB2312"/>
          <w:sz w:val="32"/>
          <w:szCs w:val="32"/>
        </w:rPr>
        <w:t>2020年“三公”经费财政拨款支出决算中，因公出国（境）费支出决算0万元，占0%；公务用车购置及运行维护费支出决算0万元，占0%；公务接待费支出决算0.</w:t>
      </w:r>
      <w:r>
        <w:rPr>
          <w:rFonts w:hint="eastAsia" w:eastAsia="仿宋_GB2312"/>
          <w:sz w:val="32"/>
          <w:szCs w:val="32"/>
          <w:lang w:val="en-US" w:eastAsia="zh-CN"/>
        </w:rPr>
        <w:t>07</w:t>
      </w:r>
      <w:r>
        <w:rPr>
          <w:rFonts w:eastAsia="仿宋_GB2312"/>
          <w:sz w:val="32"/>
          <w:szCs w:val="32"/>
        </w:rPr>
        <w:t>万元，占0%。具体情况如下：</w:t>
      </w:r>
    </w:p>
    <w:p>
      <w:pPr>
        <w:spacing w:line="560" w:lineRule="exact"/>
        <w:ind w:firstLine="640" w:firstLineChars="200"/>
        <w:rPr>
          <w:rFonts w:eastAsia="仿宋_GB2312"/>
          <w:sz w:val="32"/>
          <w:szCs w:val="32"/>
        </w:rPr>
      </w:pPr>
      <w:r>
        <w:rPr>
          <w:rFonts w:eastAsia="仿宋_GB2312"/>
          <w:sz w:val="32"/>
          <w:szCs w:val="32"/>
        </w:rPr>
        <w:t>1.因公出国（境）经费支出0万元，完成预算0%。全年安排因公出国（境）团组0次，出国（境）0人。因公出国（境）支出决算比2019年无增减变动。主要原因是我单位2020年无因公出国（境）支出。</w:t>
      </w:r>
    </w:p>
    <w:p>
      <w:pPr>
        <w:spacing w:line="560" w:lineRule="exact"/>
        <w:ind w:firstLine="640" w:firstLineChars="200"/>
        <w:rPr>
          <w:rFonts w:eastAsia="仿宋_GB2312"/>
          <w:sz w:val="32"/>
          <w:szCs w:val="32"/>
        </w:rPr>
      </w:pPr>
      <w:r>
        <w:rPr>
          <w:rFonts w:eastAsia="仿宋_GB2312"/>
          <w:sz w:val="32"/>
          <w:szCs w:val="32"/>
        </w:rPr>
        <w:t>开支内容包括：（团组名称、出访地点、取得成效）等。</w:t>
      </w:r>
    </w:p>
    <w:p>
      <w:pPr>
        <w:spacing w:line="560" w:lineRule="exact"/>
        <w:ind w:firstLine="640" w:firstLineChars="200"/>
        <w:rPr>
          <w:rFonts w:eastAsia="仿宋_GB2312"/>
          <w:sz w:val="32"/>
          <w:szCs w:val="32"/>
        </w:rPr>
      </w:pPr>
      <w:r>
        <w:rPr>
          <w:rFonts w:eastAsia="仿宋_GB2312"/>
          <w:sz w:val="32"/>
          <w:szCs w:val="32"/>
        </w:rPr>
        <w:t>2.公务用车购置及运行维护费支出0万元,完成预算0%。公务用车购置及运行维护费支出决算</w:t>
      </w:r>
      <w:r>
        <w:rPr>
          <w:rFonts w:hint="eastAsia" w:eastAsia="仿宋_GB2312"/>
          <w:sz w:val="32"/>
          <w:szCs w:val="32"/>
        </w:rPr>
        <w:t>与</w:t>
      </w:r>
      <w:r>
        <w:rPr>
          <w:rFonts w:eastAsia="仿宋_GB2312"/>
          <w:sz w:val="32"/>
          <w:szCs w:val="32"/>
        </w:rPr>
        <w:t>2019年无增减变动，主要原因是我单位2020年无公务用车购置及运行维护费支出。</w:t>
      </w:r>
    </w:p>
    <w:p>
      <w:pPr>
        <w:spacing w:line="560" w:lineRule="exact"/>
        <w:ind w:firstLine="640" w:firstLineChars="200"/>
        <w:rPr>
          <w:rFonts w:eastAsia="仿宋_GB2312"/>
          <w:sz w:val="32"/>
          <w:szCs w:val="32"/>
        </w:rPr>
      </w:pPr>
      <w:r>
        <w:rPr>
          <w:rFonts w:eastAsia="仿宋_GB2312"/>
          <w:sz w:val="32"/>
          <w:szCs w:val="32"/>
        </w:rPr>
        <w:t>其中：公务用车购置支出0万元。全年按规定更新购置公务用车0辆，其中：轿车0辆、金额0万元，越野车0辆、金额0万元，载客汽车0辆、金额0万元。截至2020年12月底，单位共有公务用车0辆，其中：轿车0辆、越野车0辆、载客汽车0辆。</w:t>
      </w:r>
    </w:p>
    <w:p>
      <w:pPr>
        <w:spacing w:line="560" w:lineRule="exact"/>
        <w:ind w:firstLine="640" w:firstLineChars="200"/>
        <w:rPr>
          <w:rFonts w:eastAsia="仿宋_GB2312"/>
          <w:sz w:val="32"/>
          <w:szCs w:val="32"/>
        </w:rPr>
      </w:pPr>
      <w:r>
        <w:rPr>
          <w:rFonts w:eastAsia="仿宋_GB2312"/>
          <w:sz w:val="32"/>
          <w:szCs w:val="32"/>
        </w:rPr>
        <w:t>公务用车运行维护费支出0万元。主要用于（具体工作）等所需的公务用车燃料费、维修费、过路过桥费、保险费等支出。</w:t>
      </w:r>
    </w:p>
    <w:p>
      <w:pPr>
        <w:spacing w:line="560" w:lineRule="exact"/>
        <w:ind w:firstLine="640" w:firstLineChars="200"/>
        <w:rPr>
          <w:rFonts w:eastAsia="仿宋_GB2312"/>
          <w:sz w:val="32"/>
          <w:szCs w:val="32"/>
        </w:rPr>
      </w:pPr>
      <w:r>
        <w:rPr>
          <w:rFonts w:eastAsia="仿宋_GB2312"/>
          <w:sz w:val="32"/>
          <w:szCs w:val="32"/>
        </w:rPr>
        <w:t>3.公务接待费支出0.07万元，完成预算100%。公务接待费支出决算比2019年减少0.36万元，下降90%。主要原因是单位节约支出。</w:t>
      </w:r>
    </w:p>
    <w:p>
      <w:pPr>
        <w:spacing w:line="560" w:lineRule="exact"/>
        <w:ind w:firstLine="640" w:firstLineChars="200"/>
        <w:rPr>
          <w:rFonts w:eastAsia="仿宋_GB2312"/>
          <w:sz w:val="32"/>
          <w:szCs w:val="32"/>
        </w:rPr>
      </w:pPr>
      <w:r>
        <w:rPr>
          <w:rFonts w:eastAsia="仿宋_GB2312"/>
          <w:sz w:val="32"/>
          <w:szCs w:val="32"/>
        </w:rPr>
        <w:t>国内公务接待支出0.07万元，主要用于执行公务、开展业务活动开支的交通费、住宿费、用餐费等。国内公务接待3批次，10人次（不包括陪同人员），共计支出0.07万元，具体内容包括：上级单位到我单位检查工作接待支出0.07万元。</w:t>
      </w:r>
    </w:p>
    <w:p>
      <w:pPr>
        <w:spacing w:line="560" w:lineRule="exact"/>
        <w:ind w:firstLine="640" w:firstLineChars="200"/>
        <w:rPr>
          <w:rFonts w:eastAsia="仿宋_GB2312"/>
          <w:sz w:val="32"/>
          <w:szCs w:val="32"/>
        </w:rPr>
      </w:pPr>
      <w:r>
        <w:rPr>
          <w:rFonts w:eastAsia="仿宋_GB2312"/>
          <w:sz w:val="32"/>
          <w:szCs w:val="32"/>
        </w:rPr>
        <w:t>外事接待支出0万元，外事接待0批次，0人，共计支出0万元，主要用于接（具体项目）。</w:t>
      </w:r>
    </w:p>
    <w:p>
      <w:pPr>
        <w:spacing w:line="560" w:lineRule="exact"/>
        <w:ind w:firstLine="640" w:firstLineChars="200"/>
        <w:rPr>
          <w:rFonts w:eastAsia="黑体"/>
          <w:sz w:val="32"/>
          <w:szCs w:val="32"/>
        </w:rPr>
      </w:pPr>
      <w:r>
        <w:rPr>
          <w:rFonts w:eastAsia="黑体"/>
          <w:sz w:val="32"/>
          <w:szCs w:val="32"/>
        </w:rPr>
        <w:t>八、政府性基金预算支出决算情况说明</w:t>
      </w:r>
    </w:p>
    <w:p>
      <w:pPr>
        <w:spacing w:line="560" w:lineRule="exact"/>
        <w:ind w:firstLine="640" w:firstLineChars="200"/>
        <w:rPr>
          <w:rFonts w:eastAsia="仿宋_GB2312"/>
          <w:sz w:val="32"/>
          <w:szCs w:val="32"/>
        </w:rPr>
      </w:pPr>
      <w:r>
        <w:rPr>
          <w:rFonts w:eastAsia="仿宋_GB2312"/>
          <w:sz w:val="32"/>
          <w:szCs w:val="32"/>
        </w:rPr>
        <w:t>2020年政府性基金预算拨款支出0万元。</w:t>
      </w:r>
    </w:p>
    <w:p>
      <w:pPr>
        <w:spacing w:line="560" w:lineRule="exact"/>
        <w:ind w:firstLine="640" w:firstLineChars="200"/>
        <w:rPr>
          <w:rFonts w:eastAsia="黑体"/>
          <w:sz w:val="32"/>
          <w:szCs w:val="32"/>
        </w:rPr>
      </w:pPr>
      <w:r>
        <w:rPr>
          <w:rFonts w:eastAsia="黑体"/>
          <w:sz w:val="32"/>
          <w:szCs w:val="32"/>
        </w:rPr>
        <w:t>九、国有资本经营预算支出决算情况说明</w:t>
      </w:r>
    </w:p>
    <w:p>
      <w:pPr>
        <w:spacing w:line="560" w:lineRule="exact"/>
        <w:ind w:firstLine="640" w:firstLineChars="200"/>
        <w:rPr>
          <w:rFonts w:eastAsia="仿宋_GB2312"/>
          <w:sz w:val="32"/>
          <w:szCs w:val="32"/>
        </w:rPr>
      </w:pPr>
      <w:r>
        <w:rPr>
          <w:rFonts w:eastAsia="仿宋_GB2312"/>
          <w:sz w:val="32"/>
          <w:szCs w:val="32"/>
        </w:rPr>
        <w:t>2020年国有资本经营预算拨款支出0万元。</w:t>
      </w:r>
    </w:p>
    <w:p>
      <w:pPr>
        <w:spacing w:line="560" w:lineRule="exact"/>
        <w:ind w:firstLine="640" w:firstLineChars="200"/>
        <w:rPr>
          <w:rFonts w:eastAsia="黑体"/>
          <w:sz w:val="32"/>
          <w:szCs w:val="32"/>
        </w:rPr>
      </w:pPr>
      <w:r>
        <w:rPr>
          <w:rFonts w:eastAsia="黑体"/>
          <w:sz w:val="32"/>
          <w:szCs w:val="32"/>
        </w:rPr>
        <w:t>十、其他重要事项的情况说明</w:t>
      </w:r>
    </w:p>
    <w:p>
      <w:pPr>
        <w:spacing w:line="560" w:lineRule="exact"/>
        <w:ind w:firstLine="640" w:firstLineChars="200"/>
        <w:rPr>
          <w:rFonts w:eastAsia="楷体_GB2312"/>
          <w:sz w:val="32"/>
          <w:szCs w:val="32"/>
        </w:rPr>
      </w:pPr>
      <w:r>
        <w:rPr>
          <w:rFonts w:eastAsia="楷体_GB2312"/>
          <w:sz w:val="32"/>
          <w:szCs w:val="32"/>
        </w:rPr>
        <w:t>（一）机关运行经费支出情况。</w:t>
      </w:r>
    </w:p>
    <w:p>
      <w:pPr>
        <w:spacing w:line="560" w:lineRule="exact"/>
        <w:ind w:firstLine="640" w:firstLineChars="200"/>
        <w:rPr>
          <w:rFonts w:eastAsia="仿宋_GB2312"/>
          <w:sz w:val="32"/>
          <w:szCs w:val="32"/>
        </w:rPr>
      </w:pPr>
      <w:r>
        <w:rPr>
          <w:rFonts w:eastAsia="仿宋_GB2312"/>
          <w:sz w:val="32"/>
          <w:szCs w:val="32"/>
        </w:rPr>
        <w:t>2020年，盐边县财政局机关运行经费支出46.12万元，比2019年减少2.25万元，下降4.65%。主要原因是单位节约开支。</w:t>
      </w:r>
    </w:p>
    <w:p>
      <w:pPr>
        <w:spacing w:line="560" w:lineRule="exact"/>
        <w:ind w:firstLine="640" w:firstLineChars="200"/>
        <w:rPr>
          <w:rFonts w:eastAsia="仿宋_GB2312"/>
          <w:sz w:val="32"/>
          <w:szCs w:val="32"/>
        </w:rPr>
      </w:pPr>
      <w:r>
        <w:rPr>
          <w:rFonts w:eastAsia="仿宋_GB2312"/>
          <w:sz w:val="32"/>
          <w:szCs w:val="32"/>
        </w:rPr>
        <w:t>（注：数据来源于财决附03表）</w:t>
      </w:r>
    </w:p>
    <w:p>
      <w:pPr>
        <w:spacing w:line="560" w:lineRule="exact"/>
        <w:ind w:firstLine="640" w:firstLineChars="200"/>
        <w:rPr>
          <w:rFonts w:eastAsia="楷体_GB2312"/>
          <w:sz w:val="32"/>
          <w:szCs w:val="32"/>
        </w:rPr>
      </w:pPr>
      <w:r>
        <w:rPr>
          <w:rFonts w:eastAsia="楷体_GB2312"/>
          <w:sz w:val="32"/>
          <w:szCs w:val="32"/>
        </w:rPr>
        <w:t>（二）政府采购支出情况。</w:t>
      </w:r>
    </w:p>
    <w:p>
      <w:pPr>
        <w:spacing w:line="560" w:lineRule="exact"/>
        <w:ind w:firstLine="640" w:firstLineChars="200"/>
        <w:rPr>
          <w:rFonts w:eastAsia="仿宋_GB2312"/>
          <w:sz w:val="32"/>
          <w:szCs w:val="32"/>
        </w:rPr>
      </w:pPr>
      <w:r>
        <w:rPr>
          <w:rFonts w:eastAsia="仿宋_GB2312"/>
          <w:sz w:val="32"/>
          <w:szCs w:val="32"/>
        </w:rPr>
        <w:t>2020年，盐边县财政局政府采购支出总额11.50万元，其中：政府采购货物支出</w:t>
      </w:r>
      <w:r>
        <w:rPr>
          <w:rFonts w:hint="eastAsia" w:eastAsia="仿宋_GB2312"/>
          <w:sz w:val="32"/>
          <w:szCs w:val="32"/>
          <w:lang w:val="en-US" w:eastAsia="zh-CN"/>
        </w:rPr>
        <w:t>11.5</w:t>
      </w:r>
      <w:r>
        <w:rPr>
          <w:rFonts w:eastAsia="仿宋_GB2312"/>
          <w:sz w:val="32"/>
          <w:szCs w:val="32"/>
        </w:rPr>
        <w:t>万元、政府采购工程支出0万元、政府采购服务支出</w:t>
      </w:r>
      <w:r>
        <w:rPr>
          <w:rFonts w:hint="eastAsia" w:eastAsia="仿宋_GB2312"/>
          <w:sz w:val="32"/>
          <w:szCs w:val="32"/>
          <w:lang w:val="en-US" w:eastAsia="zh-CN"/>
        </w:rPr>
        <w:t>0</w:t>
      </w:r>
      <w:r>
        <w:rPr>
          <w:rFonts w:eastAsia="仿宋_GB2312"/>
          <w:sz w:val="32"/>
          <w:szCs w:val="32"/>
        </w:rPr>
        <w:t>万元。主要用于办公电脑、打印机等设备购置。授予中小企业合同金额11.50万元，占政府采购支出总额的100%，其中：授予小微企业合同金额0万元，占政府采购支出总额的0%。</w:t>
      </w:r>
    </w:p>
    <w:p>
      <w:pPr>
        <w:spacing w:line="560" w:lineRule="exact"/>
        <w:ind w:firstLine="640" w:firstLineChars="200"/>
        <w:rPr>
          <w:rFonts w:eastAsia="仿宋_GB2312"/>
          <w:sz w:val="32"/>
          <w:szCs w:val="32"/>
        </w:rPr>
      </w:pPr>
      <w:r>
        <w:rPr>
          <w:rFonts w:eastAsia="仿宋_GB2312"/>
          <w:sz w:val="32"/>
          <w:szCs w:val="32"/>
        </w:rPr>
        <w:t>（注：数据来源于财决附03表）</w:t>
      </w:r>
    </w:p>
    <w:p>
      <w:pPr>
        <w:spacing w:line="560" w:lineRule="exact"/>
        <w:ind w:firstLine="640" w:firstLineChars="200"/>
        <w:rPr>
          <w:rFonts w:eastAsia="楷体_GB2312"/>
          <w:sz w:val="32"/>
          <w:szCs w:val="32"/>
        </w:rPr>
      </w:pPr>
      <w:r>
        <w:rPr>
          <w:rFonts w:eastAsia="楷体_GB2312"/>
          <w:sz w:val="32"/>
          <w:szCs w:val="32"/>
        </w:rPr>
        <w:t>（三）国有资产占有使用情况。</w:t>
      </w:r>
    </w:p>
    <w:p>
      <w:pPr>
        <w:spacing w:line="560" w:lineRule="exact"/>
        <w:ind w:firstLine="640" w:firstLineChars="200"/>
        <w:rPr>
          <w:rFonts w:eastAsia="仿宋_GB2312"/>
          <w:sz w:val="32"/>
          <w:szCs w:val="32"/>
        </w:rPr>
      </w:pPr>
      <w:r>
        <w:rPr>
          <w:rFonts w:eastAsia="仿宋_GB2312"/>
          <w:sz w:val="32"/>
          <w:szCs w:val="32"/>
        </w:rPr>
        <w:t>截至2020年12月31日，盐边县财政局共有车辆0辆，其中：部级领导干部用车0辆、一般公务用车0辆、一般执法执勤用车0辆、特种专业技术用车0辆、其他用车0辆，单价50万元以上通用设备0台（套），单价100万元以上专用设备1台（套）。</w:t>
      </w:r>
    </w:p>
    <w:p>
      <w:pPr>
        <w:spacing w:line="560" w:lineRule="exact"/>
        <w:ind w:firstLine="640" w:firstLineChars="200"/>
        <w:rPr>
          <w:rFonts w:eastAsia="仿宋_GB2312"/>
          <w:sz w:val="32"/>
          <w:szCs w:val="32"/>
        </w:rPr>
      </w:pPr>
      <w:r>
        <w:rPr>
          <w:rFonts w:eastAsia="仿宋_GB2312"/>
          <w:sz w:val="32"/>
          <w:szCs w:val="32"/>
        </w:rPr>
        <w:t>（注：数据来源财决附03表，按部门决算报表填报数据罗列车辆情况。）</w:t>
      </w:r>
    </w:p>
    <w:p>
      <w:pPr>
        <w:spacing w:line="560" w:lineRule="exact"/>
        <w:ind w:firstLine="640" w:firstLineChars="200"/>
        <w:rPr>
          <w:rFonts w:eastAsia="楷体_GB2312"/>
          <w:sz w:val="32"/>
          <w:szCs w:val="32"/>
        </w:rPr>
      </w:pPr>
      <w:r>
        <w:rPr>
          <w:rFonts w:eastAsia="楷体_GB2312"/>
          <w:sz w:val="32"/>
          <w:szCs w:val="32"/>
        </w:rPr>
        <w:t>（四）预算绩效管理情况。</w:t>
      </w:r>
    </w:p>
    <w:p>
      <w:pPr>
        <w:spacing w:line="560" w:lineRule="exact"/>
        <w:ind w:firstLine="640" w:firstLineChars="200"/>
        <w:rPr>
          <w:rFonts w:eastAsia="仿宋_GB2312"/>
          <w:sz w:val="32"/>
          <w:szCs w:val="32"/>
        </w:rPr>
      </w:pPr>
      <w:r>
        <w:rPr>
          <w:rFonts w:eastAsia="仿宋_GB2312"/>
          <w:sz w:val="32"/>
          <w:szCs w:val="32"/>
        </w:rPr>
        <w:t>根据预算绩效管理要求，盐边县财政局在年初预算编制阶段，组织对项目开展了预算事前绩效评估，对“财政局网络及全县金财网维护”、“乡镇信息化综合业务平台升级改造经费”等项目编制了绩效目标，预算执行过程中，选取“财政局网络及全县金财网维护”、“乡镇信息化综合业务平台升级改造经费”等项目开展绩效监控，年终执行完毕后，对“财政局网络及全县金财网维护”、“乡镇信息化综合业务平台升级改造经费”等项目开展了绩效目标完成情况自评。</w:t>
      </w:r>
    </w:p>
    <w:p>
      <w:pPr>
        <w:spacing w:line="560" w:lineRule="exact"/>
        <w:ind w:firstLine="640" w:firstLineChars="200"/>
        <w:rPr>
          <w:rFonts w:eastAsia="仿宋_GB2312"/>
          <w:sz w:val="32"/>
          <w:szCs w:val="32"/>
        </w:rPr>
      </w:pPr>
      <w:r>
        <w:rPr>
          <w:rFonts w:eastAsia="仿宋_GB2312"/>
          <w:sz w:val="32"/>
          <w:szCs w:val="32"/>
        </w:rPr>
        <w:t>本部门按要求对2020年部门整体支出开展绩效自评，从评价情况来看，认真贯彻落实决策和部署，加强协作，更加主动有为抓好财政工作，财政运行总体安全平稳，为保障和服务全县经济社会发展大局提供了有力支撑。本部门还自行组织了项目绩效评价，从评价情况来看各个项目的数量指标和质量指标都达到了预期总体目标。</w:t>
      </w:r>
    </w:p>
    <w:p>
      <w:pPr>
        <w:spacing w:line="560" w:lineRule="exact"/>
        <w:ind w:firstLine="643" w:firstLineChars="200"/>
        <w:rPr>
          <w:rFonts w:eastAsia="仿宋_GB2312"/>
          <w:b/>
          <w:sz w:val="32"/>
          <w:szCs w:val="32"/>
        </w:rPr>
      </w:pPr>
      <w:r>
        <w:rPr>
          <w:rFonts w:eastAsia="仿宋_GB2312"/>
          <w:b/>
          <w:sz w:val="32"/>
          <w:szCs w:val="32"/>
        </w:rPr>
        <w:t>1.项目绩效目标完成情况。</w:t>
      </w:r>
    </w:p>
    <w:p>
      <w:pPr>
        <w:spacing w:line="560" w:lineRule="exact"/>
        <w:rPr>
          <w:rFonts w:eastAsia="仿宋_GB2312"/>
          <w:sz w:val="32"/>
          <w:szCs w:val="32"/>
        </w:rPr>
      </w:pPr>
      <w:r>
        <w:rPr>
          <w:rFonts w:eastAsia="仿宋_GB2312"/>
          <w:sz w:val="32"/>
          <w:szCs w:val="32"/>
        </w:rPr>
        <w:t xml:space="preserve">    本部门在2020年度部门决算中反映“财政局网络及全县金财网维护”、“财政局数据中心升级改造费用”、“乡镇信息化综合业务平台升级改造经费”等10个项目绩效目标实际完成情况。（本单位部门项目绩效目标个数在5个以上的，选取5个项目进行公开，目标个数在5个以下的，全部进行公开，公开内容包括选取的全部项目完成情况综述和完成情况表）。</w:t>
      </w:r>
    </w:p>
    <w:p>
      <w:pPr>
        <w:spacing w:line="560" w:lineRule="exact"/>
        <w:ind w:firstLine="640" w:firstLineChars="200"/>
        <w:rPr>
          <w:rFonts w:eastAsia="仿宋_GB2312"/>
          <w:sz w:val="32"/>
          <w:szCs w:val="32"/>
        </w:rPr>
      </w:pPr>
      <w:r>
        <w:rPr>
          <w:rFonts w:eastAsia="仿宋_GB2312"/>
          <w:sz w:val="32"/>
          <w:szCs w:val="32"/>
        </w:rPr>
        <w:t>（1）财政局网络及全县金财网维护项目绩效目标完成情况综述。项目全年预算数128.61万元，执行数为128.61万元，完成预算的100%。通过项目实施，优化了网络结构，提高了网络整体物理性能，确保了全县财政预算单位金财网络运行稳定快捷，大大提高了财政工作效率。</w:t>
      </w:r>
    </w:p>
    <w:p>
      <w:pPr>
        <w:spacing w:line="560" w:lineRule="exact"/>
        <w:ind w:firstLine="640" w:firstLineChars="200"/>
        <w:rPr>
          <w:rFonts w:eastAsia="仿宋_GB2312"/>
          <w:sz w:val="32"/>
          <w:szCs w:val="32"/>
        </w:rPr>
      </w:pPr>
      <w:r>
        <w:rPr>
          <w:rFonts w:eastAsia="仿宋_GB2312"/>
          <w:sz w:val="32"/>
          <w:szCs w:val="32"/>
        </w:rPr>
        <w:t>（2）财政局数据中心升级改造项目绩效目标完成情况综述。项目全年预算数47.19万元，执行数为47.19万元，完成预算的100%。通过项目实施，在信息化建设方面按照网络安全法要求，落实等级保护制度；按照文件规范要求，根据现有网络情况，按照等级保护建设相关标准要求进行改造建设，符合等级保护要求，结合业内先进的安全建设体系，构建一个更加有效的安全防御体系。</w:t>
      </w:r>
    </w:p>
    <w:p>
      <w:pPr>
        <w:spacing w:line="560" w:lineRule="exact"/>
        <w:ind w:firstLine="640" w:firstLineChars="200"/>
        <w:rPr>
          <w:rFonts w:eastAsia="仿宋_GB2312"/>
          <w:sz w:val="32"/>
          <w:szCs w:val="32"/>
        </w:rPr>
      </w:pPr>
      <w:r>
        <w:rPr>
          <w:rFonts w:eastAsia="仿宋_GB2312"/>
          <w:sz w:val="32"/>
          <w:szCs w:val="32"/>
        </w:rPr>
        <w:t>（3）城乡住户一体化农村调查户帮扶资金项目绩效目标完成情况综述。项目全年预算数2万元，执行数为2万元，完成预算的100%。通过项目实施，主要反映居民家庭收入和支出状况，同时还提供家庭就业、消费、住房、社区发展等有关信息，是十分重要的民生统计。加快建设收入信息监测系统，合理调整收入分配关系，促进了城乡居民收入增长，建立了扩大消费需求的长效机制，切实保障和了善民生。</w:t>
      </w:r>
    </w:p>
    <w:p>
      <w:pPr>
        <w:spacing w:line="560" w:lineRule="exact"/>
        <w:ind w:firstLine="640" w:firstLineChars="200"/>
        <w:rPr>
          <w:rFonts w:eastAsia="仿宋_GB2312"/>
          <w:sz w:val="32"/>
          <w:szCs w:val="32"/>
        </w:rPr>
      </w:pPr>
      <w:r>
        <w:rPr>
          <w:rFonts w:eastAsia="仿宋_GB2312"/>
          <w:sz w:val="32"/>
          <w:szCs w:val="32"/>
        </w:rPr>
        <w:t>（4）乡镇信息化综合业务平台升级经费项目绩效目标完成情况综述。项目全年预算数14.63万元，执行数为14.63万元，完成预算的100%。通过项目实施，完成乡镇信息化综合业务平台升级服务，促进了乡镇部门加快会计核算工作，提升了乡镇财会人员业务能力。</w:t>
      </w:r>
    </w:p>
    <w:p>
      <w:pPr>
        <w:spacing w:line="560" w:lineRule="exact"/>
        <w:ind w:firstLine="640" w:firstLineChars="200"/>
        <w:rPr>
          <w:rFonts w:eastAsia="仿宋_GB2312"/>
          <w:sz w:val="32"/>
          <w:szCs w:val="32"/>
        </w:rPr>
      </w:pPr>
      <w:r>
        <w:rPr>
          <w:rFonts w:eastAsia="仿宋_GB2312"/>
          <w:sz w:val="32"/>
          <w:szCs w:val="32"/>
        </w:rPr>
        <w:t>（5）项目评审专项经费项目绩效目标完成情况综述。项目全年预算数126.39万元，执行数为126.39万元，完成预算的100%。通过项目实施，为相关部门审批项目预算投资招标(比选)提供了依据，为政府投资节约资金。</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tbl>
      <w:tblPr>
        <w:tblStyle w:val="8"/>
        <w:tblpPr w:leftFromText="180" w:rightFromText="180" w:vertAnchor="text" w:horzAnchor="page" w:tblpXSpec="center" w:tblpY="-1437"/>
        <w:tblOverlap w:val="never"/>
        <w:tblW w:w="9654" w:type="dxa"/>
        <w:jc w:val="center"/>
        <w:tblLayout w:type="fixed"/>
        <w:tblCellMar>
          <w:top w:w="0" w:type="dxa"/>
          <w:left w:w="0" w:type="dxa"/>
          <w:bottom w:w="0" w:type="dxa"/>
          <w:right w:w="0" w:type="dxa"/>
        </w:tblCellMar>
      </w:tblPr>
      <w:tblGrid>
        <w:gridCol w:w="582"/>
        <w:gridCol w:w="1175"/>
        <w:gridCol w:w="1025"/>
        <w:gridCol w:w="2392"/>
        <w:gridCol w:w="2394"/>
        <w:gridCol w:w="2086"/>
      </w:tblGrid>
      <w:tr>
        <w:tblPrEx>
          <w:tblCellMar>
            <w:top w:w="0" w:type="dxa"/>
            <w:left w:w="0" w:type="dxa"/>
            <w:bottom w:w="0" w:type="dxa"/>
            <w:right w:w="0" w:type="dxa"/>
          </w:tblCellMar>
        </w:tblPrEx>
        <w:trPr>
          <w:trHeight w:val="1034" w:hRule="atLeast"/>
          <w:jc w:val="center"/>
        </w:trPr>
        <w:tc>
          <w:tcPr>
            <w:tcW w:w="9654"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方正小标宋_GBK" w:hAnsi="宋体" w:eastAsia="方正小标宋_GBK" w:cs="宋体"/>
                <w:b/>
                <w:bCs/>
                <w:color w:val="000000"/>
                <w:kern w:val="0"/>
                <w:sz w:val="36"/>
                <w:szCs w:val="36"/>
              </w:rPr>
              <w:t>项目绩效目标完成情况表</w:t>
            </w:r>
            <w:r>
              <w:rPr>
                <w:rFonts w:hint="eastAsia" w:ascii="方正小标宋_GBK" w:hAnsi="宋体" w:eastAsia="方正小标宋_GBK" w:cs="宋体"/>
                <w:b/>
                <w:bCs/>
                <w:color w:val="000000"/>
                <w:kern w:val="0"/>
                <w:sz w:val="36"/>
                <w:szCs w:val="36"/>
              </w:rPr>
              <w:br w:type="textWrapping"/>
            </w:r>
            <w:r>
              <w:rPr>
                <w:rFonts w:hint="eastAsia" w:ascii="方正楷体_GBK" w:hAnsi="宋体" w:eastAsia="方正楷体_GBK" w:cs="宋体"/>
                <w:b/>
                <w:color w:val="000000"/>
                <w:kern w:val="0"/>
                <w:sz w:val="32"/>
                <w:szCs w:val="32"/>
              </w:rPr>
              <w:t>(2020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项目名称</w:t>
            </w:r>
          </w:p>
        </w:tc>
        <w:tc>
          <w:tcPr>
            <w:tcW w:w="68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asciiTheme="majorEastAsia" w:hAnsiTheme="majorEastAsia" w:eastAsiaTheme="majorEastAsia" w:cstheme="minorEastAsia"/>
                <w:szCs w:val="21"/>
              </w:rPr>
              <w:t>财政局网络及全县金财网维护项目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预算单位</w:t>
            </w:r>
          </w:p>
        </w:tc>
        <w:tc>
          <w:tcPr>
            <w:tcW w:w="68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盐边县财政局</w:t>
            </w: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预算执行情况(万元)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128.61万元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执行数:</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128.61万元</w:t>
            </w:r>
          </w:p>
        </w:tc>
      </w:tr>
      <w:tr>
        <w:tblPrEx>
          <w:tblCellMar>
            <w:top w:w="0" w:type="dxa"/>
            <w:left w:w="0" w:type="dxa"/>
            <w:bottom w:w="0" w:type="dxa"/>
            <w:right w:w="0" w:type="dxa"/>
          </w:tblCellMar>
        </w:tblPrEx>
        <w:trPr>
          <w:trHeight w:val="27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128.61万元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其中-财政拨款:</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128.61万元</w:t>
            </w:r>
          </w:p>
        </w:tc>
      </w:tr>
      <w:tr>
        <w:tblPrEx>
          <w:tblCellMar>
            <w:top w:w="0" w:type="dxa"/>
            <w:left w:w="0" w:type="dxa"/>
            <w:bottom w:w="0" w:type="dxa"/>
            <w:right w:w="0" w:type="dxa"/>
          </w:tblCellMar>
        </w:tblPrEx>
        <w:trPr>
          <w:trHeight w:val="1047"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其它资金:</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预期目标</w:t>
            </w:r>
          </w:p>
        </w:tc>
        <w:tc>
          <w:tcPr>
            <w:tcW w:w="4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实际完成目标</w:t>
            </w:r>
          </w:p>
        </w:tc>
      </w:tr>
      <w:tr>
        <w:tblPrEx>
          <w:tblCellMar>
            <w:top w:w="0" w:type="dxa"/>
            <w:left w:w="0" w:type="dxa"/>
            <w:bottom w:w="0" w:type="dxa"/>
            <w:right w:w="0" w:type="dxa"/>
          </w:tblCellMar>
        </w:tblPrEx>
        <w:trPr>
          <w:trHeight w:val="1053"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保障金财网正常运行、保障预算股、国库股、国资办等股室软件系统正常运行，保障各业务股室资金下达支付，保障全县各单位资金使用。</w:t>
            </w:r>
          </w:p>
        </w:tc>
        <w:tc>
          <w:tcPr>
            <w:tcW w:w="4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保障金财网正常运行、保障预算股、国库股、国资办等股室软件系统正常运行，保障各业务股室资金下达支付，保障全县各单位资金使用。</w:t>
            </w:r>
          </w:p>
        </w:tc>
      </w:tr>
      <w:tr>
        <w:tblPrEx>
          <w:tblCellMar>
            <w:top w:w="0" w:type="dxa"/>
            <w:left w:w="0" w:type="dxa"/>
            <w:bottom w:w="0" w:type="dxa"/>
            <w:right w:w="0" w:type="dxa"/>
          </w:tblCellMar>
        </w:tblPrEx>
        <w:trPr>
          <w:trHeight w:val="682" w:hRule="atLeast"/>
          <w:jc w:val="center"/>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预期指标值(包含数字及文字描述)</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实际完成指标值(包含数字及文字描述)</w:t>
            </w:r>
          </w:p>
        </w:tc>
      </w:tr>
      <w:tr>
        <w:tblPrEx>
          <w:tblCellMar>
            <w:top w:w="0" w:type="dxa"/>
            <w:left w:w="0" w:type="dxa"/>
            <w:bottom w:w="0" w:type="dxa"/>
            <w:right w:w="0" w:type="dxa"/>
          </w:tblCellMar>
        </w:tblPrEx>
        <w:trPr>
          <w:trHeight w:val="51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金财网网络租赁费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kern w:val="0"/>
                <w:szCs w:val="21"/>
              </w:rPr>
              <w:t>全县各乡镇及行政事业单位使用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kern w:val="0"/>
                <w:szCs w:val="21"/>
              </w:rPr>
              <w:t>全县各乡镇及行政事业单位使用</w:t>
            </w:r>
          </w:p>
        </w:tc>
      </w:tr>
      <w:tr>
        <w:tblPrEx>
          <w:tblCellMar>
            <w:top w:w="0" w:type="dxa"/>
            <w:left w:w="0" w:type="dxa"/>
            <w:bottom w:w="0" w:type="dxa"/>
            <w:right w:w="0" w:type="dxa"/>
          </w:tblCellMar>
        </w:tblPrEx>
        <w:trPr>
          <w:trHeight w:val="57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行政事业单位资产信息系统维护费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kern w:val="0"/>
                <w:szCs w:val="21"/>
              </w:rPr>
              <w:t>全县各乡镇及行政事业单位使用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kern w:val="0"/>
                <w:szCs w:val="21"/>
              </w:rPr>
              <w:t>全县各乡镇及行政事业单位使用</w:t>
            </w:r>
          </w:p>
        </w:tc>
      </w:tr>
      <w:tr>
        <w:tblPrEx>
          <w:tblCellMar>
            <w:top w:w="0" w:type="dxa"/>
            <w:left w:w="0" w:type="dxa"/>
            <w:bottom w:w="0" w:type="dxa"/>
            <w:right w:w="0" w:type="dxa"/>
          </w:tblCellMar>
        </w:tblPrEx>
        <w:trPr>
          <w:trHeight w:val="517"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部门预算软件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kern w:val="0"/>
                <w:szCs w:val="21"/>
              </w:rPr>
              <w:t>全县各乡镇及行政事业单位使用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kern w:val="0"/>
                <w:szCs w:val="21"/>
              </w:rPr>
              <w:t>全县各乡镇及行政事业单位使用</w:t>
            </w:r>
          </w:p>
        </w:tc>
      </w:tr>
      <w:tr>
        <w:tblPrEx>
          <w:tblCellMar>
            <w:top w:w="0" w:type="dxa"/>
            <w:left w:w="0" w:type="dxa"/>
            <w:bottom w:w="0" w:type="dxa"/>
            <w:right w:w="0" w:type="dxa"/>
          </w:tblCellMar>
        </w:tblPrEx>
        <w:trPr>
          <w:trHeight w:val="59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政府财政指标管理系统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财政局各业务股室使用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财政局各业务股室使用</w:t>
            </w:r>
          </w:p>
        </w:tc>
      </w:tr>
      <w:tr>
        <w:tblPrEx>
          <w:tblCellMar>
            <w:top w:w="0" w:type="dxa"/>
            <w:left w:w="0" w:type="dxa"/>
            <w:bottom w:w="0" w:type="dxa"/>
            <w:right w:w="0" w:type="dxa"/>
          </w:tblCellMar>
        </w:tblPrEx>
        <w:trPr>
          <w:trHeight w:val="499"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财政局办公设备运行维护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按合同金额支付</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按合同金额支付</w:t>
            </w:r>
          </w:p>
        </w:tc>
      </w:tr>
      <w:tr>
        <w:tblPrEx>
          <w:tblCellMar>
            <w:top w:w="0" w:type="dxa"/>
            <w:left w:w="0" w:type="dxa"/>
            <w:bottom w:w="0" w:type="dxa"/>
            <w:right w:w="0" w:type="dxa"/>
          </w:tblCellMar>
        </w:tblPrEx>
        <w:trPr>
          <w:trHeight w:val="52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国库股、综合股软件维护费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国库股总会计及出纳软件、综合股非税收入收缴管理系统。</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国库股总会计及出纳软件、综合股非税收入收缴管理系统。</w:t>
            </w:r>
          </w:p>
        </w:tc>
      </w:tr>
      <w:tr>
        <w:tblPrEx>
          <w:tblCellMar>
            <w:top w:w="0" w:type="dxa"/>
            <w:left w:w="0" w:type="dxa"/>
            <w:bottom w:w="0" w:type="dxa"/>
            <w:right w:w="0" w:type="dxa"/>
          </w:tblCellMar>
        </w:tblPrEx>
        <w:trPr>
          <w:trHeight w:val="47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系统、软件合格率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及时掌控软件运行情况</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及时掌控软件运行情况</w:t>
            </w:r>
          </w:p>
        </w:tc>
      </w:tr>
      <w:tr>
        <w:tblPrEx>
          <w:tblCellMar>
            <w:top w:w="0" w:type="dxa"/>
            <w:left w:w="0" w:type="dxa"/>
            <w:bottom w:w="0" w:type="dxa"/>
            <w:right w:w="0" w:type="dxa"/>
          </w:tblCellMar>
        </w:tblPrEx>
        <w:trPr>
          <w:trHeight w:val="51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保证金财网正常运行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保障工作正常运转，保障金财网络运行。</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保障工作正常运转，保障金财网络运行。</w:t>
            </w:r>
          </w:p>
        </w:tc>
      </w:tr>
      <w:tr>
        <w:tblPrEx>
          <w:tblCellMar>
            <w:top w:w="0" w:type="dxa"/>
            <w:left w:w="0" w:type="dxa"/>
            <w:bottom w:w="0" w:type="dxa"/>
            <w:right w:w="0" w:type="dxa"/>
          </w:tblCellMar>
        </w:tblPrEx>
        <w:trPr>
          <w:trHeight w:val="449"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系统维护时间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2020年全年</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2020年全年</w:t>
            </w:r>
          </w:p>
        </w:tc>
      </w:tr>
      <w:tr>
        <w:tblPrEx>
          <w:tblCellMar>
            <w:top w:w="0" w:type="dxa"/>
            <w:left w:w="0" w:type="dxa"/>
            <w:bottom w:w="0" w:type="dxa"/>
            <w:right w:w="0" w:type="dxa"/>
          </w:tblCellMar>
        </w:tblPrEx>
        <w:trPr>
          <w:trHeight w:val="349"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按照工作计划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及时解决突发故障</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及时解决突发故障</w:t>
            </w:r>
          </w:p>
        </w:tc>
      </w:tr>
      <w:tr>
        <w:tblPrEx>
          <w:tblCellMar>
            <w:top w:w="0" w:type="dxa"/>
            <w:left w:w="0" w:type="dxa"/>
            <w:bottom w:w="0" w:type="dxa"/>
            <w:right w:w="0" w:type="dxa"/>
          </w:tblCellMar>
        </w:tblPrEx>
        <w:trPr>
          <w:trHeight w:val="37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金财网网络租赁费及各业务股室系统维护费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全年费用128.61万元</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已按合同金额支付</w:t>
            </w:r>
          </w:p>
        </w:tc>
      </w:tr>
      <w:tr>
        <w:tblPrEx>
          <w:tblCellMar>
            <w:top w:w="0" w:type="dxa"/>
            <w:left w:w="0" w:type="dxa"/>
            <w:bottom w:w="0" w:type="dxa"/>
            <w:right w:w="0" w:type="dxa"/>
          </w:tblCellMar>
        </w:tblPrEx>
        <w:trPr>
          <w:trHeight w:val="361"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推进全县财务工作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0" w:hanging="210" w:hangingChars="100"/>
              <w:jc w:val="left"/>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提高工作效率,提高资金下达，提高各单位资金使用率。</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提高工作效率,提高资金下达，提高各单位资金使用率。</w:t>
            </w:r>
          </w:p>
        </w:tc>
      </w:tr>
      <w:tr>
        <w:tblPrEx>
          <w:tblCellMar>
            <w:top w:w="0" w:type="dxa"/>
            <w:left w:w="0" w:type="dxa"/>
            <w:bottom w:w="0" w:type="dxa"/>
            <w:right w:w="0" w:type="dxa"/>
          </w:tblCellMar>
        </w:tblPrEx>
        <w:trPr>
          <w:trHeight w:val="82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全县各预算单位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达到基本满意及以上</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ajorEastAsia" w:hAnsiTheme="majorEastAsia" w:eastAsiaTheme="majorEastAsia" w:cstheme="minorEastAsia"/>
                <w:color w:val="000000"/>
                <w:szCs w:val="21"/>
              </w:rPr>
            </w:pPr>
            <w:r>
              <w:rPr>
                <w:rFonts w:hint="eastAsia" w:asciiTheme="majorEastAsia" w:hAnsiTheme="majorEastAsia" w:eastAsiaTheme="majorEastAsia" w:cstheme="minorEastAsia"/>
                <w:color w:val="000000"/>
                <w:szCs w:val="21"/>
              </w:rPr>
              <w:t>达到基本满意及以上</w:t>
            </w:r>
          </w:p>
        </w:tc>
      </w:tr>
    </w:tbl>
    <w:p/>
    <w:tbl>
      <w:tblPr>
        <w:tblStyle w:val="8"/>
        <w:tblpPr w:leftFromText="180" w:rightFromText="180" w:vertAnchor="text" w:horzAnchor="page" w:tblpXSpec="center" w:tblpY="-174"/>
        <w:tblOverlap w:val="never"/>
        <w:tblW w:w="8804" w:type="dxa"/>
        <w:jc w:val="center"/>
        <w:tblLayout w:type="fixed"/>
        <w:tblCellMar>
          <w:top w:w="0" w:type="dxa"/>
          <w:left w:w="0" w:type="dxa"/>
          <w:bottom w:w="0" w:type="dxa"/>
          <w:right w:w="0" w:type="dxa"/>
        </w:tblCellMar>
      </w:tblPr>
      <w:tblGrid>
        <w:gridCol w:w="724"/>
        <w:gridCol w:w="862"/>
        <w:gridCol w:w="927"/>
        <w:gridCol w:w="1859"/>
        <w:gridCol w:w="2467"/>
        <w:gridCol w:w="1965"/>
      </w:tblGrid>
      <w:tr>
        <w:tblPrEx>
          <w:tblCellMar>
            <w:top w:w="0" w:type="dxa"/>
            <w:left w:w="0" w:type="dxa"/>
            <w:bottom w:w="0" w:type="dxa"/>
            <w:right w:w="0" w:type="dxa"/>
          </w:tblCellMar>
        </w:tblPrEx>
        <w:trPr>
          <w:trHeight w:val="993" w:hRule="atLeast"/>
          <w:jc w:val="center"/>
        </w:trPr>
        <w:tc>
          <w:tcPr>
            <w:tcW w:w="8804"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方正小标宋_GBK" w:hAnsi="宋体" w:eastAsia="方正小标宋_GBK"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方正楷体_GBK" w:hAnsi="宋体" w:eastAsia="方正楷体_GBK" w:cs="宋体"/>
                <w:b/>
                <w:color w:val="000000"/>
                <w:kern w:val="0"/>
                <w:sz w:val="32"/>
                <w:szCs w:val="32"/>
              </w:rPr>
              <w:t>(2020 年度)</w:t>
            </w:r>
          </w:p>
        </w:tc>
      </w:tr>
      <w:tr>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项目名称</w:t>
            </w:r>
          </w:p>
        </w:tc>
        <w:tc>
          <w:tcPr>
            <w:tcW w:w="62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asciiTheme="majorEastAsia" w:hAnsiTheme="majorEastAsia" w:eastAsiaTheme="majorEastAsia" w:cstheme="minorEastAsia"/>
                <w:sz w:val="18"/>
                <w:szCs w:val="18"/>
              </w:rPr>
              <w:t>财政局数据中心升级改造费用</w:t>
            </w:r>
          </w:p>
        </w:tc>
      </w:tr>
      <w:tr>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预算单位</w:t>
            </w:r>
          </w:p>
        </w:tc>
        <w:tc>
          <w:tcPr>
            <w:tcW w:w="62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盐边县财政局</w:t>
            </w:r>
          </w:p>
        </w:tc>
      </w:tr>
      <w:tr>
        <w:tblPrEx>
          <w:tblCellMar>
            <w:top w:w="0" w:type="dxa"/>
            <w:left w:w="0" w:type="dxa"/>
            <w:bottom w:w="0" w:type="dxa"/>
            <w:right w:w="0" w:type="dxa"/>
          </w:tblCellMar>
        </w:tblPrEx>
        <w:trPr>
          <w:trHeight w:val="33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预算执行情况(万元)</w:t>
            </w:r>
          </w:p>
        </w:tc>
        <w:tc>
          <w:tcPr>
            <w:tcW w:w="17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预算数:</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47.19万元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执行数:</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47.19万元</w:t>
            </w:r>
          </w:p>
        </w:tc>
      </w:tr>
      <w:tr>
        <w:tblPrEx>
          <w:tblCellMar>
            <w:top w:w="0" w:type="dxa"/>
            <w:left w:w="0" w:type="dxa"/>
            <w:bottom w:w="0" w:type="dxa"/>
            <w:right w:w="0" w:type="dxa"/>
          </w:tblCellMar>
        </w:tblPrEx>
        <w:trPr>
          <w:trHeight w:val="33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 w:val="18"/>
                <w:szCs w:val="18"/>
              </w:rPr>
            </w:pPr>
          </w:p>
        </w:tc>
        <w:tc>
          <w:tcPr>
            <w:tcW w:w="17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其中-财政拨款:</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47.19万元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其中-财政拨款:</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47.19万元</w:t>
            </w:r>
          </w:p>
        </w:tc>
      </w:tr>
      <w:tr>
        <w:tblPrEx>
          <w:tblCellMar>
            <w:top w:w="0" w:type="dxa"/>
            <w:left w:w="0" w:type="dxa"/>
            <w:bottom w:w="0" w:type="dxa"/>
            <w:right w:w="0" w:type="dxa"/>
          </w:tblCellMar>
        </w:tblPrEx>
        <w:trPr>
          <w:trHeight w:val="1089"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 w:val="18"/>
                <w:szCs w:val="18"/>
              </w:rPr>
            </w:pPr>
          </w:p>
        </w:tc>
        <w:tc>
          <w:tcPr>
            <w:tcW w:w="17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其它资金:</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其它资金:</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 w:val="18"/>
                <w:szCs w:val="18"/>
              </w:rPr>
            </w:pPr>
          </w:p>
        </w:tc>
      </w:tr>
      <w:tr>
        <w:tblPrEx>
          <w:tblCellMar>
            <w:top w:w="0" w:type="dxa"/>
            <w:left w:w="0" w:type="dxa"/>
            <w:bottom w:w="0" w:type="dxa"/>
            <w:right w:w="0" w:type="dxa"/>
          </w:tblCellMar>
        </w:tblPrEx>
        <w:trPr>
          <w:trHeight w:val="33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年度目标完成情况</w:t>
            </w:r>
          </w:p>
        </w:tc>
        <w:tc>
          <w:tcPr>
            <w:tcW w:w="36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预期目标</w:t>
            </w:r>
          </w:p>
        </w:tc>
        <w:tc>
          <w:tcPr>
            <w:tcW w:w="44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实际完成目标</w:t>
            </w:r>
          </w:p>
        </w:tc>
      </w:tr>
      <w:tr>
        <w:tblPrEx>
          <w:tblCellMar>
            <w:top w:w="0" w:type="dxa"/>
            <w:left w:w="0" w:type="dxa"/>
            <w:bottom w:w="0" w:type="dxa"/>
            <w:right w:w="0" w:type="dxa"/>
          </w:tblCellMar>
        </w:tblPrEx>
        <w:trPr>
          <w:trHeight w:val="401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 w:val="18"/>
                <w:szCs w:val="18"/>
              </w:rPr>
            </w:pPr>
          </w:p>
        </w:tc>
        <w:tc>
          <w:tcPr>
            <w:tcW w:w="36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rPr>
                <w:rFonts w:asciiTheme="majorEastAsia" w:hAnsiTheme="majorEastAsia" w:eastAsiaTheme="majorEastAsia" w:cstheme="minorEastAsia"/>
                <w:sz w:val="18"/>
                <w:szCs w:val="18"/>
              </w:rPr>
            </w:pPr>
          </w:p>
          <w:p>
            <w:pPr>
              <w:widowControl/>
              <w:adjustRightInd w:val="0"/>
              <w:snapToGrid w:val="0"/>
              <w:spacing w:line="560" w:lineRule="exac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在信息化建设方面按照网络安全法要求，落实等级保护制度；按照文件规范要求，根据现有网络情况，按照等级保护建设相关标准要求进行改造建设，符合等级保护要求，结合业内先进的安全建设体系，构建一个更加有效的安全防御体系。</w:t>
            </w:r>
          </w:p>
          <w:p>
            <w:pPr>
              <w:widowControl/>
              <w:textAlignment w:val="center"/>
              <w:rPr>
                <w:rFonts w:cs="宋体" w:asciiTheme="majorEastAsia" w:hAnsiTheme="majorEastAsia" w:eastAsiaTheme="majorEastAsia"/>
                <w:color w:val="000000"/>
                <w:sz w:val="18"/>
                <w:szCs w:val="18"/>
              </w:rPr>
            </w:pPr>
          </w:p>
        </w:tc>
        <w:tc>
          <w:tcPr>
            <w:tcW w:w="44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在信息化建设方面按照网络安全法要求，落实等级保护制度；按照文件规范要求，根据现有网络情况，按照等级保护建设相关标准要求进行改造建设，符合等级保护要求，结合业内先进的安全建设体系，构建一个更加有效的安全防御体系。</w:t>
            </w:r>
          </w:p>
          <w:p>
            <w:pPr>
              <w:widowControl/>
              <w:textAlignment w:val="center"/>
              <w:rPr>
                <w:rFonts w:cs="宋体" w:asciiTheme="majorEastAsia" w:hAnsiTheme="majorEastAsia" w:eastAsiaTheme="majorEastAsia"/>
                <w:color w:val="000000"/>
                <w:sz w:val="18"/>
                <w:szCs w:val="18"/>
              </w:rPr>
            </w:pPr>
          </w:p>
        </w:tc>
      </w:tr>
      <w:tr>
        <w:tblPrEx>
          <w:tblCellMar>
            <w:top w:w="0" w:type="dxa"/>
            <w:left w:w="0" w:type="dxa"/>
            <w:bottom w:w="0" w:type="dxa"/>
            <w:right w:w="0" w:type="dxa"/>
          </w:tblCellMar>
        </w:tblPrEx>
        <w:trPr>
          <w:trHeight w:val="887" w:hRule="atLeast"/>
          <w:jc w:val="center"/>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绩效指标完成情况</w:t>
            </w: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一级指标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二级指标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三级指标</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预期指标值(包含数字及文字描述)</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实际完成指标值(包含数字及文字描述)</w:t>
            </w:r>
          </w:p>
        </w:tc>
      </w:tr>
      <w:tr>
        <w:tblPrEx>
          <w:tblCellMar>
            <w:top w:w="0" w:type="dxa"/>
            <w:left w:w="0" w:type="dxa"/>
            <w:bottom w:w="0" w:type="dxa"/>
            <w:right w:w="0" w:type="dxa"/>
          </w:tblCellMar>
        </w:tblPrEx>
        <w:trPr>
          <w:trHeight w:val="547"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数量指标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财政局数据中心各类专用设备</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各乡镇及全县行政事业单位使用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各乡镇及全县行政事业单位使用</w:t>
            </w:r>
          </w:p>
        </w:tc>
      </w:tr>
      <w:tr>
        <w:tblPrEx>
          <w:tblCellMar>
            <w:top w:w="0" w:type="dxa"/>
            <w:left w:w="0" w:type="dxa"/>
            <w:bottom w:w="0" w:type="dxa"/>
            <w:right w:w="0" w:type="dxa"/>
          </w:tblCellMar>
        </w:tblPrEx>
        <w:trPr>
          <w:trHeight w:val="620"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质量指标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各系统正常运行</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及时掌控机房运行情况</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保障了各乡镇及全县行政事业单位财务工作正常运行</w:t>
            </w:r>
          </w:p>
        </w:tc>
      </w:tr>
      <w:tr>
        <w:tblPrEx>
          <w:tblCellMar>
            <w:top w:w="0" w:type="dxa"/>
            <w:left w:w="0" w:type="dxa"/>
            <w:bottom w:w="0" w:type="dxa"/>
            <w:right w:w="0" w:type="dxa"/>
          </w:tblCellMar>
        </w:tblPrEx>
        <w:trPr>
          <w:trHeight w:val="528"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时效指标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系统维护时间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2020年全年</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2020年全年</w:t>
            </w:r>
          </w:p>
        </w:tc>
      </w:tr>
      <w:tr>
        <w:tblPrEx>
          <w:tblCellMar>
            <w:top w:w="0" w:type="dxa"/>
            <w:left w:w="0" w:type="dxa"/>
            <w:bottom w:w="0" w:type="dxa"/>
            <w:right w:w="0" w:type="dxa"/>
          </w:tblCellMar>
        </w:tblPrEx>
        <w:trPr>
          <w:trHeight w:val="665"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成本指标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设备采购成本</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47.19万元</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47.19万元</w:t>
            </w:r>
          </w:p>
        </w:tc>
      </w:tr>
      <w:tr>
        <w:tblPrEx>
          <w:tblCellMar>
            <w:top w:w="0" w:type="dxa"/>
            <w:left w:w="0" w:type="dxa"/>
            <w:bottom w:w="0" w:type="dxa"/>
            <w:right w:w="0" w:type="dxa"/>
          </w:tblCellMar>
        </w:tblPrEx>
        <w:trPr>
          <w:trHeight w:val="440"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效益指标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社会效益指标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保障数据中心各系统正常运行</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提高了县级部门财务工作业务能力</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提高了县级部门财务工作业务能力</w:t>
            </w:r>
          </w:p>
        </w:tc>
      </w:tr>
      <w:tr>
        <w:tblPrEx>
          <w:tblCellMar>
            <w:top w:w="0" w:type="dxa"/>
            <w:left w:w="0" w:type="dxa"/>
            <w:bottom w:w="0" w:type="dxa"/>
            <w:right w:w="0" w:type="dxa"/>
          </w:tblCellMar>
        </w:tblPrEx>
        <w:trPr>
          <w:trHeight w:val="470"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满意度指标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服务对象满意度</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asciiTheme="majorEastAsia" w:hAnsiTheme="majorEastAsia" w:eastAsiaTheme="majorEastAsia" w:cstheme="minorEastAsia"/>
                <w:color w:val="000000"/>
                <w:sz w:val="18"/>
                <w:szCs w:val="18"/>
              </w:rPr>
              <w:t>县级部门预算单位</w:t>
            </w:r>
            <w:r>
              <w:rPr>
                <w:rFonts w:hint="eastAsia" w:cs="宋体" w:asciiTheme="majorEastAsia" w:hAnsiTheme="majorEastAsia" w:eastAsiaTheme="majorEastAsia"/>
                <w:color w:val="000000"/>
                <w:sz w:val="18"/>
                <w:szCs w:val="18"/>
              </w:rPr>
              <w:t>各乡镇及全县行政事业单位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asciiTheme="majorEastAsia" w:hAnsiTheme="majorEastAsia" w:eastAsiaTheme="majorEastAsia" w:cstheme="minorEastAsia"/>
                <w:color w:val="000000"/>
                <w:sz w:val="18"/>
                <w:szCs w:val="18"/>
              </w:rPr>
              <w:t>达到基本满意及以上</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asciiTheme="majorEastAsia" w:hAnsiTheme="majorEastAsia" w:eastAsiaTheme="majorEastAsia" w:cstheme="minorEastAsia"/>
                <w:color w:val="000000"/>
                <w:sz w:val="18"/>
                <w:szCs w:val="18"/>
              </w:rPr>
              <w:t>达到基本满意及以上</w:t>
            </w:r>
          </w:p>
        </w:tc>
      </w:tr>
    </w:tbl>
    <w:p>
      <w:pPr>
        <w:pStyle w:val="2"/>
      </w:pPr>
    </w:p>
    <w:tbl>
      <w:tblPr>
        <w:tblStyle w:val="8"/>
        <w:tblpPr w:leftFromText="180" w:rightFromText="180" w:vertAnchor="text" w:horzAnchor="page" w:tblpXSpec="center" w:tblpY="-3"/>
        <w:tblOverlap w:val="never"/>
        <w:tblW w:w="9229" w:type="dxa"/>
        <w:jc w:val="center"/>
        <w:tblLayout w:type="fixed"/>
        <w:tblCellMar>
          <w:top w:w="0" w:type="dxa"/>
          <w:left w:w="0" w:type="dxa"/>
          <w:bottom w:w="0" w:type="dxa"/>
          <w:right w:w="0" w:type="dxa"/>
        </w:tblCellMar>
      </w:tblPr>
      <w:tblGrid>
        <w:gridCol w:w="1008"/>
        <w:gridCol w:w="850"/>
        <w:gridCol w:w="655"/>
        <w:gridCol w:w="54"/>
        <w:gridCol w:w="1843"/>
        <w:gridCol w:w="2429"/>
        <w:gridCol w:w="2390"/>
      </w:tblGrid>
      <w:tr>
        <w:tblPrEx>
          <w:tblCellMar>
            <w:top w:w="0" w:type="dxa"/>
            <w:left w:w="0" w:type="dxa"/>
            <w:bottom w:w="0" w:type="dxa"/>
            <w:right w:w="0" w:type="dxa"/>
          </w:tblCellMar>
        </w:tblPrEx>
        <w:trPr>
          <w:trHeight w:val="1158" w:hRule="atLeast"/>
          <w:jc w:val="center"/>
        </w:trPr>
        <w:tc>
          <w:tcPr>
            <w:tcW w:w="9229" w:type="dxa"/>
            <w:gridSpan w:val="7"/>
            <w:tcBorders>
              <w:top w:val="nil"/>
              <w:left w:val="nil"/>
              <w:bottom w:val="nil"/>
              <w:right w:val="nil"/>
            </w:tcBorders>
            <w:tcMar>
              <w:top w:w="15" w:type="dxa"/>
              <w:left w:w="15" w:type="dxa"/>
              <w:right w:w="15" w:type="dxa"/>
            </w:tcMar>
            <w:vAlign w:val="center"/>
          </w:tcPr>
          <w:p>
            <w:pPr>
              <w:jc w:val="center"/>
            </w:pPr>
            <w:r>
              <w:rPr>
                <w:rFonts w:hint="eastAsia" w:ascii="方正小标宋_GBK" w:eastAsia="方正小标宋_GBK"/>
                <w:b/>
                <w:sz w:val="36"/>
                <w:szCs w:val="36"/>
              </w:rPr>
              <w:t>项目绩效目标完成情况表</w:t>
            </w:r>
            <w:r>
              <w:rPr>
                <w:rFonts w:hint="eastAsia"/>
              </w:rPr>
              <w:br w:type="textWrapping"/>
            </w:r>
            <w:r>
              <w:rPr>
                <w:rFonts w:hint="eastAsia" w:ascii="方正楷体_GBK" w:eastAsia="方正楷体_GBK"/>
                <w:b/>
                <w:sz w:val="32"/>
                <w:szCs w:val="32"/>
              </w:rPr>
              <w:t>(2020 年度)</w:t>
            </w:r>
          </w:p>
        </w:tc>
      </w:tr>
      <w:tr>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项目名称</w:t>
            </w:r>
          </w:p>
        </w:tc>
        <w:tc>
          <w:tcPr>
            <w:tcW w:w="671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asciiTheme="majorEastAsia" w:hAnsiTheme="majorEastAsia" w:eastAsiaTheme="majorEastAsia" w:cstheme="minorEastAsia"/>
                <w:sz w:val="18"/>
                <w:szCs w:val="18"/>
              </w:rPr>
              <w:t>城乡住户一体化农村调查户帮扶资金</w:t>
            </w:r>
          </w:p>
        </w:tc>
      </w:tr>
      <w:tr>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预算单位</w:t>
            </w:r>
          </w:p>
        </w:tc>
        <w:tc>
          <w:tcPr>
            <w:tcW w:w="671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盐边县财政局</w:t>
            </w:r>
          </w:p>
        </w:tc>
      </w:tr>
      <w:tr>
        <w:tblPrEx>
          <w:tblCellMar>
            <w:top w:w="0" w:type="dxa"/>
            <w:left w:w="0" w:type="dxa"/>
            <w:bottom w:w="0" w:type="dxa"/>
            <w:right w:w="0" w:type="dxa"/>
          </w:tblCellMar>
        </w:tblPrEx>
        <w:trPr>
          <w:trHeight w:val="33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预算执行情况(万元)</w:t>
            </w:r>
          </w:p>
        </w:tc>
        <w:tc>
          <w:tcPr>
            <w:tcW w:w="1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预算数:</w:t>
            </w:r>
          </w:p>
        </w:tc>
        <w:tc>
          <w:tcPr>
            <w:tcW w:w="18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2万元</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执行数:</w:t>
            </w:r>
          </w:p>
        </w:tc>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2万元</w:t>
            </w:r>
          </w:p>
        </w:tc>
      </w:tr>
      <w:tr>
        <w:tblPrEx>
          <w:tblCellMar>
            <w:top w:w="0" w:type="dxa"/>
            <w:left w:w="0" w:type="dxa"/>
            <w:bottom w:w="0" w:type="dxa"/>
            <w:right w:w="0" w:type="dxa"/>
          </w:tblCellMar>
        </w:tblPrEx>
        <w:trPr>
          <w:trHeight w:val="33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 w:val="18"/>
                <w:szCs w:val="18"/>
              </w:rPr>
            </w:pPr>
          </w:p>
        </w:tc>
        <w:tc>
          <w:tcPr>
            <w:tcW w:w="1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其中-财政拨款:</w:t>
            </w:r>
          </w:p>
        </w:tc>
        <w:tc>
          <w:tcPr>
            <w:tcW w:w="18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2万元</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其中-财政拨款:</w:t>
            </w:r>
          </w:p>
        </w:tc>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2万元</w:t>
            </w:r>
          </w:p>
        </w:tc>
      </w:tr>
      <w:tr>
        <w:tblPrEx>
          <w:tblCellMar>
            <w:top w:w="0" w:type="dxa"/>
            <w:left w:w="0" w:type="dxa"/>
            <w:bottom w:w="0" w:type="dxa"/>
            <w:right w:w="0" w:type="dxa"/>
          </w:tblCellMar>
        </w:tblPrEx>
        <w:trPr>
          <w:trHeight w:val="538"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 w:val="18"/>
                <w:szCs w:val="18"/>
              </w:rPr>
            </w:pPr>
          </w:p>
        </w:tc>
        <w:tc>
          <w:tcPr>
            <w:tcW w:w="1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其它资金:</w:t>
            </w:r>
          </w:p>
        </w:tc>
        <w:tc>
          <w:tcPr>
            <w:tcW w:w="18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其它资金:</w:t>
            </w:r>
          </w:p>
        </w:tc>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 w:val="18"/>
                <w:szCs w:val="18"/>
              </w:rPr>
            </w:pPr>
          </w:p>
        </w:tc>
      </w:tr>
      <w:tr>
        <w:tblPrEx>
          <w:tblCellMar>
            <w:top w:w="0" w:type="dxa"/>
            <w:left w:w="0" w:type="dxa"/>
            <w:bottom w:w="0" w:type="dxa"/>
            <w:right w:w="0" w:type="dxa"/>
          </w:tblCellMar>
        </w:tblPrEx>
        <w:trPr>
          <w:trHeight w:val="33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年度目标完成情况</w:t>
            </w: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预期目标</w:t>
            </w:r>
          </w:p>
        </w:tc>
        <w:tc>
          <w:tcPr>
            <w:tcW w:w="48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实际完成目标</w:t>
            </w:r>
          </w:p>
        </w:tc>
      </w:tr>
      <w:tr>
        <w:tblPrEx>
          <w:tblCellMar>
            <w:top w:w="0" w:type="dxa"/>
            <w:left w:w="0" w:type="dxa"/>
            <w:bottom w:w="0" w:type="dxa"/>
            <w:right w:w="0" w:type="dxa"/>
          </w:tblCellMar>
        </w:tblPrEx>
        <w:trPr>
          <w:trHeight w:val="371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 w:val="18"/>
                <w:szCs w:val="18"/>
              </w:rPr>
            </w:pPr>
          </w:p>
        </w:tc>
        <w:tc>
          <w:tcPr>
            <w:tcW w:w="340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主要反映居民家庭收入和支出状况，同时还提供家庭就业、消费、住房、社区发展等有关信息，是十分重要的民生统计。加快建设收入信息监测系统，合理调整收入分配关系，促进了城乡居民收入增长，建立了扩大消费需求的长效机制，切实保障和了善民生。</w:t>
            </w:r>
          </w:p>
        </w:tc>
        <w:tc>
          <w:tcPr>
            <w:tcW w:w="48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Theme="majorEastAsia" w:hAnsiTheme="majorEastAsia" w:eastAsiaTheme="majorEastAsia" w:cstheme="minorEastAsia"/>
                <w:sz w:val="18"/>
                <w:szCs w:val="18"/>
              </w:rPr>
            </w:pPr>
            <w:r>
              <w:rPr>
                <w:rFonts w:hint="eastAsia" w:asciiTheme="majorEastAsia" w:hAnsiTheme="majorEastAsia" w:eastAsiaTheme="majorEastAsia" w:cstheme="minorEastAsia"/>
                <w:sz w:val="18"/>
                <w:szCs w:val="18"/>
              </w:rPr>
              <w:t>主要反映居民家庭收入和支出状况，同时还提供家庭就业、消费、住房、社区发展等有关信息，是十分重要的民生统计。加快建设收入信息监测系统，合理调整收入分配关系，促进了城乡居民收入增长，建立了扩大消费需求的长效机制，切实保障和了善民生。</w:t>
            </w:r>
          </w:p>
          <w:p>
            <w:pPr>
              <w:widowControl/>
              <w:textAlignment w:val="center"/>
              <w:rPr>
                <w:rFonts w:cs="宋体" w:asciiTheme="majorEastAsia" w:hAnsiTheme="majorEastAsia" w:eastAsiaTheme="majorEastAsia"/>
                <w:color w:val="000000"/>
                <w:sz w:val="18"/>
                <w:szCs w:val="18"/>
              </w:rPr>
            </w:pPr>
          </w:p>
        </w:tc>
      </w:tr>
      <w:tr>
        <w:tblPrEx>
          <w:tblCellMar>
            <w:top w:w="0" w:type="dxa"/>
            <w:left w:w="0" w:type="dxa"/>
            <w:bottom w:w="0" w:type="dxa"/>
            <w:right w:w="0" w:type="dxa"/>
          </w:tblCellMar>
        </w:tblPrEx>
        <w:trPr>
          <w:trHeight w:val="763"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绩效指标完成情况</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一级指标</w:t>
            </w:r>
          </w:p>
        </w:tc>
        <w:tc>
          <w:tcPr>
            <w:tcW w:w="7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二级指标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三级指标</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预期指标值(包含数字及文字描述)</w:t>
            </w:r>
          </w:p>
        </w:tc>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实际完成指标值(包含数字及文字描述)</w:t>
            </w:r>
          </w:p>
        </w:tc>
      </w:tr>
      <w:tr>
        <w:tblPrEx>
          <w:tblCellMar>
            <w:top w:w="0" w:type="dxa"/>
            <w:left w:w="0" w:type="dxa"/>
            <w:bottom w:w="0" w:type="dxa"/>
            <w:right w:w="0" w:type="dxa"/>
          </w:tblCellMar>
        </w:tblPrEx>
        <w:trPr>
          <w:trHeight w:val="547"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项目完成指标</w:t>
            </w:r>
          </w:p>
        </w:tc>
        <w:tc>
          <w:tcPr>
            <w:tcW w:w="7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数量指标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记账户劳务</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asciiTheme="majorEastAsia" w:hAnsiTheme="majorEastAsia" w:eastAsiaTheme="majorEastAsia" w:cstheme="minorEastAsia"/>
                <w:color w:val="000000"/>
                <w:sz w:val="18"/>
                <w:szCs w:val="18"/>
              </w:rPr>
              <w:t>10户记账户</w:t>
            </w:r>
          </w:p>
        </w:tc>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宋体" w:asciiTheme="majorEastAsia" w:hAnsiTheme="majorEastAsia" w:eastAsiaTheme="majorEastAsia"/>
                <w:color w:val="000000"/>
                <w:sz w:val="18"/>
                <w:szCs w:val="18"/>
              </w:rPr>
            </w:pPr>
            <w:r>
              <w:rPr>
                <w:rFonts w:hint="eastAsia" w:asciiTheme="majorEastAsia" w:hAnsiTheme="majorEastAsia" w:eastAsiaTheme="majorEastAsia" w:cstheme="minorEastAsia"/>
                <w:color w:val="000000"/>
                <w:sz w:val="18"/>
                <w:szCs w:val="18"/>
              </w:rPr>
              <w:t>10户记账户</w:t>
            </w:r>
          </w:p>
        </w:tc>
      </w:tr>
      <w:tr>
        <w:tblPrEx>
          <w:tblCellMar>
            <w:top w:w="0" w:type="dxa"/>
            <w:left w:w="0" w:type="dxa"/>
            <w:bottom w:w="0" w:type="dxa"/>
            <w:right w:w="0" w:type="dxa"/>
          </w:tblCellMar>
        </w:tblPrEx>
        <w:trPr>
          <w:trHeight w:val="620"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项目完成指标</w:t>
            </w:r>
          </w:p>
        </w:tc>
        <w:tc>
          <w:tcPr>
            <w:tcW w:w="7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质量指标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圆满完成住户记账工作</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记账户完成2020年家庭收支记账工作</w:t>
            </w:r>
          </w:p>
        </w:tc>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记账户完成2020年家庭收支记账工作</w:t>
            </w:r>
          </w:p>
        </w:tc>
      </w:tr>
      <w:tr>
        <w:tblPrEx>
          <w:tblCellMar>
            <w:top w:w="0" w:type="dxa"/>
            <w:left w:w="0" w:type="dxa"/>
            <w:bottom w:w="0" w:type="dxa"/>
            <w:right w:w="0" w:type="dxa"/>
          </w:tblCellMar>
        </w:tblPrEx>
        <w:trPr>
          <w:trHeight w:val="52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项目完成指标</w:t>
            </w:r>
          </w:p>
        </w:tc>
        <w:tc>
          <w:tcPr>
            <w:tcW w:w="7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时效指标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记账时间</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2020年全年</w:t>
            </w:r>
          </w:p>
        </w:tc>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2020年全年</w:t>
            </w:r>
          </w:p>
        </w:tc>
      </w:tr>
      <w:tr>
        <w:tblPrEx>
          <w:tblCellMar>
            <w:top w:w="0" w:type="dxa"/>
            <w:left w:w="0" w:type="dxa"/>
            <w:bottom w:w="0" w:type="dxa"/>
            <w:right w:w="0" w:type="dxa"/>
          </w:tblCellMar>
        </w:tblPrEx>
        <w:trPr>
          <w:trHeight w:val="70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项目完成指标</w:t>
            </w:r>
          </w:p>
        </w:tc>
        <w:tc>
          <w:tcPr>
            <w:tcW w:w="7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成本指标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记账户劳务费</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2万元</w:t>
            </w:r>
          </w:p>
        </w:tc>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2万元</w:t>
            </w:r>
          </w:p>
        </w:tc>
      </w:tr>
      <w:tr>
        <w:tblPrEx>
          <w:tblCellMar>
            <w:top w:w="0" w:type="dxa"/>
            <w:left w:w="0" w:type="dxa"/>
            <w:bottom w:w="0" w:type="dxa"/>
            <w:right w:w="0" w:type="dxa"/>
          </w:tblCellMar>
        </w:tblPrEx>
        <w:trPr>
          <w:trHeight w:val="677"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效益指标</w:t>
            </w:r>
          </w:p>
        </w:tc>
        <w:tc>
          <w:tcPr>
            <w:tcW w:w="7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社会效益指标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促进了城乡居民收入增长，建立了扩大消费需求的长效机制，切实保障和了善民生</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促进了城乡居民收入增长，建立了扩大消费需求的长效机制，切实保障和改了善民生</w:t>
            </w:r>
          </w:p>
        </w:tc>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促进了城乡居民收入增长，建立了扩大消费需求的长效机制，切实保障和改了善民生</w:t>
            </w:r>
          </w:p>
        </w:tc>
      </w:tr>
      <w:tr>
        <w:tblPrEx>
          <w:tblCellMar>
            <w:top w:w="0" w:type="dxa"/>
            <w:left w:w="0" w:type="dxa"/>
            <w:bottom w:w="0" w:type="dxa"/>
            <w:right w:w="0" w:type="dxa"/>
          </w:tblCellMar>
        </w:tblPrEx>
        <w:trPr>
          <w:trHeight w:val="609"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kern w:val="0"/>
                <w:sz w:val="18"/>
                <w:szCs w:val="18"/>
              </w:rPr>
              <w:t>满意度指标</w:t>
            </w:r>
          </w:p>
        </w:tc>
        <w:tc>
          <w:tcPr>
            <w:tcW w:w="7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服务对象满意度</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asciiTheme="majorEastAsia" w:hAnsiTheme="majorEastAsia" w:eastAsiaTheme="majorEastAsia" w:cstheme="minorEastAsia"/>
                <w:color w:val="000000"/>
                <w:sz w:val="18"/>
                <w:szCs w:val="18"/>
              </w:rPr>
              <w:t>记账户</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asciiTheme="majorEastAsia" w:hAnsiTheme="majorEastAsia" w:eastAsiaTheme="majorEastAsia" w:cstheme="minorEastAsia"/>
                <w:color w:val="000000"/>
                <w:sz w:val="18"/>
                <w:szCs w:val="18"/>
              </w:rPr>
              <w:t>达到基本满意及以上</w:t>
            </w:r>
          </w:p>
        </w:tc>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 w:val="18"/>
                <w:szCs w:val="18"/>
              </w:rPr>
            </w:pPr>
            <w:r>
              <w:rPr>
                <w:rFonts w:hint="eastAsia" w:asciiTheme="majorEastAsia" w:hAnsiTheme="majorEastAsia" w:eastAsiaTheme="majorEastAsia" w:cstheme="minorEastAsia"/>
                <w:color w:val="000000"/>
                <w:sz w:val="18"/>
                <w:szCs w:val="18"/>
              </w:rPr>
              <w:t>达到基本满意及以上</w:t>
            </w:r>
          </w:p>
        </w:tc>
      </w:tr>
    </w:tbl>
    <w:p/>
    <w:p>
      <w:pPr>
        <w:pStyle w:val="2"/>
      </w:pPr>
    </w:p>
    <w:tbl>
      <w:tblPr>
        <w:tblStyle w:val="8"/>
        <w:tblpPr w:leftFromText="180" w:rightFromText="180" w:vertAnchor="text" w:horzAnchor="page" w:tblpXSpec="center" w:tblpY="3"/>
        <w:tblOverlap w:val="never"/>
        <w:tblW w:w="9000" w:type="dxa"/>
        <w:jc w:val="center"/>
        <w:tblLayout w:type="fixed"/>
        <w:tblCellMar>
          <w:top w:w="0" w:type="dxa"/>
          <w:left w:w="0" w:type="dxa"/>
          <w:bottom w:w="0" w:type="dxa"/>
          <w:right w:w="0" w:type="dxa"/>
        </w:tblCellMar>
      </w:tblPr>
      <w:tblGrid>
        <w:gridCol w:w="351"/>
        <w:gridCol w:w="1235"/>
        <w:gridCol w:w="927"/>
        <w:gridCol w:w="1859"/>
        <w:gridCol w:w="2467"/>
        <w:gridCol w:w="2161"/>
      </w:tblGrid>
      <w:tr>
        <w:tblPrEx>
          <w:tblCellMar>
            <w:top w:w="0" w:type="dxa"/>
            <w:left w:w="0" w:type="dxa"/>
            <w:bottom w:w="0" w:type="dxa"/>
            <w:right w:w="0" w:type="dxa"/>
          </w:tblCellMar>
        </w:tblPrEx>
        <w:trPr>
          <w:trHeight w:val="1259" w:hRule="atLeast"/>
          <w:jc w:val="center"/>
        </w:trPr>
        <w:tc>
          <w:tcPr>
            <w:tcW w:w="900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方正小标宋_GBK" w:hAnsi="宋体" w:eastAsia="方正小标宋_GBK"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方正楷体_GBK" w:hAnsi="宋体" w:eastAsia="方正楷体_GBK" w:cs="宋体"/>
                <w:b/>
                <w:color w:val="000000"/>
                <w:kern w:val="0"/>
                <w:sz w:val="32"/>
                <w:szCs w:val="32"/>
              </w:rPr>
              <w:t>(2020 年度)</w:t>
            </w:r>
          </w:p>
        </w:tc>
      </w:tr>
      <w:tr>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项目名称</w:t>
            </w:r>
          </w:p>
        </w:tc>
        <w:tc>
          <w:tcPr>
            <w:tcW w:w="6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asciiTheme="majorEastAsia" w:hAnsiTheme="majorEastAsia" w:eastAsiaTheme="majorEastAsia" w:cstheme="minorEastAsia"/>
                <w:szCs w:val="21"/>
              </w:rPr>
              <w:t>乡镇信息化综合业务平台升级经费</w:t>
            </w:r>
          </w:p>
        </w:tc>
      </w:tr>
      <w:tr>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预算单位</w:t>
            </w:r>
          </w:p>
        </w:tc>
        <w:tc>
          <w:tcPr>
            <w:tcW w:w="6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盐边县财政局</w:t>
            </w:r>
          </w:p>
        </w:tc>
      </w:tr>
      <w:tr>
        <w:tblPrEx>
          <w:tblCellMar>
            <w:top w:w="0" w:type="dxa"/>
            <w:left w:w="0" w:type="dxa"/>
            <w:bottom w:w="0" w:type="dxa"/>
            <w:right w:w="0" w:type="dxa"/>
          </w:tblCellMar>
        </w:tblPrEx>
        <w:trPr>
          <w:trHeight w:val="336" w:hRule="atLeast"/>
          <w:jc w:val="center"/>
        </w:trPr>
        <w:tc>
          <w:tcPr>
            <w:tcW w:w="3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预算执行情况(万元)</w:t>
            </w:r>
          </w:p>
        </w:tc>
        <w:tc>
          <w:tcPr>
            <w:tcW w:w="21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预算数:</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14.63万元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执行数:</w:t>
            </w:r>
          </w:p>
        </w:tc>
        <w:tc>
          <w:tcPr>
            <w:tcW w:w="2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14.63万元</w:t>
            </w:r>
          </w:p>
        </w:tc>
      </w:tr>
      <w:tr>
        <w:tblPrEx>
          <w:tblCellMar>
            <w:top w:w="0" w:type="dxa"/>
            <w:left w:w="0" w:type="dxa"/>
            <w:bottom w:w="0" w:type="dxa"/>
            <w:right w:w="0" w:type="dxa"/>
          </w:tblCellMar>
        </w:tblPrEx>
        <w:trPr>
          <w:trHeight w:val="336" w:hRule="atLeast"/>
          <w:jc w:val="center"/>
        </w:trPr>
        <w:tc>
          <w:tcPr>
            <w:tcW w:w="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c>
          <w:tcPr>
            <w:tcW w:w="21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其中-财政拨款:</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14.63万元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其中-财政拨款:</w:t>
            </w:r>
          </w:p>
        </w:tc>
        <w:tc>
          <w:tcPr>
            <w:tcW w:w="2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14.63万元</w:t>
            </w:r>
          </w:p>
        </w:tc>
      </w:tr>
      <w:tr>
        <w:tblPrEx>
          <w:tblCellMar>
            <w:top w:w="0" w:type="dxa"/>
            <w:left w:w="0" w:type="dxa"/>
            <w:bottom w:w="0" w:type="dxa"/>
            <w:right w:w="0" w:type="dxa"/>
          </w:tblCellMar>
        </w:tblPrEx>
        <w:trPr>
          <w:trHeight w:val="1841" w:hRule="atLeast"/>
          <w:jc w:val="center"/>
        </w:trPr>
        <w:tc>
          <w:tcPr>
            <w:tcW w:w="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c>
          <w:tcPr>
            <w:tcW w:w="21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其它资金:</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其它资金:</w:t>
            </w:r>
          </w:p>
        </w:tc>
        <w:tc>
          <w:tcPr>
            <w:tcW w:w="2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336" w:hRule="atLeast"/>
          <w:jc w:val="center"/>
        </w:trPr>
        <w:tc>
          <w:tcPr>
            <w:tcW w:w="3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年度目标完成情况</w:t>
            </w:r>
          </w:p>
        </w:tc>
        <w:tc>
          <w:tcPr>
            <w:tcW w:w="40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预期目标</w:t>
            </w:r>
          </w:p>
        </w:tc>
        <w:tc>
          <w:tcPr>
            <w:tcW w:w="46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实际完成目标</w:t>
            </w:r>
          </w:p>
        </w:tc>
      </w:tr>
      <w:tr>
        <w:tblPrEx>
          <w:tblCellMar>
            <w:top w:w="0" w:type="dxa"/>
            <w:left w:w="0" w:type="dxa"/>
            <w:bottom w:w="0" w:type="dxa"/>
            <w:right w:w="0" w:type="dxa"/>
          </w:tblCellMar>
        </w:tblPrEx>
        <w:trPr>
          <w:trHeight w:val="1778" w:hRule="atLeast"/>
          <w:jc w:val="center"/>
        </w:trPr>
        <w:tc>
          <w:tcPr>
            <w:tcW w:w="3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c>
          <w:tcPr>
            <w:tcW w:w="40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完成</w:t>
            </w:r>
            <w:r>
              <w:rPr>
                <w:rFonts w:hint="eastAsia" w:asciiTheme="majorEastAsia" w:hAnsiTheme="majorEastAsia" w:eastAsiaTheme="majorEastAsia" w:cstheme="minorEastAsia"/>
                <w:szCs w:val="21"/>
              </w:rPr>
              <w:t>乡镇信息化综合业务平台升级改造工作，加强乡镇财务人员业务培训，使之尽快掌握并熟练操作财务软件升级后新模块</w:t>
            </w:r>
          </w:p>
        </w:tc>
        <w:tc>
          <w:tcPr>
            <w:tcW w:w="46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完成</w:t>
            </w:r>
            <w:r>
              <w:rPr>
                <w:rFonts w:hint="eastAsia" w:asciiTheme="majorEastAsia" w:hAnsiTheme="majorEastAsia" w:eastAsiaTheme="majorEastAsia" w:cstheme="minorEastAsia"/>
                <w:szCs w:val="21"/>
              </w:rPr>
              <w:t>乡镇信息化综合业务平台升级改造工作，加强乡镇财务人员业务培训，使之尽快掌握并熟练操作财务软件升级后新模块</w:t>
            </w:r>
          </w:p>
        </w:tc>
      </w:tr>
      <w:tr>
        <w:tblPrEx>
          <w:tblCellMar>
            <w:top w:w="0" w:type="dxa"/>
            <w:left w:w="0" w:type="dxa"/>
            <w:bottom w:w="0" w:type="dxa"/>
            <w:right w:w="0" w:type="dxa"/>
          </w:tblCellMar>
        </w:tblPrEx>
        <w:trPr>
          <w:trHeight w:val="1064" w:hRule="atLeast"/>
          <w:jc w:val="center"/>
        </w:trPr>
        <w:tc>
          <w:tcPr>
            <w:tcW w:w="35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绩效指标完成情况</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一级指标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二级指标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三级指标</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预期指标值(包含数字及文字描述)</w:t>
            </w:r>
          </w:p>
        </w:tc>
        <w:tc>
          <w:tcPr>
            <w:tcW w:w="2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实际完成指标值(包含数字及文字描述)</w:t>
            </w:r>
          </w:p>
        </w:tc>
      </w:tr>
      <w:tr>
        <w:tblPrEx>
          <w:tblCellMar>
            <w:top w:w="0" w:type="dxa"/>
            <w:left w:w="0" w:type="dxa"/>
            <w:bottom w:w="0" w:type="dxa"/>
            <w:right w:w="0" w:type="dxa"/>
          </w:tblCellMar>
        </w:tblPrEx>
        <w:trPr>
          <w:trHeight w:val="547" w:hRule="atLeast"/>
          <w:jc w:val="center"/>
        </w:trPr>
        <w:tc>
          <w:tcPr>
            <w:tcW w:w="3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数量指标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asciiTheme="majorEastAsia" w:hAnsiTheme="majorEastAsia" w:eastAsiaTheme="majorEastAsia" w:cstheme="minorEastAsia"/>
                <w:szCs w:val="21"/>
              </w:rPr>
              <w:t>乡镇信息化综合业务平台</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12个乡镇使用</w:t>
            </w:r>
          </w:p>
        </w:tc>
        <w:tc>
          <w:tcPr>
            <w:tcW w:w="2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12个乡镇使用</w:t>
            </w:r>
          </w:p>
        </w:tc>
      </w:tr>
      <w:tr>
        <w:tblPrEx>
          <w:tblCellMar>
            <w:top w:w="0" w:type="dxa"/>
            <w:left w:w="0" w:type="dxa"/>
            <w:bottom w:w="0" w:type="dxa"/>
            <w:right w:w="0" w:type="dxa"/>
          </w:tblCellMar>
        </w:tblPrEx>
        <w:trPr>
          <w:trHeight w:val="620" w:hRule="atLeast"/>
          <w:jc w:val="center"/>
        </w:trPr>
        <w:tc>
          <w:tcPr>
            <w:tcW w:w="3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质量指标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软件正常运行</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及时掌控软件运行情况</w:t>
            </w:r>
          </w:p>
        </w:tc>
        <w:tc>
          <w:tcPr>
            <w:tcW w:w="2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保障了12个乡镇会计核算工作正常运行</w:t>
            </w:r>
          </w:p>
        </w:tc>
      </w:tr>
      <w:tr>
        <w:tblPrEx>
          <w:tblCellMar>
            <w:top w:w="0" w:type="dxa"/>
            <w:left w:w="0" w:type="dxa"/>
            <w:bottom w:w="0" w:type="dxa"/>
            <w:right w:w="0" w:type="dxa"/>
          </w:tblCellMar>
        </w:tblPrEx>
        <w:trPr>
          <w:trHeight w:val="528" w:hRule="atLeast"/>
          <w:jc w:val="center"/>
        </w:trPr>
        <w:tc>
          <w:tcPr>
            <w:tcW w:w="3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时效指标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系统维护时间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2020年全年</w:t>
            </w:r>
          </w:p>
        </w:tc>
        <w:tc>
          <w:tcPr>
            <w:tcW w:w="2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2020年全年</w:t>
            </w:r>
          </w:p>
        </w:tc>
      </w:tr>
      <w:tr>
        <w:tblPrEx>
          <w:tblCellMar>
            <w:top w:w="0" w:type="dxa"/>
            <w:left w:w="0" w:type="dxa"/>
            <w:bottom w:w="0" w:type="dxa"/>
            <w:right w:w="0" w:type="dxa"/>
          </w:tblCellMar>
        </w:tblPrEx>
        <w:trPr>
          <w:trHeight w:val="790" w:hRule="atLeast"/>
          <w:jc w:val="center"/>
        </w:trPr>
        <w:tc>
          <w:tcPr>
            <w:tcW w:w="3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成本指标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采购软件成本</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97.5万元</w:t>
            </w:r>
          </w:p>
        </w:tc>
        <w:tc>
          <w:tcPr>
            <w:tcW w:w="2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支付软件公司第二次进度款14.63万元，2021年按合同进度支付</w:t>
            </w:r>
          </w:p>
        </w:tc>
      </w:tr>
      <w:tr>
        <w:tblPrEx>
          <w:tblCellMar>
            <w:top w:w="0" w:type="dxa"/>
            <w:left w:w="0" w:type="dxa"/>
            <w:bottom w:w="0" w:type="dxa"/>
            <w:right w:w="0" w:type="dxa"/>
          </w:tblCellMar>
        </w:tblPrEx>
        <w:trPr>
          <w:trHeight w:val="677" w:hRule="atLeast"/>
          <w:jc w:val="center"/>
        </w:trPr>
        <w:tc>
          <w:tcPr>
            <w:tcW w:w="3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社会效益指标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保障软件系统正常运行</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提高了12个乡镇会计核算业务能力</w:t>
            </w:r>
          </w:p>
        </w:tc>
        <w:tc>
          <w:tcPr>
            <w:tcW w:w="2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提高了12乡镇会计核算业务能力</w:t>
            </w:r>
          </w:p>
        </w:tc>
      </w:tr>
      <w:tr>
        <w:tblPrEx>
          <w:tblCellMar>
            <w:top w:w="0" w:type="dxa"/>
            <w:left w:w="0" w:type="dxa"/>
            <w:bottom w:w="0" w:type="dxa"/>
            <w:right w:w="0" w:type="dxa"/>
          </w:tblCellMar>
        </w:tblPrEx>
        <w:trPr>
          <w:trHeight w:val="683" w:hRule="atLeast"/>
          <w:jc w:val="center"/>
        </w:trPr>
        <w:tc>
          <w:tcPr>
            <w:tcW w:w="35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满意度指标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服务对象满意度</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asciiTheme="majorEastAsia" w:hAnsiTheme="majorEastAsia" w:eastAsiaTheme="majorEastAsia" w:cstheme="minorEastAsia"/>
                <w:color w:val="000000"/>
                <w:szCs w:val="21"/>
              </w:rPr>
              <w:t>12个乡镇</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asciiTheme="majorEastAsia" w:hAnsiTheme="majorEastAsia" w:eastAsiaTheme="majorEastAsia" w:cstheme="minorEastAsia"/>
                <w:color w:val="000000"/>
                <w:szCs w:val="21"/>
              </w:rPr>
              <w:t>达到基本满意及以上</w:t>
            </w:r>
          </w:p>
        </w:tc>
        <w:tc>
          <w:tcPr>
            <w:tcW w:w="2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asciiTheme="majorEastAsia" w:hAnsiTheme="majorEastAsia" w:eastAsiaTheme="majorEastAsia" w:cstheme="minorEastAsia"/>
                <w:color w:val="000000"/>
                <w:szCs w:val="21"/>
              </w:rPr>
              <w:t>达到基本满意及以上</w:t>
            </w:r>
          </w:p>
        </w:tc>
      </w:tr>
    </w:tbl>
    <w:p/>
    <w:p>
      <w:pPr>
        <w:pStyle w:val="2"/>
      </w:pPr>
    </w:p>
    <w:p/>
    <w:p>
      <w:pPr>
        <w:pStyle w:val="2"/>
      </w:pPr>
    </w:p>
    <w:tbl>
      <w:tblPr>
        <w:tblStyle w:val="8"/>
        <w:tblpPr w:leftFromText="180" w:rightFromText="180" w:vertAnchor="text" w:horzAnchor="page" w:tblpXSpec="center" w:tblpY="652"/>
        <w:tblOverlap w:val="never"/>
        <w:tblW w:w="9087" w:type="dxa"/>
        <w:jc w:val="center"/>
        <w:tblLayout w:type="fixed"/>
        <w:tblCellMar>
          <w:top w:w="0" w:type="dxa"/>
          <w:left w:w="0" w:type="dxa"/>
          <w:bottom w:w="0" w:type="dxa"/>
          <w:right w:w="0" w:type="dxa"/>
        </w:tblCellMar>
      </w:tblPr>
      <w:tblGrid>
        <w:gridCol w:w="582"/>
        <w:gridCol w:w="1004"/>
        <w:gridCol w:w="927"/>
        <w:gridCol w:w="1859"/>
        <w:gridCol w:w="2467"/>
        <w:gridCol w:w="2248"/>
      </w:tblGrid>
      <w:tr>
        <w:tblPrEx>
          <w:tblCellMar>
            <w:top w:w="0" w:type="dxa"/>
            <w:left w:w="0" w:type="dxa"/>
            <w:bottom w:w="0" w:type="dxa"/>
            <w:right w:w="0" w:type="dxa"/>
          </w:tblCellMar>
        </w:tblPrEx>
        <w:trPr>
          <w:trHeight w:val="1259" w:hRule="atLeast"/>
          <w:jc w:val="center"/>
        </w:trPr>
        <w:tc>
          <w:tcPr>
            <w:tcW w:w="9087"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方正小标宋_GBK" w:hAnsi="宋体" w:eastAsia="方正小标宋_GBK"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方正楷体_GBK" w:hAnsi="宋体" w:eastAsia="方正楷体_GBK" w:cs="宋体"/>
                <w:b/>
                <w:color w:val="000000"/>
                <w:kern w:val="0"/>
                <w:sz w:val="32"/>
                <w:szCs w:val="32"/>
              </w:rPr>
              <w:t>(2020 年度)</w:t>
            </w:r>
          </w:p>
        </w:tc>
      </w:tr>
      <w:tr>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项目名称</w:t>
            </w:r>
          </w:p>
        </w:tc>
        <w:tc>
          <w:tcPr>
            <w:tcW w:w="65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asciiTheme="majorEastAsia" w:hAnsiTheme="majorEastAsia" w:eastAsiaTheme="majorEastAsia" w:cstheme="minorEastAsia"/>
                <w:szCs w:val="21"/>
              </w:rPr>
              <w:t>项目评审专项经费</w:t>
            </w:r>
          </w:p>
        </w:tc>
      </w:tr>
      <w:tr>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预算单位</w:t>
            </w:r>
          </w:p>
        </w:tc>
        <w:tc>
          <w:tcPr>
            <w:tcW w:w="65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盐边县财政局</w:t>
            </w:r>
          </w:p>
        </w:tc>
      </w:tr>
      <w:tr>
        <w:tblPrEx>
          <w:tblCellMar>
            <w:top w:w="0" w:type="dxa"/>
            <w:left w:w="0" w:type="dxa"/>
            <w:bottom w:w="0" w:type="dxa"/>
            <w:right w:w="0" w:type="dxa"/>
          </w:tblCellMar>
        </w:tblPrEx>
        <w:trPr>
          <w:trHeight w:val="33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预算执行情况(万元)</w:t>
            </w:r>
          </w:p>
        </w:tc>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预算数:</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126.39万元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执行数:</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126.39万元</w:t>
            </w:r>
          </w:p>
        </w:tc>
      </w:tr>
      <w:tr>
        <w:tblPrEx>
          <w:tblCellMar>
            <w:top w:w="0" w:type="dxa"/>
            <w:left w:w="0" w:type="dxa"/>
            <w:bottom w:w="0" w:type="dxa"/>
            <w:right w:w="0" w:type="dxa"/>
          </w:tblCellMar>
        </w:tblPrEx>
        <w:trPr>
          <w:trHeight w:val="33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其中-财政拨款:</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126.39万元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其中-财政拨款:</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126.39万元</w:t>
            </w:r>
          </w:p>
        </w:tc>
      </w:tr>
      <w:tr>
        <w:tblPrEx>
          <w:tblCellMar>
            <w:top w:w="0" w:type="dxa"/>
            <w:left w:w="0" w:type="dxa"/>
            <w:bottom w:w="0" w:type="dxa"/>
            <w:right w:w="0" w:type="dxa"/>
          </w:tblCellMar>
        </w:tblPrEx>
        <w:trPr>
          <w:trHeight w:val="933"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其它资金:</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其它资金:</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33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年度目标完成情况</w:t>
            </w:r>
          </w:p>
        </w:tc>
        <w:tc>
          <w:tcPr>
            <w:tcW w:w="37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预期目标</w:t>
            </w:r>
          </w:p>
        </w:tc>
        <w:tc>
          <w:tcPr>
            <w:tcW w:w="47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实际完成目标</w:t>
            </w:r>
          </w:p>
        </w:tc>
      </w:tr>
      <w:tr>
        <w:tblPrEx>
          <w:tblCellMar>
            <w:top w:w="0" w:type="dxa"/>
            <w:left w:w="0" w:type="dxa"/>
            <w:bottom w:w="0" w:type="dxa"/>
            <w:right w:w="0" w:type="dxa"/>
          </w:tblCellMar>
        </w:tblPrEx>
        <w:trPr>
          <w:trHeight w:val="177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ajorEastAsia" w:hAnsiTheme="majorEastAsia" w:eastAsiaTheme="majorEastAsia"/>
                <w:color w:val="000000"/>
                <w:szCs w:val="21"/>
              </w:rPr>
            </w:pPr>
          </w:p>
        </w:tc>
        <w:tc>
          <w:tcPr>
            <w:tcW w:w="37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heme="majorEastAsia" w:hAnsiTheme="majorEastAsia" w:eastAsiaTheme="majorEastAsia"/>
                <w:szCs w:val="21"/>
              </w:rPr>
            </w:pPr>
            <w:r>
              <w:rPr>
                <w:rFonts w:hint="eastAsia" w:asciiTheme="majorEastAsia" w:hAnsiTheme="majorEastAsia" w:eastAsiaTheme="majorEastAsia" w:cstheme="minorEastAsia"/>
                <w:szCs w:val="21"/>
              </w:rPr>
              <w:t>为相关部门审批项目预算投资招标(比选)提供了依据，为政府投资节约资金。</w:t>
            </w:r>
          </w:p>
          <w:p>
            <w:pPr>
              <w:widowControl/>
              <w:jc w:val="center"/>
              <w:textAlignment w:val="center"/>
              <w:rPr>
                <w:rFonts w:cs="宋体" w:asciiTheme="majorEastAsia" w:hAnsiTheme="majorEastAsia" w:eastAsiaTheme="majorEastAsia"/>
                <w:color w:val="000000"/>
                <w:szCs w:val="21"/>
              </w:rPr>
            </w:pPr>
          </w:p>
        </w:tc>
        <w:tc>
          <w:tcPr>
            <w:tcW w:w="47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heme="majorEastAsia" w:hAnsiTheme="majorEastAsia" w:eastAsiaTheme="majorEastAsia"/>
                <w:szCs w:val="21"/>
              </w:rPr>
            </w:pPr>
            <w:r>
              <w:rPr>
                <w:rFonts w:hint="eastAsia" w:asciiTheme="majorEastAsia" w:hAnsiTheme="majorEastAsia" w:eastAsiaTheme="majorEastAsia" w:cstheme="minorEastAsia"/>
                <w:szCs w:val="21"/>
              </w:rPr>
              <w:t>为相关部门审批项目预算投资招标(比选)提供了依据，为政府投资节约资金。</w:t>
            </w:r>
          </w:p>
          <w:p>
            <w:pPr>
              <w:widowControl/>
              <w:jc w:val="center"/>
              <w:textAlignment w:val="center"/>
              <w:rPr>
                <w:rFonts w:cs="宋体" w:asciiTheme="majorEastAsia" w:hAnsiTheme="majorEastAsia" w:eastAsiaTheme="majorEastAsia"/>
                <w:color w:val="000000"/>
                <w:szCs w:val="21"/>
              </w:rPr>
            </w:pPr>
          </w:p>
        </w:tc>
      </w:tr>
      <w:tr>
        <w:tblPrEx>
          <w:tblCellMar>
            <w:top w:w="0" w:type="dxa"/>
            <w:left w:w="0" w:type="dxa"/>
            <w:bottom w:w="0" w:type="dxa"/>
            <w:right w:w="0" w:type="dxa"/>
          </w:tblCellMar>
        </w:tblPrEx>
        <w:trPr>
          <w:trHeight w:val="1064" w:hRule="atLeast"/>
          <w:jc w:val="center"/>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绩效指标完成情况</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一级指标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二级指标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三级指标</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预期指标值(包含数字及文字描述)</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实际完成指标值(包含数字及文字描述)</w:t>
            </w:r>
          </w:p>
        </w:tc>
      </w:tr>
      <w:tr>
        <w:tblPrEx>
          <w:tblCellMar>
            <w:top w:w="0" w:type="dxa"/>
            <w:left w:w="0" w:type="dxa"/>
            <w:bottom w:w="0" w:type="dxa"/>
            <w:right w:w="0" w:type="dxa"/>
          </w:tblCellMar>
        </w:tblPrEx>
        <w:trPr>
          <w:trHeight w:val="547"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数量指标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asciiTheme="majorEastAsia" w:hAnsiTheme="majorEastAsia" w:eastAsiaTheme="majorEastAsia" w:cstheme="minorEastAsia"/>
                <w:szCs w:val="21"/>
              </w:rPr>
              <w:t>投资评审项目</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≧100个</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2020年共评审项目95个，自主评审项目50个，委托中介机构评审项目45个</w:t>
            </w:r>
          </w:p>
        </w:tc>
      </w:tr>
      <w:tr>
        <w:tblPrEx>
          <w:tblCellMar>
            <w:top w:w="0" w:type="dxa"/>
            <w:left w:w="0" w:type="dxa"/>
            <w:bottom w:w="0" w:type="dxa"/>
            <w:right w:w="0" w:type="dxa"/>
          </w:tblCellMar>
        </w:tblPrEx>
        <w:trPr>
          <w:trHeight w:val="528"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时效指标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评审时间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2020年全年</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2020年全年</w:t>
            </w:r>
          </w:p>
        </w:tc>
      </w:tr>
      <w:tr>
        <w:tblPrEx>
          <w:tblCellMar>
            <w:top w:w="0" w:type="dxa"/>
            <w:left w:w="0" w:type="dxa"/>
            <w:bottom w:w="0" w:type="dxa"/>
            <w:right w:w="0" w:type="dxa"/>
          </w:tblCellMar>
        </w:tblPrEx>
        <w:trPr>
          <w:trHeight w:val="790"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成本指标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委托中介机构评审费用</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126.39万元</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支付126.39万元</w:t>
            </w:r>
          </w:p>
        </w:tc>
      </w:tr>
      <w:tr>
        <w:tblPrEx>
          <w:tblCellMar>
            <w:top w:w="0" w:type="dxa"/>
            <w:left w:w="0" w:type="dxa"/>
            <w:bottom w:w="0" w:type="dxa"/>
            <w:right w:w="0" w:type="dxa"/>
          </w:tblCellMar>
        </w:tblPrEx>
        <w:trPr>
          <w:trHeight w:val="1925"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经济效益指标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节约投资资金</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2020年评审项目95个，总送审资金46000万元，审定资金41540万元，审减资金4460万元，综合审减率9.69%</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2020年评审项目95个，总送审资金46000万元，审定资金41540万元，审减资金4460万元，综合审减率9.69%%</w:t>
            </w:r>
          </w:p>
        </w:tc>
      </w:tr>
    </w:tbl>
    <w:p>
      <w:pPr>
        <w:pStyle w:val="2"/>
      </w:pPr>
    </w:p>
    <w:p/>
    <w:p>
      <w:pPr>
        <w:pStyle w:val="2"/>
      </w:pPr>
    </w:p>
    <w:p/>
    <w:p>
      <w:pPr>
        <w:pStyle w:val="2"/>
      </w:pPr>
    </w:p>
    <w:p/>
    <w:p>
      <w:pPr>
        <w:pStyle w:val="2"/>
      </w:pPr>
    </w:p>
    <w:p>
      <w:pPr>
        <w:spacing w:line="560" w:lineRule="exact"/>
        <w:ind w:firstLine="643" w:firstLineChars="200"/>
        <w:rPr>
          <w:rFonts w:eastAsia="仿宋_GB2312"/>
          <w:sz w:val="32"/>
          <w:szCs w:val="32"/>
        </w:rPr>
      </w:pPr>
      <w:r>
        <w:rPr>
          <w:rFonts w:eastAsia="仿宋_GB2312"/>
          <w:b/>
          <w:sz w:val="32"/>
          <w:szCs w:val="32"/>
        </w:rPr>
        <w:t>2.部门绩效评价结果</w:t>
      </w:r>
    </w:p>
    <w:p>
      <w:pPr>
        <w:spacing w:line="560" w:lineRule="exact"/>
        <w:ind w:firstLine="640" w:firstLineChars="200"/>
        <w:rPr>
          <w:rFonts w:eastAsia="仿宋_GB2312"/>
          <w:sz w:val="32"/>
          <w:szCs w:val="32"/>
        </w:rPr>
      </w:pPr>
      <w:r>
        <w:rPr>
          <w:rFonts w:eastAsia="仿宋_GB2312"/>
          <w:sz w:val="32"/>
          <w:szCs w:val="32"/>
        </w:rPr>
        <w:t>本部门按要求对2020年部门整体支出绩效评价情况开展自评，《盐边县财政局2020年部门整体支出绩效评价报告》见附件（附件1）。</w:t>
      </w:r>
    </w:p>
    <w:p>
      <w:pPr>
        <w:spacing w:line="560" w:lineRule="exact"/>
        <w:ind w:firstLine="640" w:firstLineChars="200"/>
      </w:pPr>
      <w:r>
        <w:rPr>
          <w:rFonts w:eastAsia="仿宋_GB2312"/>
          <w:sz w:val="32"/>
          <w:szCs w:val="32"/>
        </w:rPr>
        <w:t>本部门自行组织对“财政局网络及全县金财网维护”、“乡镇信息化综合业务平台升级经费”等项目项目开展了绩效评价，《盐边县财政2020年项目支出绩效评价报告》见附件（附件2）。（非涉密部门均需公开部门整体支出评价报告，部门自行组织的绩效评价情况根据部门实际公开，若未组织项目绩效评价，则只需说明部门整体支出绩效评价情况）</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jc w:val="center"/>
        <w:rPr>
          <w:rFonts w:eastAsia="方正小标宋_GBK"/>
          <w:sz w:val="44"/>
          <w:szCs w:val="44"/>
        </w:rPr>
      </w:pPr>
      <w:r>
        <w:rPr>
          <w:rFonts w:eastAsia="方正小标宋_GBK"/>
          <w:sz w:val="44"/>
          <w:szCs w:val="44"/>
        </w:rPr>
        <w:t>第三部分 名词解释</w:t>
      </w:r>
    </w:p>
    <w:p>
      <w:pPr>
        <w:pStyle w:val="2"/>
      </w:pPr>
    </w:p>
    <w:p>
      <w:pPr>
        <w:pStyle w:val="2"/>
        <w:spacing w:line="560" w:lineRule="exact"/>
        <w:ind w:firstLine="643" w:firstLineChars="200"/>
        <w:rPr>
          <w:rFonts w:eastAsia="仿宋_GB2312"/>
          <w:sz w:val="32"/>
          <w:szCs w:val="32"/>
        </w:rPr>
      </w:pPr>
      <w:r>
        <w:rPr>
          <w:rFonts w:eastAsia="仿宋_GB2312"/>
          <w:b/>
          <w:sz w:val="32"/>
          <w:szCs w:val="32"/>
        </w:rPr>
        <w:t>1.财政拨款收入：</w:t>
      </w:r>
      <w:r>
        <w:rPr>
          <w:rFonts w:eastAsia="仿宋_GB2312"/>
          <w:sz w:val="32"/>
          <w:szCs w:val="32"/>
        </w:rPr>
        <w:t>指单位从同级财政部门取得的财政预算资金。</w:t>
      </w:r>
    </w:p>
    <w:p>
      <w:pPr>
        <w:pStyle w:val="2"/>
        <w:spacing w:line="560" w:lineRule="exact"/>
        <w:ind w:firstLine="643" w:firstLineChars="200"/>
        <w:rPr>
          <w:rFonts w:eastAsia="仿宋_GB2312"/>
          <w:sz w:val="32"/>
          <w:szCs w:val="32"/>
        </w:rPr>
      </w:pPr>
      <w:r>
        <w:rPr>
          <w:rFonts w:eastAsia="仿宋_GB2312"/>
          <w:b/>
          <w:sz w:val="32"/>
          <w:szCs w:val="32"/>
        </w:rPr>
        <w:t>2.事业收入：</w:t>
      </w:r>
      <w:r>
        <w:rPr>
          <w:rFonts w:eastAsia="仿宋_GB2312"/>
          <w:sz w:val="32"/>
          <w:szCs w:val="32"/>
        </w:rPr>
        <w:t>指事业单位开展专业业务活动及辅助活动取得的收入。如（二级预算单位事业收入情况）等。</w:t>
      </w:r>
    </w:p>
    <w:p>
      <w:pPr>
        <w:pStyle w:val="2"/>
        <w:spacing w:line="560" w:lineRule="exact"/>
        <w:ind w:firstLine="643" w:firstLineChars="200"/>
        <w:rPr>
          <w:rFonts w:eastAsia="仿宋_GB2312"/>
          <w:sz w:val="32"/>
          <w:szCs w:val="32"/>
        </w:rPr>
      </w:pPr>
      <w:r>
        <w:rPr>
          <w:rFonts w:eastAsia="仿宋_GB2312"/>
          <w:b/>
          <w:sz w:val="32"/>
          <w:szCs w:val="32"/>
        </w:rPr>
        <w:t>3.经营收入：</w:t>
      </w:r>
      <w:r>
        <w:rPr>
          <w:rFonts w:eastAsia="仿宋_GB2312"/>
          <w:sz w:val="32"/>
          <w:szCs w:val="32"/>
        </w:rPr>
        <w:t>指事业单位在专业业务活动及其辅助活动之外开展非独立核算经营活动取得的收入。如（二级预算单位经营收入情况）等。</w:t>
      </w:r>
    </w:p>
    <w:p>
      <w:pPr>
        <w:pStyle w:val="2"/>
        <w:spacing w:line="560" w:lineRule="exact"/>
        <w:ind w:firstLine="643" w:firstLineChars="200"/>
        <w:rPr>
          <w:rFonts w:eastAsia="仿宋_GB2312"/>
          <w:sz w:val="32"/>
          <w:szCs w:val="32"/>
        </w:rPr>
      </w:pPr>
      <w:r>
        <w:rPr>
          <w:rFonts w:eastAsia="仿宋_GB2312"/>
          <w:b/>
          <w:sz w:val="32"/>
          <w:szCs w:val="32"/>
        </w:rPr>
        <w:t>4.其他收入：</w:t>
      </w:r>
      <w:r>
        <w:rPr>
          <w:rFonts w:eastAsia="仿宋_GB2312"/>
          <w:sz w:val="32"/>
          <w:szCs w:val="32"/>
        </w:rPr>
        <w:t xml:space="preserve">指单位取得的除上述收入以外的各项收入。 </w:t>
      </w:r>
    </w:p>
    <w:p>
      <w:pPr>
        <w:pStyle w:val="2"/>
        <w:spacing w:line="560" w:lineRule="exact"/>
        <w:ind w:firstLine="643" w:firstLineChars="200"/>
        <w:rPr>
          <w:rFonts w:eastAsia="仿宋_GB2312"/>
          <w:sz w:val="32"/>
          <w:szCs w:val="32"/>
        </w:rPr>
      </w:pPr>
      <w:r>
        <w:rPr>
          <w:rFonts w:eastAsia="仿宋_GB2312"/>
          <w:b/>
          <w:sz w:val="32"/>
          <w:szCs w:val="32"/>
        </w:rPr>
        <w:t>5.用事业基金弥补收支差额：</w:t>
      </w:r>
      <w:r>
        <w:rPr>
          <w:rFonts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
        <w:spacing w:line="560" w:lineRule="exact"/>
        <w:ind w:firstLine="643" w:firstLineChars="200"/>
        <w:rPr>
          <w:rFonts w:eastAsia="仿宋_GB2312"/>
          <w:sz w:val="32"/>
          <w:szCs w:val="32"/>
        </w:rPr>
      </w:pPr>
      <w:r>
        <w:rPr>
          <w:rFonts w:eastAsia="仿宋_GB2312"/>
          <w:b/>
          <w:sz w:val="32"/>
          <w:szCs w:val="32"/>
        </w:rPr>
        <w:t>6.年初结转和结余：</w:t>
      </w:r>
      <w:r>
        <w:rPr>
          <w:rFonts w:eastAsia="仿宋_GB2312"/>
          <w:sz w:val="32"/>
          <w:szCs w:val="32"/>
        </w:rPr>
        <w:t xml:space="preserve">指以前年度尚未完成、结转到本年按有关规定继续使用的资金。 </w:t>
      </w:r>
    </w:p>
    <w:p>
      <w:pPr>
        <w:pStyle w:val="2"/>
        <w:spacing w:line="560" w:lineRule="exact"/>
        <w:ind w:firstLine="643" w:firstLineChars="200"/>
        <w:rPr>
          <w:rFonts w:eastAsia="仿宋_GB2312"/>
          <w:sz w:val="32"/>
          <w:szCs w:val="32"/>
        </w:rPr>
      </w:pPr>
      <w:r>
        <w:rPr>
          <w:rFonts w:eastAsia="仿宋_GB2312"/>
          <w:b/>
          <w:sz w:val="32"/>
          <w:szCs w:val="32"/>
        </w:rPr>
        <w:t>7.结余分配：</w:t>
      </w:r>
      <w:r>
        <w:rPr>
          <w:rFonts w:eastAsia="仿宋_GB2312"/>
          <w:sz w:val="32"/>
          <w:szCs w:val="32"/>
        </w:rPr>
        <w:t>指事业单位按照事业单位会计制度的规定从非财政补助结余中分配的事业基金和职工福利基金等。</w:t>
      </w:r>
    </w:p>
    <w:p>
      <w:pPr>
        <w:pStyle w:val="2"/>
        <w:spacing w:line="560" w:lineRule="exact"/>
        <w:ind w:firstLine="643" w:firstLineChars="200"/>
        <w:rPr>
          <w:rFonts w:eastAsia="仿宋_GB2312"/>
          <w:sz w:val="32"/>
          <w:szCs w:val="32"/>
        </w:rPr>
      </w:pPr>
      <w:r>
        <w:rPr>
          <w:rFonts w:eastAsia="仿宋_GB2312"/>
          <w:b/>
          <w:sz w:val="32"/>
          <w:szCs w:val="32"/>
        </w:rPr>
        <w:t>8.年末结转和结余：</w:t>
      </w:r>
      <w:r>
        <w:rPr>
          <w:rFonts w:eastAsia="仿宋_GB2312"/>
          <w:sz w:val="32"/>
          <w:szCs w:val="32"/>
        </w:rPr>
        <w:t>指单位按有关规定结转到下年或以后年度继续使用的资金。</w:t>
      </w:r>
    </w:p>
    <w:p>
      <w:pPr>
        <w:pStyle w:val="2"/>
        <w:spacing w:line="560" w:lineRule="exact"/>
        <w:ind w:firstLine="643" w:firstLineChars="200"/>
        <w:rPr>
          <w:rFonts w:eastAsia="仿宋_GB2312"/>
          <w:b/>
          <w:sz w:val="32"/>
          <w:szCs w:val="32"/>
        </w:rPr>
      </w:pPr>
      <w:r>
        <w:rPr>
          <w:rFonts w:eastAsia="仿宋_GB2312"/>
          <w:b/>
          <w:sz w:val="32"/>
          <w:szCs w:val="32"/>
        </w:rPr>
        <w:t>9.一般公共服务（类）财政事务支出（款）</w:t>
      </w:r>
    </w:p>
    <w:p>
      <w:pPr>
        <w:pStyle w:val="2"/>
        <w:spacing w:line="560" w:lineRule="exact"/>
        <w:ind w:firstLine="640" w:firstLineChars="200"/>
        <w:rPr>
          <w:rFonts w:eastAsia="仿宋_GB2312"/>
          <w:sz w:val="32"/>
          <w:szCs w:val="32"/>
        </w:rPr>
      </w:pPr>
      <w:r>
        <w:rPr>
          <w:rFonts w:eastAsia="仿宋_GB2312"/>
          <w:sz w:val="32"/>
          <w:szCs w:val="32"/>
        </w:rPr>
        <w:t>①行政运行: 指行政单位（包括实行公务员管理的事业单位）的基本支出。</w:t>
      </w:r>
    </w:p>
    <w:p>
      <w:pPr>
        <w:pStyle w:val="2"/>
        <w:spacing w:line="560" w:lineRule="exact"/>
        <w:ind w:firstLine="640" w:firstLineChars="200"/>
        <w:rPr>
          <w:rFonts w:eastAsia="仿宋_GB2312"/>
          <w:sz w:val="32"/>
          <w:szCs w:val="32"/>
        </w:rPr>
      </w:pPr>
      <w:r>
        <w:rPr>
          <w:rFonts w:eastAsia="仿宋_GB2312"/>
          <w:sz w:val="32"/>
          <w:szCs w:val="32"/>
        </w:rPr>
        <w:t>②事业运行：指事业单位的基本支出。不包括行政单位（包括实行公务员管理的事业单位）后勤服务中心、医务室等附属事业单位。</w:t>
      </w:r>
    </w:p>
    <w:p>
      <w:pPr>
        <w:pStyle w:val="2"/>
        <w:spacing w:line="560" w:lineRule="exact"/>
        <w:ind w:firstLine="640" w:firstLineChars="200"/>
        <w:rPr>
          <w:rFonts w:eastAsia="仿宋_GB2312"/>
          <w:sz w:val="32"/>
          <w:szCs w:val="32"/>
        </w:rPr>
      </w:pPr>
      <w:r>
        <w:rPr>
          <w:rFonts w:eastAsia="仿宋_GB2312"/>
          <w:sz w:val="32"/>
          <w:szCs w:val="32"/>
        </w:rPr>
        <w:t>③一般行政管理事务：指行政单位（包括实行公务员管理的事业单位）未单独设置项级科目的其他项目支出。</w:t>
      </w:r>
    </w:p>
    <w:p>
      <w:pPr>
        <w:pStyle w:val="2"/>
        <w:spacing w:line="560" w:lineRule="exact"/>
        <w:ind w:firstLine="640" w:firstLineChars="200"/>
        <w:rPr>
          <w:rFonts w:eastAsia="仿宋_GB2312"/>
          <w:sz w:val="32"/>
          <w:szCs w:val="32"/>
        </w:rPr>
      </w:pPr>
      <w:r>
        <w:rPr>
          <w:rFonts w:eastAsia="仿宋_GB2312"/>
          <w:sz w:val="32"/>
          <w:szCs w:val="32"/>
        </w:rPr>
        <w:t>④信息化建设：指财政部门用于信息化建设方面的支出。</w:t>
      </w:r>
    </w:p>
    <w:p>
      <w:pPr>
        <w:pStyle w:val="2"/>
        <w:spacing w:line="560" w:lineRule="exact"/>
        <w:ind w:firstLine="640" w:firstLineChars="200"/>
        <w:rPr>
          <w:rFonts w:eastAsia="仿宋_GB2312"/>
          <w:sz w:val="32"/>
          <w:szCs w:val="32"/>
        </w:rPr>
      </w:pPr>
      <w:r>
        <w:rPr>
          <w:rFonts w:eastAsia="仿宋_GB2312"/>
          <w:sz w:val="32"/>
          <w:szCs w:val="32"/>
        </w:rPr>
        <w:t>⑤财政委托业务支出：指财政委托评审机构进行财政投资评审和委托建设银行等机构代理业务发生的支出。</w:t>
      </w:r>
    </w:p>
    <w:p>
      <w:pPr>
        <w:pStyle w:val="2"/>
        <w:spacing w:line="560" w:lineRule="exact"/>
        <w:ind w:firstLine="643" w:firstLineChars="200"/>
        <w:rPr>
          <w:rFonts w:eastAsia="仿宋_GB2312"/>
          <w:b/>
          <w:sz w:val="32"/>
          <w:szCs w:val="32"/>
        </w:rPr>
      </w:pPr>
      <w:r>
        <w:rPr>
          <w:rFonts w:eastAsia="仿宋_GB2312"/>
          <w:b/>
          <w:sz w:val="32"/>
          <w:szCs w:val="32"/>
        </w:rPr>
        <w:t xml:space="preserve">10.社会保障和就业（类）行政事业单位养老支出（款）  </w:t>
      </w:r>
    </w:p>
    <w:p>
      <w:pPr>
        <w:pStyle w:val="2"/>
        <w:spacing w:line="560" w:lineRule="exact"/>
        <w:ind w:firstLine="640" w:firstLineChars="200"/>
        <w:rPr>
          <w:rFonts w:eastAsia="仿宋_GB2312"/>
          <w:sz w:val="32"/>
          <w:szCs w:val="32"/>
        </w:rPr>
      </w:pPr>
      <w:r>
        <w:rPr>
          <w:rFonts w:eastAsia="仿宋_GB2312"/>
          <w:sz w:val="32"/>
          <w:szCs w:val="32"/>
        </w:rPr>
        <w:t>①行政单位离退休: 指行政单位（包括实行公务员管理的事业单位）开支的离退休支出。</w:t>
      </w:r>
    </w:p>
    <w:p>
      <w:pPr>
        <w:pStyle w:val="2"/>
        <w:spacing w:line="560" w:lineRule="exact"/>
        <w:ind w:firstLine="640" w:firstLineChars="200"/>
        <w:rPr>
          <w:rFonts w:eastAsia="仿宋_GB2312"/>
          <w:sz w:val="32"/>
          <w:szCs w:val="32"/>
        </w:rPr>
      </w:pPr>
      <w:r>
        <w:rPr>
          <w:rFonts w:eastAsia="仿宋_GB2312"/>
          <w:sz w:val="32"/>
          <w:szCs w:val="32"/>
        </w:rPr>
        <w:t>②事业单位离退休：指事业单位开支的离退休经费。</w:t>
      </w:r>
    </w:p>
    <w:p>
      <w:pPr>
        <w:pStyle w:val="2"/>
        <w:spacing w:line="560" w:lineRule="exact"/>
        <w:ind w:firstLine="640" w:firstLineChars="200"/>
        <w:rPr>
          <w:rFonts w:eastAsia="仿宋_GB2312"/>
          <w:sz w:val="32"/>
          <w:szCs w:val="32"/>
        </w:rPr>
      </w:pPr>
      <w:r>
        <w:rPr>
          <w:rFonts w:eastAsia="仿宋_GB2312"/>
          <w:sz w:val="32"/>
          <w:szCs w:val="32"/>
        </w:rPr>
        <w:t>③机关事业单位基本养老保险缴费支出：指机关事业单位实施养老保险制度有单位缴纳的基本养老保险费支出。</w:t>
      </w:r>
    </w:p>
    <w:p>
      <w:pPr>
        <w:pStyle w:val="2"/>
        <w:spacing w:line="560" w:lineRule="exact"/>
        <w:ind w:firstLine="643" w:firstLineChars="200"/>
        <w:rPr>
          <w:rFonts w:eastAsia="仿宋_GB2312"/>
          <w:sz w:val="32"/>
          <w:szCs w:val="32"/>
        </w:rPr>
      </w:pPr>
      <w:r>
        <w:rPr>
          <w:rFonts w:eastAsia="仿宋_GB2312"/>
          <w:b/>
          <w:sz w:val="32"/>
          <w:szCs w:val="32"/>
        </w:rPr>
        <w:t>11.住房保障支出（类）住房改革支出（款）住房公积金（项）：</w:t>
      </w:r>
      <w:r>
        <w:rPr>
          <w:rFonts w:eastAsia="仿宋_GB2312"/>
          <w:sz w:val="32"/>
          <w:szCs w:val="32"/>
        </w:rPr>
        <w:t>指行政事业单位按人力资源和社会保障部、财政部规定的基本工资和津贴补贴以及规定比例为职工缴纳的住房公积金。</w:t>
      </w:r>
    </w:p>
    <w:p>
      <w:pPr>
        <w:pStyle w:val="2"/>
        <w:spacing w:line="560" w:lineRule="exact"/>
        <w:ind w:firstLine="643" w:firstLineChars="200"/>
        <w:rPr>
          <w:rFonts w:eastAsia="仿宋_GB2312"/>
          <w:sz w:val="32"/>
          <w:szCs w:val="32"/>
        </w:rPr>
      </w:pPr>
      <w:r>
        <w:rPr>
          <w:rFonts w:eastAsia="仿宋_GB2312"/>
          <w:b/>
          <w:sz w:val="32"/>
          <w:szCs w:val="32"/>
        </w:rPr>
        <w:t>12.农林水支出（类）农业农村（款）其他农业支出（项）:</w:t>
      </w:r>
      <w:r>
        <w:rPr>
          <w:rFonts w:eastAsia="仿宋_GB2312"/>
          <w:sz w:val="32"/>
          <w:szCs w:val="32"/>
        </w:rPr>
        <w:t>指其他项目以外用于农业方面的支出。</w:t>
      </w:r>
    </w:p>
    <w:p>
      <w:pPr>
        <w:pStyle w:val="2"/>
        <w:spacing w:line="560" w:lineRule="exact"/>
        <w:ind w:firstLine="643" w:firstLineChars="200"/>
        <w:rPr>
          <w:rFonts w:eastAsia="仿宋_GB2312"/>
          <w:sz w:val="32"/>
          <w:szCs w:val="32"/>
        </w:rPr>
      </w:pPr>
      <w:r>
        <w:rPr>
          <w:rFonts w:eastAsia="仿宋_GB2312"/>
          <w:b/>
          <w:sz w:val="32"/>
          <w:szCs w:val="32"/>
        </w:rPr>
        <w:t>13.卫生健康支出（类）公共卫生（款）重大公共卫生服务：</w:t>
      </w:r>
      <w:r>
        <w:rPr>
          <w:rFonts w:eastAsia="仿宋_GB2312"/>
          <w:sz w:val="32"/>
          <w:szCs w:val="32"/>
        </w:rPr>
        <w:t>指重大疾病、重大传染疾病预防控制等重大公共卫生服务项目支出。</w:t>
      </w:r>
    </w:p>
    <w:p>
      <w:pPr>
        <w:pStyle w:val="2"/>
        <w:spacing w:line="560" w:lineRule="exact"/>
        <w:ind w:firstLine="643" w:firstLineChars="200"/>
        <w:rPr>
          <w:rFonts w:eastAsia="仿宋_GB2312"/>
          <w:sz w:val="32"/>
          <w:szCs w:val="32"/>
        </w:rPr>
      </w:pPr>
      <w:r>
        <w:rPr>
          <w:rFonts w:eastAsia="仿宋_GB2312"/>
          <w:b/>
          <w:sz w:val="32"/>
          <w:szCs w:val="32"/>
        </w:rPr>
        <w:t>14.基本支出：</w:t>
      </w:r>
      <w:r>
        <w:rPr>
          <w:rFonts w:eastAsia="仿宋_GB2312"/>
          <w:sz w:val="32"/>
          <w:szCs w:val="32"/>
        </w:rPr>
        <w:t>指为保障机构正常运转、完成日常工作任务而发生的人员支出和公用支出。</w:t>
      </w:r>
    </w:p>
    <w:p>
      <w:pPr>
        <w:pStyle w:val="2"/>
        <w:spacing w:line="560" w:lineRule="exact"/>
        <w:ind w:firstLine="643" w:firstLineChars="200"/>
        <w:rPr>
          <w:rFonts w:eastAsia="仿宋_GB2312"/>
          <w:sz w:val="32"/>
          <w:szCs w:val="32"/>
        </w:rPr>
      </w:pPr>
      <w:r>
        <w:rPr>
          <w:rFonts w:eastAsia="仿宋_GB2312"/>
          <w:b/>
          <w:sz w:val="32"/>
          <w:szCs w:val="32"/>
        </w:rPr>
        <w:t>15.项目支出：</w:t>
      </w:r>
      <w:r>
        <w:rPr>
          <w:rFonts w:eastAsia="仿宋_GB2312"/>
          <w:sz w:val="32"/>
          <w:szCs w:val="32"/>
        </w:rPr>
        <w:t xml:space="preserve">指在基本支出之外为完成特定行政任务和事业发展目标所发生的支出。 </w:t>
      </w:r>
    </w:p>
    <w:p>
      <w:pPr>
        <w:pStyle w:val="2"/>
        <w:spacing w:line="560" w:lineRule="exact"/>
        <w:ind w:firstLine="643" w:firstLineChars="200"/>
        <w:rPr>
          <w:rFonts w:eastAsia="仿宋_GB2312"/>
          <w:sz w:val="32"/>
          <w:szCs w:val="32"/>
        </w:rPr>
      </w:pPr>
      <w:r>
        <w:rPr>
          <w:rFonts w:eastAsia="仿宋_GB2312"/>
          <w:b/>
          <w:sz w:val="32"/>
          <w:szCs w:val="32"/>
        </w:rPr>
        <w:t>16.经营支出：</w:t>
      </w:r>
      <w:r>
        <w:rPr>
          <w:rFonts w:eastAsia="仿宋_GB2312"/>
          <w:sz w:val="32"/>
          <w:szCs w:val="32"/>
        </w:rPr>
        <w:t>指事业单位在专业业务活动及其辅助活动之外开展非独立核算经营活动发生的支出。</w:t>
      </w:r>
    </w:p>
    <w:p>
      <w:pPr>
        <w:pStyle w:val="2"/>
        <w:spacing w:line="560" w:lineRule="exact"/>
        <w:ind w:firstLine="643" w:firstLineChars="200"/>
        <w:rPr>
          <w:rFonts w:eastAsia="仿宋_GB2312"/>
          <w:sz w:val="32"/>
          <w:szCs w:val="32"/>
        </w:rPr>
      </w:pPr>
      <w:r>
        <w:rPr>
          <w:rFonts w:eastAsia="仿宋_GB2312"/>
          <w:b/>
          <w:sz w:val="32"/>
          <w:szCs w:val="32"/>
        </w:rPr>
        <w:t>17.“三公”经费：</w:t>
      </w:r>
      <w:r>
        <w:rPr>
          <w:rFonts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60" w:lineRule="exact"/>
        <w:ind w:firstLine="643" w:firstLineChars="200"/>
        <w:rPr>
          <w:rFonts w:eastAsia="仿宋_GB2312"/>
          <w:sz w:val="32"/>
          <w:szCs w:val="32"/>
        </w:rPr>
      </w:pPr>
      <w:r>
        <w:rPr>
          <w:rFonts w:eastAsia="仿宋_GB2312"/>
          <w:b/>
          <w:sz w:val="32"/>
          <w:szCs w:val="32"/>
        </w:rPr>
        <w:t>18.机关运行经费：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line="560" w:lineRule="exact"/>
        <w:ind w:firstLine="640" w:firstLineChars="200"/>
        <w:rPr>
          <w:rFonts w:eastAsia="仿宋_GB2312"/>
          <w:sz w:val="32"/>
          <w:szCs w:val="32"/>
        </w:rPr>
      </w:pPr>
      <w:r>
        <w:rPr>
          <w:rFonts w:eastAsia="仿宋_GB2312"/>
          <w:sz w:val="32"/>
          <w:szCs w:val="32"/>
        </w:rPr>
        <w:t>（名词解释部分请根据各部门实际列支情况罗列，并根据本部门职责职能增减名词解释内容。）</w:t>
      </w:r>
    </w:p>
    <w:p/>
    <w:p>
      <w:pPr>
        <w:pStyle w:val="2"/>
      </w:pPr>
    </w:p>
    <w:p/>
    <w:p>
      <w:pPr>
        <w:pStyle w:val="2"/>
      </w:pPr>
    </w:p>
    <w:p/>
    <w:p>
      <w:pPr>
        <w:pStyle w:val="2"/>
      </w:pPr>
    </w:p>
    <w:p/>
    <w:p>
      <w:pPr>
        <w:pStyle w:val="2"/>
        <w:jc w:val="center"/>
        <w:rPr>
          <w:rFonts w:eastAsia="方正小标宋_GBK"/>
          <w:sz w:val="44"/>
          <w:szCs w:val="44"/>
        </w:rPr>
      </w:pPr>
      <w:r>
        <w:rPr>
          <w:rFonts w:eastAsia="方正小标宋_GBK"/>
          <w:sz w:val="44"/>
          <w:szCs w:val="44"/>
        </w:rPr>
        <w:t>第四部分 附件</w:t>
      </w:r>
    </w:p>
    <w:p>
      <w:pPr>
        <w:pStyle w:val="2"/>
      </w:pPr>
    </w:p>
    <w:p>
      <w:pPr>
        <w:pStyle w:val="2"/>
        <w:rPr>
          <w:rFonts w:eastAsia="黑体"/>
          <w:sz w:val="32"/>
          <w:szCs w:val="32"/>
        </w:rPr>
      </w:pPr>
      <w:r>
        <w:rPr>
          <w:rFonts w:eastAsia="黑体"/>
          <w:sz w:val="32"/>
          <w:szCs w:val="32"/>
        </w:rPr>
        <w:t>附件1</w:t>
      </w:r>
    </w:p>
    <w:p>
      <w:pPr>
        <w:pStyle w:val="2"/>
      </w:pPr>
    </w:p>
    <w:p>
      <w:pPr>
        <w:pStyle w:val="2"/>
        <w:spacing w:line="640" w:lineRule="exact"/>
        <w:jc w:val="center"/>
        <w:rPr>
          <w:rFonts w:eastAsia="方正小标宋_GBK"/>
          <w:sz w:val="44"/>
          <w:szCs w:val="44"/>
        </w:rPr>
      </w:pPr>
      <w:r>
        <w:rPr>
          <w:rFonts w:eastAsia="方正小标宋_GBK"/>
          <w:sz w:val="44"/>
          <w:szCs w:val="44"/>
        </w:rPr>
        <w:t>盐边县财政局</w:t>
      </w:r>
    </w:p>
    <w:p>
      <w:pPr>
        <w:pStyle w:val="2"/>
        <w:spacing w:line="640" w:lineRule="exact"/>
        <w:jc w:val="center"/>
        <w:rPr>
          <w:rFonts w:eastAsia="方正小标宋_GBK"/>
          <w:sz w:val="44"/>
          <w:szCs w:val="44"/>
        </w:rPr>
      </w:pPr>
      <w:r>
        <w:rPr>
          <w:rFonts w:eastAsia="方正小标宋_GBK"/>
          <w:sz w:val="44"/>
          <w:szCs w:val="44"/>
        </w:rPr>
        <w:t>2020年部门预算整体支出绩效自评报告</w:t>
      </w:r>
    </w:p>
    <w:p>
      <w:pPr>
        <w:pStyle w:val="2"/>
      </w:pPr>
    </w:p>
    <w:p>
      <w:pPr>
        <w:pStyle w:val="2"/>
        <w:spacing w:line="560" w:lineRule="exact"/>
        <w:ind w:firstLine="640" w:firstLineChars="200"/>
        <w:rPr>
          <w:rFonts w:eastAsia="黑体"/>
          <w:sz w:val="32"/>
          <w:szCs w:val="32"/>
        </w:rPr>
      </w:pPr>
      <w:r>
        <w:rPr>
          <w:rFonts w:eastAsia="黑体"/>
          <w:sz w:val="32"/>
          <w:szCs w:val="32"/>
        </w:rPr>
        <w:t>一、部门（单位）概况</w:t>
      </w:r>
    </w:p>
    <w:p>
      <w:pPr>
        <w:pStyle w:val="2"/>
        <w:spacing w:line="560" w:lineRule="exact"/>
        <w:ind w:firstLine="640" w:firstLineChars="200"/>
        <w:rPr>
          <w:rFonts w:eastAsia="楷体_GB2312"/>
          <w:sz w:val="32"/>
          <w:szCs w:val="32"/>
        </w:rPr>
      </w:pPr>
      <w:r>
        <w:rPr>
          <w:rFonts w:eastAsia="楷体_GB2312"/>
          <w:sz w:val="32"/>
          <w:szCs w:val="32"/>
        </w:rPr>
        <w:t>（一）机构组成。</w:t>
      </w:r>
    </w:p>
    <w:p>
      <w:pPr>
        <w:pStyle w:val="2"/>
        <w:spacing w:line="560" w:lineRule="exact"/>
        <w:ind w:firstLine="640" w:firstLineChars="200"/>
        <w:rPr>
          <w:rFonts w:eastAsia="仿宋_GB2312"/>
          <w:sz w:val="32"/>
          <w:szCs w:val="32"/>
        </w:rPr>
      </w:pPr>
      <w:r>
        <w:rPr>
          <w:rFonts w:eastAsia="仿宋_GB2312"/>
          <w:sz w:val="32"/>
          <w:szCs w:val="32"/>
        </w:rPr>
        <w:t>盐边县财政局下属非独立核算单位4个，其中其他事业单位4个。主要包括：盐边县国有资产投资服务中心、盐边县财政收费票据中心、盐边县财政投资评审中心，盐边县安宁河流域开发世界银行贷款事务中心。</w:t>
      </w:r>
    </w:p>
    <w:p>
      <w:pPr>
        <w:pStyle w:val="2"/>
        <w:spacing w:line="560" w:lineRule="exact"/>
        <w:ind w:firstLine="640" w:firstLineChars="200"/>
        <w:rPr>
          <w:rFonts w:eastAsia="楷体_GB2312"/>
          <w:sz w:val="32"/>
          <w:szCs w:val="32"/>
        </w:rPr>
      </w:pPr>
      <w:r>
        <w:rPr>
          <w:rFonts w:eastAsia="楷体_GB2312"/>
          <w:sz w:val="32"/>
          <w:szCs w:val="32"/>
        </w:rPr>
        <w:t>（二）机构职能。</w:t>
      </w:r>
    </w:p>
    <w:p>
      <w:pPr>
        <w:pStyle w:val="2"/>
        <w:spacing w:line="560" w:lineRule="exact"/>
        <w:ind w:firstLine="640" w:firstLineChars="200"/>
        <w:rPr>
          <w:rFonts w:eastAsia="仿宋_GB2312"/>
          <w:sz w:val="32"/>
          <w:szCs w:val="32"/>
        </w:rPr>
      </w:pPr>
      <w:r>
        <w:rPr>
          <w:rFonts w:eastAsia="仿宋_GB2312"/>
          <w:sz w:val="32"/>
          <w:szCs w:val="32"/>
        </w:rPr>
        <w:t>1.拟订全县财税发展战略、规划、政策和改革方案并组织实施。分析预测宏观经济形势，参与制定各项经济政策，提出运用财税政策实施宏观调控和综合平衡社会财力的建议。拟订县与乡（镇）政府、政府与企业的分配政策，完善鼓励公益事业发展的财税政策。</w:t>
      </w:r>
    </w:p>
    <w:p>
      <w:pPr>
        <w:pStyle w:val="2"/>
        <w:spacing w:line="560" w:lineRule="exact"/>
        <w:ind w:firstLine="640" w:firstLineChars="200"/>
        <w:rPr>
          <w:rFonts w:eastAsia="仿宋_GB2312"/>
          <w:sz w:val="32"/>
          <w:szCs w:val="32"/>
        </w:rPr>
      </w:pPr>
      <w:r>
        <w:rPr>
          <w:rFonts w:eastAsia="仿宋_GB2312"/>
          <w:sz w:val="32"/>
          <w:szCs w:val="32"/>
        </w:rPr>
        <w:t>2.贯彻执行财政、税收、财务、会计管理的法律法规和规章。负责组织起草地方性财政政策、规范性文件和规章制度并组织实施。按照管理权限管理全县税政事项。承办国务院关税税则委员会办公室要求县一级承担的工作。</w:t>
      </w:r>
    </w:p>
    <w:p>
      <w:pPr>
        <w:pStyle w:val="2"/>
        <w:spacing w:line="560" w:lineRule="exact"/>
        <w:ind w:firstLine="640" w:firstLineChars="200"/>
        <w:rPr>
          <w:rFonts w:eastAsia="仿宋_GB2312"/>
          <w:sz w:val="32"/>
          <w:szCs w:val="32"/>
        </w:rPr>
      </w:pPr>
      <w:r>
        <w:rPr>
          <w:rFonts w:eastAsia="仿宋_GB2312"/>
          <w:sz w:val="32"/>
          <w:szCs w:val="32"/>
        </w:rPr>
        <w:t>3.负责管理各项财政收支。编制年度县级预决算草案并组织执行。组织制定经费开支标准、定额，审核批复部门（单位）年度预决算。受县政府委托，向县人大及其常委会报告财政预算、执行和决算等情况。负责政府投资基金县级财政出资的资产管理。负责县级预决算公开。负责全面实施预算绩效管理。</w:t>
      </w:r>
    </w:p>
    <w:p>
      <w:pPr>
        <w:pStyle w:val="2"/>
        <w:spacing w:line="560" w:lineRule="exact"/>
        <w:ind w:firstLine="640" w:firstLineChars="200"/>
        <w:rPr>
          <w:rFonts w:eastAsia="仿宋_GB2312"/>
          <w:sz w:val="32"/>
          <w:szCs w:val="32"/>
        </w:rPr>
      </w:pPr>
      <w:r>
        <w:rPr>
          <w:rFonts w:eastAsia="仿宋_GB2312"/>
          <w:sz w:val="32"/>
          <w:szCs w:val="32"/>
        </w:rPr>
        <w:t>4.按分工负责政府非税收入管理。负责政府性基金管理，按规定管理行政事业性收费等其他非税收入。管理财政票据。贯彻执行彩票管理政策，监管彩票市场，按规定管理彩票资金。</w:t>
      </w:r>
    </w:p>
    <w:p>
      <w:pPr>
        <w:pStyle w:val="2"/>
        <w:spacing w:line="560" w:lineRule="exact"/>
        <w:ind w:firstLine="640" w:firstLineChars="200"/>
        <w:rPr>
          <w:rFonts w:eastAsia="仿宋_GB2312"/>
          <w:sz w:val="32"/>
          <w:szCs w:val="32"/>
        </w:rPr>
      </w:pPr>
      <w:r>
        <w:rPr>
          <w:rFonts w:eastAsia="仿宋_GB2312"/>
          <w:sz w:val="32"/>
          <w:szCs w:val="32"/>
        </w:rPr>
        <w:t>5.组织制定全县国库管理制度、国库集中收付制度，指导和监督国库业务，开展国库现金管理工作。贯彻执行政府财务报告编制办法并组织实施。监督管理全县政府采购工作。</w:t>
      </w:r>
    </w:p>
    <w:p>
      <w:pPr>
        <w:pStyle w:val="2"/>
        <w:spacing w:line="560" w:lineRule="exact"/>
        <w:ind w:firstLine="640" w:firstLineChars="200"/>
        <w:rPr>
          <w:rFonts w:eastAsia="仿宋_GB2312"/>
          <w:sz w:val="32"/>
          <w:szCs w:val="32"/>
        </w:rPr>
      </w:pPr>
      <w:r>
        <w:rPr>
          <w:rFonts w:eastAsia="仿宋_GB2312"/>
          <w:sz w:val="32"/>
          <w:szCs w:val="32"/>
        </w:rPr>
        <w:t xml:space="preserve">6.贯彻执行地方政府债务管理制度和政策，制定具体管理办法，编制地方政府债余额限额计划，统一管理政府外债，防范财政风险。                   </w:t>
      </w:r>
    </w:p>
    <w:p>
      <w:pPr>
        <w:pStyle w:val="2"/>
        <w:spacing w:line="560" w:lineRule="exact"/>
        <w:ind w:firstLine="640" w:firstLineChars="200"/>
        <w:rPr>
          <w:rFonts w:eastAsia="仿宋_GB2312"/>
          <w:sz w:val="32"/>
          <w:szCs w:val="32"/>
        </w:rPr>
      </w:pPr>
      <w:r>
        <w:rPr>
          <w:rFonts w:eastAsia="仿宋_GB2312"/>
          <w:sz w:val="32"/>
          <w:szCs w:val="32"/>
        </w:rPr>
        <w:t>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负责县属国有企业监督管理。</w:t>
      </w:r>
    </w:p>
    <w:p>
      <w:pPr>
        <w:pStyle w:val="2"/>
        <w:spacing w:line="560" w:lineRule="exact"/>
        <w:ind w:firstLine="640" w:firstLineChars="200"/>
        <w:rPr>
          <w:rFonts w:eastAsia="仿宋_GB2312"/>
          <w:sz w:val="32"/>
          <w:szCs w:val="32"/>
        </w:rPr>
      </w:pPr>
      <w:r>
        <w:rPr>
          <w:rFonts w:eastAsia="仿宋_GB2312"/>
          <w:sz w:val="32"/>
          <w:szCs w:val="32"/>
        </w:rPr>
        <w:t>8.负责审核并汇总编制全县国有资本经营预决算草案。制定国有资本经营预算制度和办法，收取县本级企业国有资本收益。组织实施企业财务制度，负责财政预算内行政事业单位和社会团体的非贸易外汇和财政预算内的国际收支管理。</w:t>
      </w:r>
    </w:p>
    <w:p>
      <w:pPr>
        <w:pStyle w:val="2"/>
        <w:spacing w:line="560" w:lineRule="exact"/>
        <w:ind w:firstLine="640" w:firstLineChars="200"/>
        <w:rPr>
          <w:rFonts w:eastAsia="仿宋_GB2312"/>
          <w:sz w:val="32"/>
          <w:szCs w:val="32"/>
        </w:rPr>
      </w:pPr>
      <w:r>
        <w:rPr>
          <w:rFonts w:eastAsia="仿宋_GB2312"/>
          <w:sz w:val="32"/>
          <w:szCs w:val="32"/>
        </w:rPr>
        <w:t>9.负责审核并汇总编制全县社会保险基金预决算草案，会同有关部门拟订有关资金（基金）财务管理制度，承担社会保险基金财政监管工作。</w:t>
      </w:r>
    </w:p>
    <w:p>
      <w:pPr>
        <w:pStyle w:val="2"/>
        <w:spacing w:line="560" w:lineRule="exact"/>
        <w:ind w:firstLine="640" w:firstLineChars="200"/>
        <w:rPr>
          <w:rFonts w:eastAsia="仿宋_GB2312"/>
          <w:sz w:val="32"/>
          <w:szCs w:val="32"/>
        </w:rPr>
      </w:pPr>
      <w:r>
        <w:rPr>
          <w:rFonts w:eastAsia="仿宋_GB2312"/>
          <w:sz w:val="32"/>
          <w:szCs w:val="32"/>
        </w:rPr>
        <w:t>10.负责办理和监督县级财政的经济发展支出、县级政府性投资项目的财政拨款，负责投资评审管理工作，参与拟订县级基建投资有关政策，制定基建财务管理制度。负责政府性投资项目竣工决算、结算管理工作。</w:t>
      </w:r>
    </w:p>
    <w:p>
      <w:pPr>
        <w:pStyle w:val="2"/>
        <w:spacing w:line="560" w:lineRule="exact"/>
        <w:ind w:firstLine="640" w:firstLineChars="200"/>
        <w:rPr>
          <w:rFonts w:eastAsia="仿宋_GB2312"/>
          <w:sz w:val="32"/>
          <w:szCs w:val="32"/>
        </w:rPr>
      </w:pPr>
      <w:r>
        <w:rPr>
          <w:rFonts w:eastAsia="仿宋_GB2312"/>
          <w:sz w:val="32"/>
          <w:szCs w:val="32"/>
        </w:rPr>
        <w:t>11.管理外国政府和国际金融机构贷（赠）款项目的有关业务，参与财经领域的国际交流与合作。</w:t>
      </w:r>
    </w:p>
    <w:p>
      <w:pPr>
        <w:pStyle w:val="2"/>
        <w:spacing w:line="560" w:lineRule="exact"/>
        <w:ind w:firstLine="640" w:firstLineChars="200"/>
        <w:rPr>
          <w:rFonts w:eastAsia="仿宋_GB2312"/>
          <w:sz w:val="32"/>
          <w:szCs w:val="32"/>
        </w:rPr>
      </w:pPr>
      <w:r>
        <w:rPr>
          <w:rFonts w:eastAsia="仿宋_GB2312"/>
          <w:sz w:val="32"/>
          <w:szCs w:val="32"/>
        </w:rPr>
        <w:t>12.负责管理全县会计工作，监督和规范会计行为，组织实施国家统一的会计制度，指导社会审计。依法管理资产评估有关工作。</w:t>
      </w:r>
    </w:p>
    <w:p>
      <w:pPr>
        <w:pStyle w:val="2"/>
        <w:spacing w:line="560" w:lineRule="exact"/>
        <w:ind w:firstLine="640" w:firstLineChars="200"/>
        <w:rPr>
          <w:rFonts w:eastAsia="仿宋_GB2312"/>
          <w:sz w:val="32"/>
          <w:szCs w:val="32"/>
        </w:rPr>
      </w:pPr>
      <w:r>
        <w:rPr>
          <w:rFonts w:eastAsia="仿宋_GB2312"/>
          <w:sz w:val="32"/>
          <w:szCs w:val="32"/>
        </w:rPr>
        <w:t>13.拟定和执行国有资产管理的政策法规、规章制度和管理办法；负责全县行政事业单位国有资产及国有资产经营收益管理工作；组织实施行政事业单位国有资产及县属国有企业资产的清产核资和绩效评价工作；组织实施县级行政事业单位及国有企业产权界定、企业国有资产产权界定和转让工作，监缴国有资产收益；负责国有资产及县属国有企业资产的统计、分析；指导和监督行政事业单位、县属国有企业资产的产权界定、清查登记等工作；指导和监督办理执行《企业财务通则》和相关财务会计制度，参与拟定企业国有资产管理相关制度；负责所监管的经营性事业单位转企改制工作。</w:t>
      </w:r>
    </w:p>
    <w:p>
      <w:pPr>
        <w:pStyle w:val="2"/>
        <w:spacing w:line="560" w:lineRule="exact"/>
        <w:ind w:firstLine="640" w:firstLineChars="200"/>
        <w:rPr>
          <w:rFonts w:eastAsia="仿宋_GB2312"/>
          <w:sz w:val="32"/>
          <w:szCs w:val="32"/>
        </w:rPr>
      </w:pPr>
      <w:r>
        <w:rPr>
          <w:rFonts w:eastAsia="仿宋_GB2312"/>
          <w:sz w:val="32"/>
          <w:szCs w:val="32"/>
        </w:rPr>
        <w:t>14.会同有关部门拟订地方金融政策措施。拟订全县金融业发展的中长期规划并组织实施；负责联系协调全县金融机构，推动地方政府与金融机构合作交流，防控金融风险、深化金融改革；会同有关部门推进地方金融业规范发展，组建、培育、壮大地方法人金融机构；统筹推进全县企业直接融资工作，统筹全市地方金融要素市场体系建设，参与全县投融资体制改革工作；负责全县小额贷款公司、融资担保公司、典当行、融资租赁公司等监管；负责地方金融机构和金融中介机构的行业管理和服务，促进金融中介服务业发展，参与拟订促进与金融业密切相关的中介服务机构发展的政策、规划并配合有关部门实施；维护地方金融秩序，牵头会同有关部门防范、化解和处置地方金融风险；牵头处置非法集资、协调配合有关部门打击其他非法金融活动；推进全县金融知识宣传普及工作。</w:t>
      </w:r>
    </w:p>
    <w:p>
      <w:pPr>
        <w:pStyle w:val="2"/>
        <w:spacing w:line="560" w:lineRule="exact"/>
        <w:ind w:firstLine="640" w:firstLineChars="200"/>
        <w:rPr>
          <w:rFonts w:eastAsia="仿宋_GB2312"/>
          <w:sz w:val="32"/>
          <w:szCs w:val="32"/>
        </w:rPr>
      </w:pPr>
      <w:r>
        <w:rPr>
          <w:rFonts w:eastAsia="仿宋_GB2312"/>
          <w:sz w:val="32"/>
          <w:szCs w:val="32"/>
        </w:rPr>
        <w:t>15.负责职责范围内的安全生产和职业健康、生态环境保护、审批服务便民化等工作。</w:t>
      </w:r>
    </w:p>
    <w:p>
      <w:pPr>
        <w:pStyle w:val="2"/>
        <w:spacing w:line="560" w:lineRule="exact"/>
        <w:ind w:firstLine="640" w:firstLineChars="200"/>
        <w:rPr>
          <w:rFonts w:eastAsia="仿宋_GB2312"/>
          <w:sz w:val="32"/>
          <w:szCs w:val="32"/>
        </w:rPr>
      </w:pPr>
      <w:r>
        <w:rPr>
          <w:rFonts w:eastAsia="仿宋_GB2312"/>
          <w:sz w:val="32"/>
          <w:szCs w:val="32"/>
        </w:rPr>
        <w:t>16.完成县委、县政府交办的其他任务。</w:t>
      </w:r>
    </w:p>
    <w:p>
      <w:pPr>
        <w:pStyle w:val="2"/>
        <w:spacing w:line="560" w:lineRule="exact"/>
        <w:ind w:firstLine="640" w:firstLineChars="200"/>
        <w:rPr>
          <w:rFonts w:eastAsia="仿宋_GB2312"/>
          <w:sz w:val="32"/>
          <w:szCs w:val="32"/>
        </w:rPr>
      </w:pPr>
      <w:r>
        <w:rPr>
          <w:rFonts w:eastAsia="仿宋_GB2312"/>
          <w:sz w:val="32"/>
          <w:szCs w:val="32"/>
        </w:rPr>
        <w:t>17.职能转变。</w:t>
      </w:r>
    </w:p>
    <w:p>
      <w:pPr>
        <w:pStyle w:val="2"/>
        <w:spacing w:line="560" w:lineRule="exact"/>
        <w:ind w:firstLine="640" w:firstLineChars="200"/>
        <w:rPr>
          <w:rFonts w:eastAsia="仿宋_GB2312"/>
          <w:sz w:val="32"/>
          <w:szCs w:val="32"/>
        </w:rPr>
      </w:pPr>
      <w:r>
        <w:rPr>
          <w:rFonts w:eastAsia="仿宋_GB2312"/>
          <w:sz w:val="32"/>
          <w:szCs w:val="32"/>
        </w:rPr>
        <w:t>（1）完善宏观调控体系，创新调控方式，构建发展规划、财政、金融等政策协调和工作协同机制，强化经济监测预测预警能力，建立健全重大问题研究和政策储备工作机制，增强宏观调控前瞻性、针对性、协同性。</w:t>
      </w:r>
    </w:p>
    <w:p>
      <w:pPr>
        <w:pStyle w:val="2"/>
        <w:spacing w:line="560" w:lineRule="exact"/>
        <w:ind w:firstLine="640" w:firstLineChars="200"/>
        <w:rPr>
          <w:rFonts w:eastAsia="仿宋_GB2312"/>
          <w:sz w:val="32"/>
          <w:szCs w:val="32"/>
        </w:rPr>
      </w:pPr>
      <w:r>
        <w:rPr>
          <w:rFonts w:eastAsia="仿宋_GB2312"/>
          <w:sz w:val="32"/>
          <w:szCs w:val="32"/>
        </w:rPr>
        <w:t>（2）深化财税体制改革。加快建立现代财政制度，推进财政事权和支出责任划分改革，理顺县与乡（镇）收入划分，建立权责清晰、财力协调、区域均衡的县以下政府间财政关系。完善转移支付制度，优化转移支付分类，规范转移支付项目，增强地方统筹能力。逐步统一预算分配，全面实施绩效管理，建立全面规范透明、标准科学、约束有力的预算制度。全面推行政府性基金和行政事业性收费清单管理，完善监督制度。深化税收制度改革，健全地方税体系，逐步提高直接税比重，推动形成税法统一、税负公平、调节有度的税收制度体系。</w:t>
      </w:r>
    </w:p>
    <w:p>
      <w:pPr>
        <w:pStyle w:val="2"/>
        <w:spacing w:line="560" w:lineRule="exact"/>
        <w:ind w:firstLine="640" w:firstLineChars="200"/>
        <w:rPr>
          <w:rFonts w:eastAsia="仿宋_GB2312"/>
          <w:sz w:val="32"/>
          <w:szCs w:val="32"/>
        </w:rPr>
      </w:pPr>
      <w:r>
        <w:rPr>
          <w:rFonts w:eastAsia="仿宋_GB2312"/>
          <w:sz w:val="32"/>
          <w:szCs w:val="32"/>
        </w:rPr>
        <w:t>（3）防范化解地方政府债务风险。规范举债融资机制，构建“闭环”管理体系，严控法定限额内债务风险，着力防控隐性债务风险，牢牢守住不发生系统性风险的底线。</w:t>
      </w:r>
    </w:p>
    <w:p>
      <w:pPr>
        <w:pStyle w:val="2"/>
        <w:spacing w:line="560" w:lineRule="exact"/>
        <w:ind w:firstLine="640" w:firstLineChars="200"/>
        <w:rPr>
          <w:rFonts w:eastAsia="仿宋_GB2312"/>
          <w:sz w:val="32"/>
          <w:szCs w:val="32"/>
        </w:rPr>
      </w:pPr>
      <w:r>
        <w:rPr>
          <w:rFonts w:eastAsia="仿宋_GB2312"/>
          <w:sz w:val="32"/>
          <w:szCs w:val="32"/>
        </w:rPr>
        <w:t>18.有关职责分工。</w:t>
      </w:r>
    </w:p>
    <w:p>
      <w:pPr>
        <w:pStyle w:val="2"/>
        <w:spacing w:line="560" w:lineRule="exact"/>
        <w:ind w:firstLine="640" w:firstLineChars="200"/>
        <w:rPr>
          <w:rFonts w:eastAsia="仿宋_GB2312"/>
          <w:sz w:val="32"/>
          <w:szCs w:val="32"/>
        </w:rPr>
      </w:pPr>
      <w:r>
        <w:rPr>
          <w:rFonts w:eastAsia="仿宋_GB2312"/>
          <w:sz w:val="32"/>
          <w:szCs w:val="32"/>
        </w:rPr>
        <w:t>（1）税政管理职责分工。县财政局负责提出税收政策建议，与县税务局共同上报和下发。参与提出关税政策建议。</w:t>
      </w:r>
    </w:p>
    <w:p>
      <w:pPr>
        <w:pStyle w:val="2"/>
        <w:spacing w:line="560" w:lineRule="exact"/>
        <w:ind w:firstLine="640" w:firstLineChars="200"/>
        <w:rPr>
          <w:rFonts w:eastAsia="仿宋_GB2312"/>
          <w:sz w:val="32"/>
          <w:szCs w:val="32"/>
        </w:rPr>
      </w:pPr>
      <w:r>
        <w:rPr>
          <w:rFonts w:eastAsia="仿宋_GB2312"/>
          <w:sz w:val="32"/>
          <w:szCs w:val="32"/>
        </w:rPr>
        <w:t>（2）非税收入管理职责分工。县财政局贯彻落实非税收入国库集中收缴制度，负责非税收入账户、收缴方式、退付退库等管理。县税务局等部门按照非税收入国库集中收缴等有关规定，负责做好非税收入申报征收、会统核算、缴费检查、欠费追缴和违法处罚等工作，有关非税收入项目收缴信息与县财政局及时共享。</w:t>
      </w:r>
    </w:p>
    <w:p>
      <w:pPr>
        <w:pStyle w:val="2"/>
        <w:spacing w:line="560" w:lineRule="exact"/>
        <w:ind w:firstLine="640" w:firstLineChars="200"/>
        <w:rPr>
          <w:rFonts w:eastAsia="仿宋_GB2312"/>
          <w:sz w:val="32"/>
          <w:szCs w:val="32"/>
        </w:rPr>
      </w:pPr>
      <w:r>
        <w:rPr>
          <w:rFonts w:eastAsia="仿宋_GB2312"/>
          <w:sz w:val="32"/>
          <w:szCs w:val="32"/>
        </w:rPr>
        <w:t xml:space="preserve">（3）县级行政事业单位国有资产管理职责分工。县财政局负责制定行政事业单位国有资产管理制度，并负责组织实施和监督检查。会同县政府办（县机关事务管理局）负责县级行政事业单位国有资产管理。县政府办（县机关事务管理局）负责制定县级行政事业单位国有资产管理具体制度和办法并组织实施，承担产权界定、清查登记、资产处置等工作，接受县财政局的指导和监督检查。县级行政事业单位具体承担所属事业单位及派出机构的国有资产管理工作。 </w:t>
      </w:r>
    </w:p>
    <w:p>
      <w:pPr>
        <w:pStyle w:val="2"/>
        <w:spacing w:line="560" w:lineRule="exact"/>
        <w:ind w:firstLine="640" w:firstLineChars="200"/>
        <w:rPr>
          <w:rFonts w:eastAsia="仿宋_GB2312"/>
          <w:sz w:val="32"/>
          <w:szCs w:val="32"/>
        </w:rPr>
      </w:pPr>
      <w:r>
        <w:rPr>
          <w:rFonts w:eastAsia="仿宋_GB2312"/>
          <w:sz w:val="32"/>
          <w:szCs w:val="32"/>
        </w:rPr>
        <w:t>（4）各类投资基金管理职责分工。县发展改革局负责指导相关部门推动政府出资产业投资基金行业信用体系建设，配合有关部门贯彻执行促进私募股权基金发展的政策措施。县财政局负责地方国有金融资本管理工作，会同县发展改革局及县级行业部门负责财政性资金出资发起设立或参股设立的股权投资基金管理。县财政局参与指导各类投资基金规范发展。</w:t>
      </w:r>
    </w:p>
    <w:p>
      <w:pPr>
        <w:pStyle w:val="2"/>
        <w:spacing w:line="560" w:lineRule="exact"/>
        <w:ind w:firstLine="640" w:firstLineChars="200"/>
        <w:rPr>
          <w:rFonts w:eastAsia="楷体_GB2312"/>
          <w:sz w:val="32"/>
          <w:szCs w:val="32"/>
        </w:rPr>
      </w:pPr>
      <w:r>
        <w:rPr>
          <w:rFonts w:eastAsia="楷体_GB2312"/>
          <w:sz w:val="32"/>
          <w:szCs w:val="32"/>
        </w:rPr>
        <w:t>（三）人员概况。</w:t>
      </w:r>
    </w:p>
    <w:p>
      <w:pPr>
        <w:pStyle w:val="2"/>
        <w:spacing w:line="560" w:lineRule="exact"/>
        <w:ind w:firstLine="640" w:firstLineChars="200"/>
        <w:rPr>
          <w:rFonts w:eastAsia="仿宋_GB2312"/>
          <w:sz w:val="32"/>
          <w:szCs w:val="32"/>
        </w:rPr>
      </w:pPr>
      <w:r>
        <w:rPr>
          <w:rFonts w:eastAsia="仿宋_GB2312"/>
          <w:sz w:val="32"/>
          <w:szCs w:val="32"/>
        </w:rPr>
        <w:t>2020年末在职人员33人，其中行政在编人员17人，行政工勤人员3人，事业在编人员13人，退休人员21人。</w:t>
      </w:r>
    </w:p>
    <w:p>
      <w:pPr>
        <w:pStyle w:val="2"/>
        <w:spacing w:line="560" w:lineRule="exact"/>
        <w:ind w:firstLine="640" w:firstLineChars="200"/>
        <w:rPr>
          <w:rFonts w:eastAsia="黑体"/>
          <w:sz w:val="32"/>
          <w:szCs w:val="32"/>
        </w:rPr>
      </w:pPr>
      <w:r>
        <w:rPr>
          <w:rFonts w:eastAsia="黑体"/>
          <w:sz w:val="32"/>
          <w:szCs w:val="32"/>
        </w:rPr>
        <w:t>二、部门财政资金收支情况</w:t>
      </w:r>
    </w:p>
    <w:p>
      <w:pPr>
        <w:pStyle w:val="2"/>
        <w:spacing w:line="560" w:lineRule="exact"/>
        <w:ind w:firstLine="640" w:firstLineChars="200"/>
        <w:rPr>
          <w:rFonts w:eastAsia="楷体_GB2312"/>
          <w:sz w:val="32"/>
          <w:szCs w:val="32"/>
        </w:rPr>
      </w:pPr>
      <w:r>
        <w:rPr>
          <w:rFonts w:eastAsia="楷体_GB2312"/>
          <w:sz w:val="32"/>
          <w:szCs w:val="32"/>
        </w:rPr>
        <w:t>（一）部门财政资金收入情况。</w:t>
      </w:r>
    </w:p>
    <w:p>
      <w:pPr>
        <w:pStyle w:val="2"/>
        <w:spacing w:line="560" w:lineRule="exact"/>
        <w:ind w:firstLine="640" w:firstLineChars="200"/>
        <w:rPr>
          <w:rFonts w:eastAsia="仿宋_GB2312"/>
          <w:sz w:val="32"/>
          <w:szCs w:val="32"/>
        </w:rPr>
      </w:pPr>
      <w:r>
        <w:rPr>
          <w:rFonts w:eastAsia="仿宋_GB2312"/>
          <w:sz w:val="32"/>
          <w:szCs w:val="32"/>
        </w:rPr>
        <w:t>2020年本年收入合计998.86万元，其中：一般公共预算财政拨款收入998.86万元，占100%；政府性基金预算财政拨款收入0万元，占0%；上级补助收入0万元，占0%；事业收入0万元，占0%；经营收入0万元，占0%；附属单位上缴收入0万元，占0%；其他收入0万元，占0%。</w:t>
      </w:r>
    </w:p>
    <w:p>
      <w:pPr>
        <w:pStyle w:val="2"/>
        <w:spacing w:line="560" w:lineRule="exact"/>
        <w:ind w:firstLine="640" w:firstLineChars="200"/>
        <w:rPr>
          <w:rFonts w:eastAsia="楷体_GB2312"/>
          <w:sz w:val="32"/>
          <w:szCs w:val="32"/>
        </w:rPr>
      </w:pPr>
      <w:r>
        <w:rPr>
          <w:rFonts w:eastAsia="楷体_GB2312"/>
          <w:sz w:val="32"/>
          <w:szCs w:val="32"/>
        </w:rPr>
        <w:t>（二）部门财政资金支出情况。</w:t>
      </w:r>
    </w:p>
    <w:p>
      <w:pPr>
        <w:pStyle w:val="2"/>
        <w:spacing w:line="560" w:lineRule="exact"/>
        <w:ind w:firstLine="640" w:firstLineChars="200"/>
        <w:rPr>
          <w:rFonts w:eastAsia="仿宋_GB2312"/>
          <w:sz w:val="32"/>
          <w:szCs w:val="32"/>
        </w:rPr>
      </w:pPr>
      <w:r>
        <w:rPr>
          <w:rFonts w:eastAsia="仿宋_GB2312"/>
          <w:sz w:val="32"/>
          <w:szCs w:val="32"/>
        </w:rPr>
        <w:t>2020年财政资金支出998.86万元，主要用于以下方面:一般公共服务（类）支出877.00万元，占87.80%；社会保障和就业（类）支出62.38万元，占6.25%；卫生健康支出（类）支出1万元，占0.1%；农林水支出（类）支出2万元，占0.2%；住房保障支出（类）56.48万元，占5.65%。</w:t>
      </w:r>
    </w:p>
    <w:p>
      <w:pPr>
        <w:pStyle w:val="2"/>
        <w:spacing w:line="560" w:lineRule="exact"/>
        <w:ind w:firstLine="640" w:firstLineChars="200"/>
        <w:rPr>
          <w:rFonts w:eastAsia="黑体"/>
          <w:sz w:val="32"/>
          <w:szCs w:val="32"/>
        </w:rPr>
      </w:pPr>
      <w:r>
        <w:rPr>
          <w:rFonts w:eastAsia="黑体"/>
          <w:sz w:val="32"/>
          <w:szCs w:val="32"/>
        </w:rPr>
        <w:t>三、部门整体预算绩效管理情况</w:t>
      </w:r>
    </w:p>
    <w:p>
      <w:pPr>
        <w:pStyle w:val="2"/>
        <w:spacing w:line="560" w:lineRule="exact"/>
        <w:ind w:firstLine="640" w:firstLineChars="200"/>
        <w:rPr>
          <w:rFonts w:eastAsia="楷体_GB2312"/>
          <w:sz w:val="32"/>
          <w:szCs w:val="32"/>
        </w:rPr>
      </w:pPr>
      <w:r>
        <w:rPr>
          <w:rFonts w:eastAsia="楷体_GB2312"/>
          <w:sz w:val="32"/>
          <w:szCs w:val="32"/>
        </w:rPr>
        <w:t>（一）部门预算管理。</w:t>
      </w:r>
    </w:p>
    <w:p>
      <w:pPr>
        <w:pStyle w:val="2"/>
        <w:spacing w:line="560" w:lineRule="exact"/>
        <w:ind w:firstLine="640" w:firstLineChars="200"/>
        <w:rPr>
          <w:rFonts w:eastAsia="仿宋_GB2312"/>
          <w:sz w:val="32"/>
          <w:szCs w:val="32"/>
        </w:rPr>
      </w:pPr>
      <w:r>
        <w:rPr>
          <w:rFonts w:eastAsia="仿宋_GB2312"/>
          <w:sz w:val="32"/>
          <w:szCs w:val="32"/>
        </w:rPr>
        <w:t>根据预算绩效管理要求，全面实施预算项目绩效目标管理</w:t>
      </w:r>
      <w:r>
        <w:rPr>
          <w:rFonts w:hint="eastAsia" w:eastAsia="仿宋_GB2312"/>
          <w:sz w:val="32"/>
          <w:szCs w:val="32"/>
        </w:rPr>
        <w:t>。</w:t>
      </w:r>
      <w:r>
        <w:rPr>
          <w:rFonts w:eastAsia="仿宋_GB2312"/>
          <w:sz w:val="32"/>
          <w:szCs w:val="32"/>
        </w:rPr>
        <w:t>一是加强预算编制绩效管理，对预算项目进行了预算事前绩效评估和明细的资金测算，设置了绩效目标，强化项目绩效目标管理。二是积极推进项目绩效评价，在预算执行过程中，对项目开展绩效监控，年终执行完毕后，对项目开展了绩效目标完成情况梳理填报。</w:t>
      </w:r>
      <w:r>
        <w:rPr>
          <w:rFonts w:hint="eastAsia" w:eastAsia="仿宋_GB2312"/>
          <w:sz w:val="32"/>
          <w:szCs w:val="32"/>
        </w:rPr>
        <w:t>强化</w:t>
      </w:r>
      <w:r>
        <w:rPr>
          <w:rFonts w:eastAsia="仿宋_GB2312"/>
          <w:sz w:val="32"/>
          <w:szCs w:val="32"/>
        </w:rPr>
        <w:t>支出管理和下年度预算编制工作。</w:t>
      </w:r>
    </w:p>
    <w:p>
      <w:pPr>
        <w:pStyle w:val="2"/>
        <w:spacing w:line="560" w:lineRule="exact"/>
        <w:ind w:firstLine="640" w:firstLineChars="200"/>
        <w:rPr>
          <w:rFonts w:eastAsia="仿宋_GB2312"/>
          <w:sz w:val="32"/>
          <w:szCs w:val="32"/>
        </w:rPr>
      </w:pPr>
      <w:r>
        <w:rPr>
          <w:rFonts w:eastAsia="仿宋_GB2312"/>
          <w:sz w:val="32"/>
          <w:szCs w:val="32"/>
        </w:rPr>
        <w:t>我局按要求对2020年部门整体支出开展绩效自评，从评价情况来看，严格落实上级关于绩效管理的有关规定，年初做好预算申报，严格执行单位财务管理制度，强化支出审批、审签，各种票据齐全，符合报账要求，实现了本单位整体支出预期目标。我局还对项目资金进行了绩效评价，从评价情况来看，按计划圆满完成了各项工作目标，确保项目支出实现了经济效益、社会效益等预期目标。</w:t>
      </w:r>
    </w:p>
    <w:p>
      <w:pPr>
        <w:pStyle w:val="2"/>
        <w:spacing w:line="560" w:lineRule="exact"/>
        <w:ind w:firstLine="640" w:firstLineChars="200"/>
        <w:rPr>
          <w:rFonts w:eastAsia="楷体_GB2312"/>
          <w:sz w:val="32"/>
          <w:szCs w:val="32"/>
        </w:rPr>
      </w:pPr>
      <w:r>
        <w:rPr>
          <w:rFonts w:eastAsia="楷体_GB2312"/>
          <w:sz w:val="32"/>
          <w:szCs w:val="32"/>
        </w:rPr>
        <w:t>（二）结果应用情况。</w:t>
      </w:r>
    </w:p>
    <w:p>
      <w:pPr>
        <w:pStyle w:val="2"/>
        <w:spacing w:line="560" w:lineRule="exact"/>
        <w:ind w:firstLine="640" w:firstLineChars="200"/>
        <w:rPr>
          <w:rFonts w:eastAsia="仿宋_GB2312"/>
          <w:sz w:val="32"/>
          <w:szCs w:val="32"/>
        </w:rPr>
      </w:pPr>
      <w:r>
        <w:rPr>
          <w:rFonts w:eastAsia="仿宋_GB2312"/>
          <w:sz w:val="32"/>
          <w:szCs w:val="32"/>
        </w:rPr>
        <w:t>绩效自评工作完成后将结果在盐边县门户网站政务公开栏目进行公示。</w:t>
      </w:r>
    </w:p>
    <w:p>
      <w:pPr>
        <w:pStyle w:val="2"/>
        <w:spacing w:line="560" w:lineRule="exact"/>
        <w:ind w:firstLine="640" w:firstLineChars="200"/>
        <w:rPr>
          <w:rFonts w:eastAsia="黑体"/>
          <w:sz w:val="32"/>
          <w:szCs w:val="32"/>
        </w:rPr>
      </w:pPr>
      <w:r>
        <w:rPr>
          <w:rFonts w:eastAsia="黑体"/>
          <w:sz w:val="32"/>
          <w:szCs w:val="32"/>
        </w:rPr>
        <w:t>四、评价结论及建议</w:t>
      </w:r>
    </w:p>
    <w:p>
      <w:pPr>
        <w:pStyle w:val="2"/>
        <w:spacing w:line="560" w:lineRule="exact"/>
        <w:ind w:firstLine="640" w:firstLineChars="200"/>
        <w:rPr>
          <w:rFonts w:eastAsia="楷体_GB2312"/>
          <w:sz w:val="32"/>
          <w:szCs w:val="32"/>
        </w:rPr>
      </w:pPr>
      <w:r>
        <w:rPr>
          <w:rFonts w:eastAsia="楷体_GB2312"/>
          <w:sz w:val="32"/>
          <w:szCs w:val="32"/>
        </w:rPr>
        <w:t>（一）评价结论。</w:t>
      </w:r>
    </w:p>
    <w:p>
      <w:pPr>
        <w:pStyle w:val="2"/>
        <w:spacing w:line="560" w:lineRule="exact"/>
        <w:ind w:firstLine="640" w:firstLineChars="200"/>
        <w:rPr>
          <w:rFonts w:eastAsia="仿宋_GB2312"/>
          <w:sz w:val="32"/>
          <w:szCs w:val="32"/>
        </w:rPr>
      </w:pPr>
      <w:r>
        <w:rPr>
          <w:rFonts w:eastAsia="仿宋_GB2312"/>
          <w:sz w:val="32"/>
          <w:szCs w:val="32"/>
        </w:rPr>
        <w:t>2020年我局有较为健全的财务管理制度和内部控制制度，预决算编制和预算执行严格按照国家财经法规、预算资金管理办法、财务管理制度以及专项资金管理办法的规定执行。部门整体支出绩效良好，保障了机关正常运转和完成各项工作，项目资金拨款及时，专款专用。</w:t>
      </w:r>
    </w:p>
    <w:p>
      <w:pPr>
        <w:pStyle w:val="2"/>
        <w:spacing w:line="560" w:lineRule="exact"/>
        <w:ind w:firstLine="640" w:firstLineChars="200"/>
        <w:rPr>
          <w:rFonts w:eastAsia="楷体_GB2312"/>
          <w:sz w:val="32"/>
          <w:szCs w:val="32"/>
        </w:rPr>
      </w:pPr>
      <w:r>
        <w:rPr>
          <w:rFonts w:eastAsia="楷体_GB2312"/>
          <w:sz w:val="32"/>
          <w:szCs w:val="32"/>
        </w:rPr>
        <w:t>（二）存在问题。</w:t>
      </w:r>
    </w:p>
    <w:p>
      <w:pPr>
        <w:pStyle w:val="2"/>
        <w:spacing w:line="560" w:lineRule="exact"/>
        <w:ind w:firstLine="640" w:firstLineChars="200"/>
        <w:rPr>
          <w:rFonts w:eastAsia="仿宋_GB2312"/>
          <w:sz w:val="32"/>
          <w:szCs w:val="32"/>
        </w:rPr>
      </w:pPr>
      <w:r>
        <w:rPr>
          <w:rFonts w:eastAsia="仿宋_GB2312"/>
          <w:sz w:val="32"/>
          <w:szCs w:val="32"/>
        </w:rPr>
        <w:t>1.绩效目标设立不够明确、细化和量化。项目单位虽然设立了项目资金绩效目标，但目标不够明确、细化和量化。</w:t>
      </w:r>
    </w:p>
    <w:p>
      <w:pPr>
        <w:pStyle w:val="2"/>
        <w:spacing w:line="560" w:lineRule="exact"/>
        <w:ind w:firstLine="640" w:firstLineChars="200"/>
        <w:rPr>
          <w:rFonts w:eastAsia="仿宋_GB2312"/>
          <w:sz w:val="32"/>
          <w:szCs w:val="32"/>
        </w:rPr>
      </w:pPr>
      <w:r>
        <w:rPr>
          <w:rFonts w:eastAsia="仿宋_GB2312"/>
          <w:sz w:val="32"/>
          <w:szCs w:val="32"/>
        </w:rPr>
        <w:t>2.资金使用效益有待进一步提高。</w:t>
      </w:r>
    </w:p>
    <w:p>
      <w:pPr>
        <w:pStyle w:val="2"/>
        <w:spacing w:line="560" w:lineRule="exact"/>
        <w:ind w:firstLine="640" w:firstLineChars="200"/>
        <w:rPr>
          <w:rFonts w:eastAsia="楷体_GB2312"/>
          <w:sz w:val="32"/>
          <w:szCs w:val="32"/>
        </w:rPr>
      </w:pPr>
      <w:r>
        <w:rPr>
          <w:rFonts w:eastAsia="楷体_GB2312"/>
          <w:sz w:val="32"/>
          <w:szCs w:val="32"/>
        </w:rPr>
        <w:t>（三）改进建议。</w:t>
      </w:r>
    </w:p>
    <w:p>
      <w:pPr>
        <w:pStyle w:val="2"/>
        <w:spacing w:line="560" w:lineRule="exact"/>
        <w:ind w:firstLine="640" w:firstLineChars="200"/>
        <w:rPr>
          <w:rFonts w:eastAsia="仿宋_GB2312"/>
          <w:sz w:val="32"/>
          <w:szCs w:val="32"/>
        </w:rPr>
      </w:pPr>
      <w:r>
        <w:rPr>
          <w:rFonts w:eastAsia="仿宋_GB2312"/>
          <w:sz w:val="32"/>
          <w:szCs w:val="32"/>
        </w:rPr>
        <w:t>1.遵循预算管理办法，从严控制年中追加预算规模。对于年度无法预计的临时追加的相关工作所需经费，严格按照预算调整追加程序，逐级申报报批，有效降低预算控制率。</w:t>
      </w:r>
    </w:p>
    <w:p>
      <w:pPr>
        <w:pStyle w:val="2"/>
        <w:spacing w:line="560" w:lineRule="exact"/>
        <w:ind w:firstLine="640" w:firstLineChars="200"/>
        <w:rPr>
          <w:rFonts w:eastAsia="仿宋_GB2312"/>
          <w:sz w:val="32"/>
          <w:szCs w:val="32"/>
        </w:rPr>
      </w:pPr>
      <w:r>
        <w:rPr>
          <w:rFonts w:eastAsia="仿宋_GB2312"/>
          <w:sz w:val="32"/>
          <w:szCs w:val="32"/>
        </w:rPr>
        <w:t>2.保障预算执行进度。加快推进项目实施进度，加强项目开展进度的跟踪，开展项目绩效的跟踪和评价，确保项目绩效的完成，发挥资金的使用效益，提高预算完成率。</w:t>
      </w:r>
    </w:p>
    <w:p/>
    <w:p>
      <w:pPr>
        <w:pStyle w:val="2"/>
      </w:pPr>
    </w:p>
    <w:p/>
    <w:p>
      <w:pPr>
        <w:pStyle w:val="2"/>
      </w:pPr>
    </w:p>
    <w:p/>
    <w:p>
      <w:pPr>
        <w:pStyle w:val="2"/>
      </w:pPr>
    </w:p>
    <w:p/>
    <w:p>
      <w:pPr>
        <w:pStyle w:val="2"/>
      </w:pPr>
    </w:p>
    <w:p/>
    <w:p>
      <w:pPr>
        <w:pStyle w:val="2"/>
      </w:pPr>
    </w:p>
    <w:p/>
    <w:p/>
    <w:p>
      <w:pPr>
        <w:pStyle w:val="2"/>
      </w:pPr>
    </w:p>
    <w:p/>
    <w:p>
      <w:pPr>
        <w:pStyle w:val="2"/>
      </w:pPr>
    </w:p>
    <w:p/>
    <w:p>
      <w:pPr>
        <w:pStyle w:val="2"/>
      </w:pPr>
    </w:p>
    <w:p/>
    <w:p>
      <w:pPr>
        <w:pStyle w:val="2"/>
      </w:pPr>
    </w:p>
    <w:p>
      <w:pPr>
        <w:rPr>
          <w:rFonts w:eastAsia="黑体"/>
          <w:sz w:val="32"/>
          <w:szCs w:val="32"/>
        </w:rPr>
      </w:pPr>
      <w:r>
        <w:rPr>
          <w:rFonts w:eastAsia="黑体"/>
          <w:sz w:val="32"/>
          <w:szCs w:val="32"/>
        </w:rPr>
        <w:t>附件2</w:t>
      </w:r>
    </w:p>
    <w:p/>
    <w:p>
      <w:pPr>
        <w:spacing w:line="640" w:lineRule="exact"/>
        <w:jc w:val="center"/>
        <w:rPr>
          <w:rFonts w:eastAsia="方正小标宋_GBK"/>
          <w:sz w:val="44"/>
          <w:szCs w:val="44"/>
        </w:rPr>
      </w:pPr>
      <w:r>
        <w:rPr>
          <w:rFonts w:eastAsia="方正小标宋_GBK"/>
          <w:sz w:val="44"/>
          <w:szCs w:val="44"/>
        </w:rPr>
        <w:t>盐边县财政局</w:t>
      </w:r>
    </w:p>
    <w:p>
      <w:pPr>
        <w:spacing w:line="640" w:lineRule="exact"/>
        <w:jc w:val="center"/>
        <w:rPr>
          <w:rFonts w:eastAsia="方正小标宋_GBK"/>
          <w:sz w:val="44"/>
          <w:szCs w:val="44"/>
        </w:rPr>
      </w:pPr>
      <w:r>
        <w:rPr>
          <w:rFonts w:eastAsia="方正小标宋_GBK"/>
          <w:sz w:val="44"/>
          <w:szCs w:val="44"/>
        </w:rPr>
        <w:t>2020年项目支出绩效评价报告</w:t>
      </w:r>
    </w:p>
    <w:p/>
    <w:p>
      <w:pPr>
        <w:spacing w:line="560" w:lineRule="exact"/>
        <w:ind w:firstLine="640" w:firstLineChars="200"/>
        <w:rPr>
          <w:rFonts w:eastAsia="黑体"/>
          <w:sz w:val="32"/>
          <w:szCs w:val="32"/>
        </w:rPr>
      </w:pPr>
      <w:r>
        <w:rPr>
          <w:rFonts w:eastAsia="黑体"/>
          <w:sz w:val="32"/>
          <w:szCs w:val="32"/>
        </w:rPr>
        <w:t>一、项目概况</w:t>
      </w:r>
    </w:p>
    <w:p>
      <w:pPr>
        <w:spacing w:line="560" w:lineRule="exact"/>
        <w:ind w:firstLine="640" w:firstLineChars="200"/>
        <w:rPr>
          <w:rFonts w:eastAsia="楷体_GB2312"/>
          <w:sz w:val="32"/>
          <w:szCs w:val="32"/>
        </w:rPr>
      </w:pPr>
      <w:r>
        <w:rPr>
          <w:rFonts w:eastAsia="楷体_GB2312"/>
          <w:sz w:val="32"/>
          <w:szCs w:val="32"/>
        </w:rPr>
        <w:t>（一）项目基本情况。</w:t>
      </w:r>
    </w:p>
    <w:p>
      <w:pPr>
        <w:spacing w:line="560" w:lineRule="exact"/>
        <w:ind w:firstLine="640" w:firstLineChars="200"/>
        <w:rPr>
          <w:rFonts w:eastAsia="仿宋_GB2312"/>
          <w:sz w:val="32"/>
          <w:szCs w:val="32"/>
        </w:rPr>
      </w:pPr>
      <w:r>
        <w:rPr>
          <w:rFonts w:eastAsia="仿宋_GB2312"/>
          <w:sz w:val="32"/>
          <w:szCs w:val="32"/>
        </w:rPr>
        <w:t>县财政局纳入部门决算的项目支出10个项目，预算资金总额405.88万元，支付378.81万元，执行率93.33%。其中：工作经费49.16万元</w:t>
      </w:r>
      <w:r>
        <w:rPr>
          <w:rFonts w:hint="eastAsia" w:eastAsia="仿宋_GB2312"/>
          <w:sz w:val="32"/>
          <w:szCs w:val="32"/>
        </w:rPr>
        <w:t>，</w:t>
      </w:r>
      <w:r>
        <w:rPr>
          <w:rFonts w:eastAsia="仿宋_GB2312"/>
          <w:sz w:val="32"/>
          <w:szCs w:val="32"/>
        </w:rPr>
        <w:t>全县票据工本费6.38万元</w:t>
      </w:r>
      <w:r>
        <w:rPr>
          <w:rFonts w:hint="eastAsia" w:eastAsia="仿宋_GB2312"/>
          <w:sz w:val="32"/>
          <w:szCs w:val="32"/>
        </w:rPr>
        <w:t>，</w:t>
      </w:r>
      <w:r>
        <w:rPr>
          <w:rFonts w:eastAsia="仿宋_GB2312"/>
          <w:sz w:val="32"/>
          <w:szCs w:val="32"/>
        </w:rPr>
        <w:t>2016年国有资产清理专项审计经费1.62万元</w:t>
      </w:r>
      <w:r>
        <w:rPr>
          <w:rFonts w:hint="eastAsia" w:eastAsia="仿宋_GB2312"/>
          <w:sz w:val="32"/>
          <w:szCs w:val="32"/>
        </w:rPr>
        <w:t>，</w:t>
      </w:r>
      <w:r>
        <w:rPr>
          <w:rFonts w:eastAsia="仿宋_GB2312"/>
          <w:sz w:val="32"/>
          <w:szCs w:val="32"/>
        </w:rPr>
        <w:t>财政局网络及全县金财网维护经费128.71万元</w:t>
      </w:r>
      <w:r>
        <w:rPr>
          <w:rFonts w:hint="eastAsia" w:eastAsia="仿宋_GB2312"/>
          <w:sz w:val="32"/>
          <w:szCs w:val="32"/>
        </w:rPr>
        <w:t>，</w:t>
      </w:r>
      <w:r>
        <w:rPr>
          <w:rFonts w:eastAsia="仿宋_GB2312"/>
          <w:sz w:val="32"/>
          <w:szCs w:val="32"/>
        </w:rPr>
        <w:t>乡镇信息化综合业务平台升级改造费14.63万元</w:t>
      </w:r>
      <w:r>
        <w:rPr>
          <w:rFonts w:hint="eastAsia" w:eastAsia="仿宋_GB2312"/>
          <w:sz w:val="32"/>
          <w:szCs w:val="32"/>
        </w:rPr>
        <w:t>，</w:t>
      </w:r>
      <w:r>
        <w:rPr>
          <w:rFonts w:eastAsia="仿宋_GB2312"/>
          <w:sz w:val="32"/>
          <w:szCs w:val="32"/>
        </w:rPr>
        <w:t>财政局数据中心升级改造费用47.19万元</w:t>
      </w:r>
      <w:r>
        <w:rPr>
          <w:rFonts w:hint="eastAsia" w:eastAsia="仿宋_GB2312"/>
          <w:sz w:val="32"/>
          <w:szCs w:val="32"/>
        </w:rPr>
        <w:t>，</w:t>
      </w:r>
      <w:r>
        <w:rPr>
          <w:rFonts w:eastAsia="仿宋_GB2312"/>
          <w:sz w:val="32"/>
          <w:szCs w:val="32"/>
        </w:rPr>
        <w:t>财政评审中心经费126.39万元</w:t>
      </w:r>
      <w:r>
        <w:rPr>
          <w:rFonts w:hint="eastAsia" w:eastAsia="仿宋_GB2312"/>
          <w:sz w:val="32"/>
          <w:szCs w:val="32"/>
        </w:rPr>
        <w:t>，</w:t>
      </w:r>
      <w:r>
        <w:rPr>
          <w:rFonts w:eastAsia="仿宋_GB2312"/>
          <w:sz w:val="32"/>
          <w:szCs w:val="32"/>
        </w:rPr>
        <w:t>外派实践锻炼干部补助1.72万元</w:t>
      </w:r>
      <w:r>
        <w:rPr>
          <w:rFonts w:hint="eastAsia" w:eastAsia="仿宋_GB2312"/>
          <w:sz w:val="32"/>
          <w:szCs w:val="32"/>
        </w:rPr>
        <w:t>，</w:t>
      </w:r>
      <w:r>
        <w:rPr>
          <w:rFonts w:eastAsia="仿宋_GB2312"/>
          <w:sz w:val="32"/>
          <w:szCs w:val="32"/>
        </w:rPr>
        <w:t>新型冠状病毒感染的肺炎防控相关工作经费1万元</w:t>
      </w:r>
      <w:r>
        <w:rPr>
          <w:rFonts w:hint="eastAsia" w:eastAsia="仿宋_GB2312"/>
          <w:sz w:val="32"/>
          <w:szCs w:val="32"/>
        </w:rPr>
        <w:t>，</w:t>
      </w:r>
      <w:r>
        <w:rPr>
          <w:rFonts w:eastAsia="仿宋_GB2312"/>
          <w:sz w:val="32"/>
          <w:szCs w:val="32"/>
        </w:rPr>
        <w:t>城乡住户一体化农村调查户帮扶资金2万元</w:t>
      </w:r>
      <w:r>
        <w:rPr>
          <w:rFonts w:hint="eastAsia" w:eastAsia="仿宋_GB2312"/>
          <w:sz w:val="32"/>
          <w:szCs w:val="32"/>
        </w:rPr>
        <w:t>，</w:t>
      </w:r>
      <w:r>
        <w:rPr>
          <w:rFonts w:eastAsia="仿宋_GB2312"/>
          <w:sz w:val="32"/>
          <w:szCs w:val="32"/>
        </w:rPr>
        <w:t>“金乌大道改造及S310道路改扩建工程”评审经费27.08万元。</w:t>
      </w:r>
    </w:p>
    <w:p>
      <w:pPr>
        <w:spacing w:line="560" w:lineRule="exact"/>
        <w:ind w:firstLine="640" w:firstLineChars="200"/>
        <w:rPr>
          <w:rFonts w:eastAsia="楷体_GB2312"/>
          <w:sz w:val="32"/>
          <w:szCs w:val="32"/>
        </w:rPr>
      </w:pPr>
      <w:r>
        <w:rPr>
          <w:rFonts w:eastAsia="楷体_GB2312"/>
          <w:sz w:val="32"/>
          <w:szCs w:val="32"/>
        </w:rPr>
        <w:t>（二）项目绩效目标。</w:t>
      </w:r>
    </w:p>
    <w:p>
      <w:pPr>
        <w:spacing w:line="560" w:lineRule="exact"/>
        <w:ind w:firstLine="640" w:firstLineChars="200"/>
        <w:rPr>
          <w:rFonts w:eastAsia="仿宋_GB2312"/>
          <w:sz w:val="32"/>
          <w:szCs w:val="32"/>
        </w:rPr>
      </w:pPr>
      <w:r>
        <w:rPr>
          <w:rFonts w:eastAsia="仿宋_GB2312"/>
          <w:sz w:val="32"/>
          <w:szCs w:val="32"/>
        </w:rPr>
        <w:t>项目资金由县财政解决，项目资金支付范围、支付标准、支付进度、支付依据等都合规合法、与预算相符。严格执行财务管理制度，账务处理及时，会计核算规范。</w:t>
      </w:r>
    </w:p>
    <w:p>
      <w:pPr>
        <w:spacing w:line="560" w:lineRule="exact"/>
        <w:ind w:firstLine="640" w:firstLineChars="200"/>
        <w:rPr>
          <w:rFonts w:eastAsia="楷体_GB2312"/>
          <w:sz w:val="32"/>
          <w:szCs w:val="32"/>
        </w:rPr>
      </w:pPr>
      <w:r>
        <w:rPr>
          <w:rFonts w:eastAsia="楷体_GB2312"/>
          <w:sz w:val="32"/>
          <w:szCs w:val="32"/>
        </w:rPr>
        <w:t>（三）项目自评步骤及方法。</w:t>
      </w:r>
    </w:p>
    <w:p>
      <w:pPr>
        <w:spacing w:line="560" w:lineRule="exact"/>
        <w:ind w:firstLine="640" w:firstLineChars="200"/>
        <w:rPr>
          <w:rFonts w:eastAsia="仿宋_GB2312"/>
          <w:sz w:val="32"/>
          <w:szCs w:val="32"/>
        </w:rPr>
      </w:pPr>
      <w:r>
        <w:rPr>
          <w:rFonts w:eastAsia="仿宋_GB2312"/>
          <w:sz w:val="32"/>
          <w:szCs w:val="32"/>
        </w:rPr>
        <w:t>一是确定评价对象。根据2020年度项目支出工作的实际情况,确定项目支出评价对象。</w:t>
      </w:r>
    </w:p>
    <w:p>
      <w:pPr>
        <w:spacing w:line="560" w:lineRule="exact"/>
        <w:ind w:firstLine="640" w:firstLineChars="200"/>
        <w:rPr>
          <w:rFonts w:eastAsia="仿宋_GB2312"/>
          <w:sz w:val="32"/>
          <w:szCs w:val="32"/>
        </w:rPr>
      </w:pPr>
      <w:r>
        <w:rPr>
          <w:rFonts w:eastAsia="仿宋_GB2312"/>
          <w:sz w:val="32"/>
          <w:szCs w:val="32"/>
        </w:rPr>
        <w:t>二是收集整理项目财务资料。</w:t>
      </w:r>
    </w:p>
    <w:p>
      <w:pPr>
        <w:spacing w:line="560" w:lineRule="exact"/>
        <w:ind w:firstLine="640" w:firstLineChars="200"/>
        <w:rPr>
          <w:rFonts w:eastAsia="仿宋_GB2312"/>
          <w:sz w:val="32"/>
          <w:szCs w:val="32"/>
        </w:rPr>
      </w:pPr>
      <w:r>
        <w:rPr>
          <w:rFonts w:eastAsia="仿宋_GB2312"/>
          <w:sz w:val="32"/>
          <w:szCs w:val="32"/>
        </w:rPr>
        <w:t>三是梳理评价重点。对项目管理薄弱环节、问题易发点、绩效内容进行梳理，作为评价重点和目标。</w:t>
      </w:r>
    </w:p>
    <w:p>
      <w:pPr>
        <w:spacing w:line="560" w:lineRule="exact"/>
        <w:ind w:firstLine="640" w:firstLineChars="200"/>
        <w:rPr>
          <w:rFonts w:eastAsia="仿宋_GB2312"/>
          <w:sz w:val="32"/>
          <w:szCs w:val="32"/>
        </w:rPr>
      </w:pPr>
      <w:r>
        <w:rPr>
          <w:rFonts w:eastAsia="仿宋_GB2312"/>
          <w:sz w:val="32"/>
          <w:szCs w:val="32"/>
        </w:rPr>
        <w:t>四是开展项目自评。根据项目特性指标开展自评，并撰写项目支出绩效自评报告。</w:t>
      </w:r>
    </w:p>
    <w:p>
      <w:pPr>
        <w:spacing w:line="560" w:lineRule="exact"/>
        <w:ind w:firstLine="640" w:firstLineChars="200"/>
        <w:rPr>
          <w:rFonts w:eastAsia="黑体"/>
          <w:sz w:val="32"/>
          <w:szCs w:val="32"/>
        </w:rPr>
      </w:pPr>
      <w:r>
        <w:rPr>
          <w:rFonts w:eastAsia="黑体"/>
          <w:sz w:val="32"/>
          <w:szCs w:val="32"/>
        </w:rPr>
        <w:t>二、项目资金申报及使用情况</w:t>
      </w:r>
    </w:p>
    <w:p>
      <w:pPr>
        <w:spacing w:line="560" w:lineRule="exact"/>
        <w:ind w:firstLine="640" w:firstLineChars="200"/>
        <w:rPr>
          <w:rFonts w:eastAsia="楷体_GB2312"/>
          <w:sz w:val="32"/>
          <w:szCs w:val="32"/>
        </w:rPr>
      </w:pPr>
      <w:r>
        <w:rPr>
          <w:rFonts w:eastAsia="楷体_GB2312"/>
          <w:sz w:val="32"/>
          <w:szCs w:val="32"/>
        </w:rPr>
        <w:t>（一）项目资金申报及批复情况。</w:t>
      </w:r>
    </w:p>
    <w:p>
      <w:pPr>
        <w:spacing w:line="560" w:lineRule="exact"/>
        <w:ind w:firstLine="640" w:firstLineChars="200"/>
        <w:rPr>
          <w:rFonts w:eastAsia="仿宋_GB2312"/>
          <w:sz w:val="32"/>
          <w:szCs w:val="32"/>
        </w:rPr>
      </w:pPr>
      <w:r>
        <w:rPr>
          <w:rFonts w:eastAsia="仿宋_GB2312"/>
          <w:sz w:val="32"/>
          <w:szCs w:val="32"/>
        </w:rPr>
        <w:t>项目下达资金总额405.88万元。根据盐边财政</w:t>
      </w:r>
      <w:r>
        <w:rPr>
          <w:rFonts w:hAnsi="Traditional Arabic" w:eastAsia="仿宋_GB2312"/>
          <w:sz w:val="32"/>
          <w:szCs w:val="32"/>
        </w:rPr>
        <w:t>〔</w:t>
      </w:r>
      <w:r>
        <w:rPr>
          <w:rFonts w:eastAsia="仿宋_GB2312"/>
          <w:sz w:val="32"/>
          <w:szCs w:val="32"/>
        </w:rPr>
        <w:t>2020</w:t>
      </w:r>
      <w:r>
        <w:rPr>
          <w:rFonts w:hAnsi="Traditional Arabic" w:eastAsia="仿宋_GB2312"/>
          <w:sz w:val="32"/>
          <w:szCs w:val="32"/>
        </w:rPr>
        <w:t>〕</w:t>
      </w:r>
      <w:r>
        <w:rPr>
          <w:rFonts w:eastAsia="仿宋_GB2312"/>
          <w:sz w:val="32"/>
          <w:szCs w:val="32"/>
        </w:rPr>
        <w:t>8号下达年初部门预算项目支出(乡镇信息化综合业务平台升级改造经费)14.63万元；根据盐边财政</w:t>
      </w:r>
      <w:r>
        <w:rPr>
          <w:rFonts w:hAnsi="Traditional Arabic" w:eastAsia="仿宋_GB2312"/>
          <w:sz w:val="32"/>
          <w:szCs w:val="32"/>
        </w:rPr>
        <w:t>〔</w:t>
      </w:r>
      <w:r>
        <w:rPr>
          <w:rFonts w:eastAsia="仿宋_GB2312"/>
          <w:sz w:val="32"/>
          <w:szCs w:val="32"/>
        </w:rPr>
        <w:t>2020</w:t>
      </w:r>
      <w:r>
        <w:rPr>
          <w:rFonts w:hAnsi="Traditional Arabic" w:eastAsia="仿宋_GB2312"/>
          <w:sz w:val="32"/>
          <w:szCs w:val="32"/>
        </w:rPr>
        <w:t>〕</w:t>
      </w:r>
      <w:r>
        <w:rPr>
          <w:rFonts w:eastAsia="仿宋_GB2312"/>
          <w:sz w:val="32"/>
          <w:szCs w:val="32"/>
        </w:rPr>
        <w:t>8号下达年初部门预算项目支出（财政局金财网及各项软件维护费）128.71万元；根据盐财资行</w:t>
      </w:r>
      <w:r>
        <w:rPr>
          <w:rFonts w:hAnsi="Traditional Arabic" w:eastAsia="仿宋_GB2312"/>
          <w:sz w:val="32"/>
          <w:szCs w:val="32"/>
        </w:rPr>
        <w:t>〔</w:t>
      </w:r>
      <w:r>
        <w:rPr>
          <w:rFonts w:eastAsia="仿宋_GB2312"/>
          <w:sz w:val="32"/>
          <w:szCs w:val="32"/>
        </w:rPr>
        <w:t>2020</w:t>
      </w:r>
      <w:r>
        <w:rPr>
          <w:rFonts w:hAnsi="Traditional Arabic" w:eastAsia="仿宋_GB2312"/>
          <w:sz w:val="32"/>
          <w:szCs w:val="32"/>
        </w:rPr>
        <w:t>〕</w:t>
      </w:r>
      <w:r>
        <w:rPr>
          <w:rFonts w:eastAsia="仿宋_GB2312"/>
          <w:sz w:val="32"/>
          <w:szCs w:val="32"/>
        </w:rPr>
        <w:t>265号下达县财政局数据中心（机房）升级改造经费47.19万元；根据盐财资行</w:t>
      </w:r>
      <w:r>
        <w:rPr>
          <w:rFonts w:hAnsi="Traditional Arabic" w:eastAsia="仿宋_GB2312"/>
          <w:sz w:val="32"/>
          <w:szCs w:val="32"/>
        </w:rPr>
        <w:t>〔</w:t>
      </w:r>
      <w:r>
        <w:rPr>
          <w:rFonts w:eastAsia="仿宋_GB2312"/>
          <w:sz w:val="32"/>
          <w:szCs w:val="32"/>
        </w:rPr>
        <w:t>2020</w:t>
      </w:r>
      <w:r>
        <w:rPr>
          <w:rFonts w:hAnsi="Traditional Arabic" w:eastAsia="仿宋_GB2312"/>
          <w:sz w:val="32"/>
          <w:szCs w:val="32"/>
        </w:rPr>
        <w:t>〕</w:t>
      </w:r>
      <w:r>
        <w:rPr>
          <w:rFonts w:eastAsia="仿宋_GB2312"/>
          <w:sz w:val="32"/>
          <w:szCs w:val="32"/>
        </w:rPr>
        <w:t>139号下达专项工作经费49.16万元；根据盐财资行</w:t>
      </w:r>
      <w:r>
        <w:rPr>
          <w:rFonts w:hAnsi="Traditional Arabic" w:eastAsia="仿宋_GB2312"/>
          <w:sz w:val="32"/>
          <w:szCs w:val="32"/>
        </w:rPr>
        <w:t>〔</w:t>
      </w:r>
      <w:r>
        <w:rPr>
          <w:rFonts w:eastAsia="仿宋_GB2312"/>
          <w:sz w:val="32"/>
          <w:szCs w:val="32"/>
        </w:rPr>
        <w:t>2020</w:t>
      </w:r>
      <w:r>
        <w:rPr>
          <w:rFonts w:hAnsi="Traditional Arabic" w:eastAsia="仿宋_GB2312"/>
          <w:sz w:val="32"/>
          <w:szCs w:val="32"/>
        </w:rPr>
        <w:t>〕</w:t>
      </w:r>
      <w:r>
        <w:rPr>
          <w:rFonts w:eastAsia="仿宋_GB2312"/>
          <w:sz w:val="32"/>
          <w:szCs w:val="32"/>
        </w:rPr>
        <w:t>488号下达县财政局2020年度全县财政票据经费6.38万元；根据盐边财政</w:t>
      </w:r>
      <w:r>
        <w:rPr>
          <w:rFonts w:hAnsi="Traditional Arabic" w:eastAsia="仿宋_GB2312"/>
          <w:sz w:val="32"/>
          <w:szCs w:val="32"/>
        </w:rPr>
        <w:t>〔</w:t>
      </w:r>
      <w:r>
        <w:rPr>
          <w:rFonts w:eastAsia="仿宋_GB2312"/>
          <w:sz w:val="32"/>
          <w:szCs w:val="32"/>
        </w:rPr>
        <w:t>2020</w:t>
      </w:r>
      <w:r>
        <w:rPr>
          <w:rFonts w:hAnsi="Traditional Arabic" w:eastAsia="仿宋_GB2312"/>
          <w:sz w:val="32"/>
          <w:szCs w:val="32"/>
        </w:rPr>
        <w:t>〕</w:t>
      </w:r>
      <w:r>
        <w:rPr>
          <w:rFonts w:eastAsia="仿宋_GB2312"/>
          <w:sz w:val="32"/>
          <w:szCs w:val="32"/>
        </w:rPr>
        <w:t>8号下达年初部门预算项目支出（财政局评审中心工作经费）126.39万元；根据盐财资预</w:t>
      </w:r>
      <w:r>
        <w:rPr>
          <w:rFonts w:hAnsi="Traditional Arabic" w:eastAsia="仿宋_GB2312"/>
          <w:sz w:val="32"/>
          <w:szCs w:val="32"/>
        </w:rPr>
        <w:t>〔</w:t>
      </w:r>
      <w:r>
        <w:rPr>
          <w:rFonts w:eastAsia="仿宋_GB2312"/>
          <w:sz w:val="32"/>
          <w:szCs w:val="32"/>
        </w:rPr>
        <w:t>2020</w:t>
      </w:r>
      <w:r>
        <w:rPr>
          <w:rFonts w:hAnsi="Traditional Arabic" w:eastAsia="仿宋_GB2312"/>
          <w:sz w:val="32"/>
          <w:szCs w:val="32"/>
        </w:rPr>
        <w:t>〕</w:t>
      </w:r>
      <w:r>
        <w:rPr>
          <w:rFonts w:eastAsia="仿宋_GB2312"/>
          <w:sz w:val="32"/>
          <w:szCs w:val="32"/>
        </w:rPr>
        <w:t>8号下达新型冠状病毒感染的肺炎防控相关工作保障经费1万元；根据盐财资农</w:t>
      </w:r>
      <w:r>
        <w:rPr>
          <w:rFonts w:hAnsi="Traditional Arabic" w:eastAsia="仿宋_GB2312"/>
          <w:sz w:val="32"/>
          <w:szCs w:val="32"/>
        </w:rPr>
        <w:t>〔</w:t>
      </w:r>
      <w:r>
        <w:rPr>
          <w:rFonts w:eastAsia="仿宋_GB2312"/>
          <w:sz w:val="32"/>
          <w:szCs w:val="32"/>
        </w:rPr>
        <w:t>2020</w:t>
      </w:r>
      <w:r>
        <w:rPr>
          <w:rFonts w:hAnsi="Traditional Arabic" w:eastAsia="仿宋_GB2312"/>
          <w:sz w:val="32"/>
          <w:szCs w:val="32"/>
        </w:rPr>
        <w:t>〕</w:t>
      </w:r>
      <w:r>
        <w:rPr>
          <w:rFonts w:eastAsia="仿宋_GB2312"/>
          <w:sz w:val="32"/>
          <w:szCs w:val="32"/>
        </w:rPr>
        <w:t>31号下达2020年度城乡住户调查工作农村调查户帮扶资金2万元。根据盐财资行</w:t>
      </w:r>
      <w:r>
        <w:rPr>
          <w:rFonts w:hAnsi="Traditional Arabic" w:eastAsia="仿宋_GB2312"/>
          <w:sz w:val="32"/>
          <w:szCs w:val="32"/>
        </w:rPr>
        <w:t>〔</w:t>
      </w:r>
      <w:r>
        <w:rPr>
          <w:rFonts w:eastAsia="仿宋_GB2312"/>
          <w:sz w:val="32"/>
          <w:szCs w:val="32"/>
        </w:rPr>
        <w:t>2020</w:t>
      </w:r>
      <w:r>
        <w:rPr>
          <w:rFonts w:hAnsi="Traditional Arabic" w:eastAsia="仿宋_GB2312"/>
          <w:sz w:val="32"/>
          <w:szCs w:val="32"/>
        </w:rPr>
        <w:t>〕</w:t>
      </w:r>
      <w:r>
        <w:rPr>
          <w:rFonts w:eastAsia="仿宋_GB2312"/>
          <w:sz w:val="32"/>
          <w:szCs w:val="32"/>
        </w:rPr>
        <w:t>566号下达2016年国有资产清理专项审计经费1.62万元和外派实践锻炼干部补助1.72万元。根据盐财资投</w:t>
      </w:r>
      <w:r>
        <w:rPr>
          <w:rFonts w:hAnsi="Traditional Arabic" w:eastAsia="仿宋_GB2312"/>
          <w:sz w:val="32"/>
          <w:szCs w:val="32"/>
        </w:rPr>
        <w:t>〔</w:t>
      </w:r>
      <w:r>
        <w:rPr>
          <w:rFonts w:eastAsia="仿宋_GB2312"/>
          <w:sz w:val="32"/>
          <w:szCs w:val="32"/>
        </w:rPr>
        <w:t>201939号下达“金乌大道改造及S310道路改扩建工程”财政投资评审政府采购预算27.08万元</w:t>
      </w:r>
      <w:r>
        <w:rPr>
          <w:rFonts w:hint="eastAsia" w:eastAsia="仿宋_GB2312"/>
          <w:sz w:val="32"/>
          <w:szCs w:val="32"/>
        </w:rPr>
        <w:t>。</w:t>
      </w:r>
    </w:p>
    <w:p>
      <w:pPr>
        <w:spacing w:line="560" w:lineRule="exact"/>
        <w:ind w:firstLine="640" w:firstLineChars="200"/>
        <w:rPr>
          <w:rFonts w:eastAsia="楷体_GB2312"/>
          <w:sz w:val="32"/>
          <w:szCs w:val="32"/>
        </w:rPr>
      </w:pPr>
      <w:r>
        <w:rPr>
          <w:rFonts w:eastAsia="楷体_GB2312"/>
          <w:sz w:val="32"/>
          <w:szCs w:val="32"/>
        </w:rPr>
        <w:t>（二）资金计划、到位及使用情况（可用表格形式反映）。</w:t>
      </w:r>
    </w:p>
    <w:p>
      <w:pPr>
        <w:spacing w:line="560" w:lineRule="exact"/>
        <w:ind w:firstLine="643" w:firstLineChars="200"/>
        <w:rPr>
          <w:rFonts w:eastAsia="仿宋_GB2312"/>
          <w:b/>
          <w:sz w:val="32"/>
          <w:szCs w:val="32"/>
        </w:rPr>
      </w:pPr>
      <w:r>
        <w:rPr>
          <w:rFonts w:eastAsia="仿宋_GB2312"/>
          <w:b/>
          <w:sz w:val="32"/>
          <w:szCs w:val="32"/>
        </w:rPr>
        <w:t>1.资金计划</w:t>
      </w:r>
    </w:p>
    <w:p>
      <w:pPr>
        <w:spacing w:line="560" w:lineRule="exact"/>
        <w:ind w:firstLine="640" w:firstLineChars="200"/>
        <w:rPr>
          <w:rFonts w:eastAsia="仿宋_GB2312"/>
          <w:sz w:val="32"/>
          <w:szCs w:val="32"/>
        </w:rPr>
      </w:pPr>
      <w:r>
        <w:rPr>
          <w:rFonts w:eastAsia="仿宋_GB2312"/>
          <w:sz w:val="32"/>
          <w:szCs w:val="32"/>
        </w:rPr>
        <w:t>项目资金是按进度拨款，到年底资金能按预算全额到位。</w:t>
      </w:r>
    </w:p>
    <w:p>
      <w:pPr>
        <w:spacing w:line="560" w:lineRule="exact"/>
        <w:ind w:firstLine="643" w:firstLineChars="200"/>
        <w:rPr>
          <w:rFonts w:eastAsia="仿宋_GB2312"/>
          <w:b/>
          <w:sz w:val="32"/>
          <w:szCs w:val="32"/>
        </w:rPr>
      </w:pPr>
      <w:r>
        <w:rPr>
          <w:rFonts w:eastAsia="仿宋_GB2312"/>
          <w:b/>
          <w:sz w:val="32"/>
          <w:szCs w:val="32"/>
        </w:rPr>
        <w:t>2.资金到位</w:t>
      </w:r>
    </w:p>
    <w:p>
      <w:pPr>
        <w:spacing w:line="560" w:lineRule="exact"/>
        <w:ind w:firstLine="640" w:firstLineChars="200"/>
        <w:rPr>
          <w:rFonts w:eastAsia="仿宋_GB2312"/>
          <w:sz w:val="32"/>
          <w:szCs w:val="32"/>
        </w:rPr>
      </w:pPr>
      <w:r>
        <w:rPr>
          <w:rFonts w:eastAsia="仿宋_GB2312"/>
          <w:sz w:val="32"/>
          <w:szCs w:val="32"/>
        </w:rPr>
        <w:t>县财政按计划下达专项经费，资金到位率100%。</w:t>
      </w:r>
    </w:p>
    <w:p>
      <w:pPr>
        <w:spacing w:line="560" w:lineRule="exact"/>
        <w:ind w:firstLine="643" w:firstLineChars="200"/>
        <w:rPr>
          <w:rFonts w:eastAsia="仿宋_GB2312"/>
          <w:b/>
          <w:sz w:val="32"/>
          <w:szCs w:val="32"/>
        </w:rPr>
      </w:pPr>
      <w:r>
        <w:rPr>
          <w:rFonts w:eastAsia="仿宋_GB2312"/>
          <w:b/>
          <w:sz w:val="32"/>
          <w:szCs w:val="32"/>
        </w:rPr>
        <w:t>3.资金使用</w:t>
      </w:r>
    </w:p>
    <w:p>
      <w:pPr>
        <w:spacing w:line="560" w:lineRule="exact"/>
        <w:ind w:firstLine="640" w:firstLineChars="200"/>
        <w:rPr>
          <w:rFonts w:eastAsia="仿宋_GB2312"/>
          <w:sz w:val="32"/>
          <w:szCs w:val="32"/>
        </w:rPr>
      </w:pPr>
      <w:r>
        <w:rPr>
          <w:rFonts w:eastAsia="仿宋_GB2312"/>
          <w:sz w:val="32"/>
          <w:szCs w:val="32"/>
        </w:rPr>
        <w:t>截止2020年12月31日</w:t>
      </w:r>
      <w:r>
        <w:rPr>
          <w:rFonts w:hint="eastAsia" w:eastAsia="仿宋_GB2312"/>
          <w:sz w:val="32"/>
          <w:szCs w:val="32"/>
        </w:rPr>
        <w:t>；</w:t>
      </w:r>
      <w:r>
        <w:rPr>
          <w:rFonts w:eastAsia="仿宋_GB2312"/>
          <w:sz w:val="32"/>
          <w:szCs w:val="32"/>
        </w:rPr>
        <w:t>各项目资金共支出378.81万元，其中：工作经费49.16万元</w:t>
      </w:r>
      <w:r>
        <w:rPr>
          <w:rFonts w:hint="eastAsia" w:eastAsia="仿宋_GB2312"/>
          <w:sz w:val="32"/>
          <w:szCs w:val="32"/>
        </w:rPr>
        <w:t>，</w:t>
      </w:r>
      <w:r>
        <w:rPr>
          <w:rFonts w:eastAsia="仿宋_GB2312"/>
          <w:sz w:val="32"/>
          <w:szCs w:val="32"/>
        </w:rPr>
        <w:t>全县票据工本费6.38万元</w:t>
      </w:r>
      <w:r>
        <w:rPr>
          <w:rFonts w:hint="eastAsia" w:eastAsia="仿宋_GB2312"/>
          <w:sz w:val="32"/>
          <w:szCs w:val="32"/>
        </w:rPr>
        <w:t>，</w:t>
      </w:r>
      <w:r>
        <w:rPr>
          <w:rFonts w:eastAsia="仿宋_GB2312"/>
          <w:sz w:val="32"/>
          <w:szCs w:val="32"/>
        </w:rPr>
        <w:t>2016年国有资产清理专项审计经费1.62万元</w:t>
      </w:r>
      <w:r>
        <w:rPr>
          <w:rFonts w:hint="eastAsia" w:eastAsia="仿宋_GB2312"/>
          <w:sz w:val="32"/>
          <w:szCs w:val="32"/>
        </w:rPr>
        <w:t>，</w:t>
      </w:r>
      <w:r>
        <w:rPr>
          <w:rFonts w:eastAsia="仿宋_GB2312"/>
          <w:sz w:val="32"/>
          <w:szCs w:val="32"/>
        </w:rPr>
        <w:t>财政局网络及全县金财网维护经费128.71万元</w:t>
      </w:r>
      <w:r>
        <w:rPr>
          <w:rFonts w:hint="eastAsia" w:eastAsia="仿宋_GB2312"/>
          <w:sz w:val="32"/>
          <w:szCs w:val="32"/>
        </w:rPr>
        <w:t>，</w:t>
      </w:r>
      <w:r>
        <w:rPr>
          <w:rFonts w:eastAsia="仿宋_GB2312"/>
          <w:sz w:val="32"/>
          <w:szCs w:val="32"/>
        </w:rPr>
        <w:t>乡镇信息化综合业务平台升级改造费14.63万元</w:t>
      </w:r>
      <w:r>
        <w:rPr>
          <w:rFonts w:hint="eastAsia" w:eastAsia="仿宋_GB2312"/>
          <w:sz w:val="32"/>
          <w:szCs w:val="32"/>
        </w:rPr>
        <w:t>，</w:t>
      </w:r>
      <w:r>
        <w:rPr>
          <w:rFonts w:eastAsia="仿宋_GB2312"/>
          <w:sz w:val="32"/>
          <w:szCs w:val="32"/>
        </w:rPr>
        <w:t>财政局数据中心升级改造费用47.19万元</w:t>
      </w:r>
      <w:r>
        <w:rPr>
          <w:rFonts w:hint="eastAsia" w:eastAsia="仿宋_GB2312"/>
          <w:sz w:val="32"/>
          <w:szCs w:val="32"/>
        </w:rPr>
        <w:t>，</w:t>
      </w:r>
      <w:r>
        <w:rPr>
          <w:rFonts w:eastAsia="仿宋_GB2312"/>
          <w:sz w:val="32"/>
          <w:szCs w:val="32"/>
        </w:rPr>
        <w:t>财政评审中心经费126.39万元</w:t>
      </w:r>
      <w:r>
        <w:rPr>
          <w:rFonts w:hint="eastAsia" w:eastAsia="仿宋_GB2312"/>
          <w:sz w:val="32"/>
          <w:szCs w:val="32"/>
        </w:rPr>
        <w:t>，</w:t>
      </w:r>
      <w:r>
        <w:rPr>
          <w:rFonts w:eastAsia="仿宋_GB2312"/>
          <w:sz w:val="32"/>
          <w:szCs w:val="32"/>
        </w:rPr>
        <w:t>外派实践锻炼干部补助1.72万元</w:t>
      </w:r>
      <w:r>
        <w:rPr>
          <w:rFonts w:hint="eastAsia" w:eastAsia="仿宋_GB2312"/>
          <w:sz w:val="32"/>
          <w:szCs w:val="32"/>
        </w:rPr>
        <w:t>，</w:t>
      </w:r>
      <w:r>
        <w:rPr>
          <w:rFonts w:eastAsia="仿宋_GB2312"/>
          <w:sz w:val="32"/>
          <w:szCs w:val="32"/>
        </w:rPr>
        <w:t>新型冠状病毒感染的肺炎防控相关工作经费1万元</w:t>
      </w:r>
      <w:r>
        <w:rPr>
          <w:rFonts w:hint="eastAsia" w:eastAsia="仿宋_GB2312"/>
          <w:sz w:val="32"/>
          <w:szCs w:val="32"/>
        </w:rPr>
        <w:t>，</w:t>
      </w:r>
      <w:r>
        <w:rPr>
          <w:rFonts w:eastAsia="仿宋_GB2312"/>
          <w:sz w:val="32"/>
          <w:szCs w:val="32"/>
        </w:rPr>
        <w:t>城乡住户一体化农村调查户帮扶资金2万元。</w:t>
      </w:r>
    </w:p>
    <w:p>
      <w:pPr>
        <w:spacing w:line="560" w:lineRule="exact"/>
        <w:ind w:firstLine="640" w:firstLineChars="200"/>
        <w:rPr>
          <w:rFonts w:eastAsia="楷体_GB2312"/>
          <w:sz w:val="32"/>
          <w:szCs w:val="32"/>
        </w:rPr>
      </w:pPr>
      <w:r>
        <w:rPr>
          <w:rFonts w:eastAsia="楷体_GB2312"/>
          <w:sz w:val="32"/>
          <w:szCs w:val="32"/>
        </w:rPr>
        <w:t>（三）项目财务管理情况。</w:t>
      </w:r>
    </w:p>
    <w:p>
      <w:pPr>
        <w:spacing w:line="560" w:lineRule="exact"/>
        <w:ind w:firstLine="640" w:firstLineChars="200"/>
        <w:rPr>
          <w:rFonts w:eastAsia="仿宋_GB2312"/>
          <w:sz w:val="32"/>
          <w:szCs w:val="32"/>
        </w:rPr>
      </w:pPr>
      <w:r>
        <w:rPr>
          <w:rFonts w:eastAsia="仿宋_GB2312"/>
          <w:sz w:val="32"/>
          <w:szCs w:val="32"/>
        </w:rPr>
        <w:t>单位具有完善的财务管理制度</w:t>
      </w:r>
      <w:r>
        <w:rPr>
          <w:rFonts w:hint="eastAsia" w:eastAsia="仿宋_GB2312"/>
          <w:sz w:val="32"/>
          <w:szCs w:val="32"/>
        </w:rPr>
        <w:t>，</w:t>
      </w:r>
      <w:r>
        <w:rPr>
          <w:rFonts w:eastAsia="仿宋_GB2312"/>
          <w:sz w:val="32"/>
          <w:szCs w:val="32"/>
        </w:rPr>
        <w:t>会计核算及账务处理设专人负责。支出严格执行财务管理制度</w:t>
      </w:r>
      <w:r>
        <w:rPr>
          <w:rFonts w:hint="eastAsia" w:eastAsia="仿宋_GB2312"/>
          <w:sz w:val="32"/>
          <w:szCs w:val="32"/>
        </w:rPr>
        <w:t>，</w:t>
      </w:r>
      <w:r>
        <w:rPr>
          <w:rFonts w:eastAsia="仿宋_GB2312"/>
          <w:sz w:val="32"/>
          <w:szCs w:val="32"/>
        </w:rPr>
        <w:t>财务处理较为及时</w:t>
      </w:r>
      <w:r>
        <w:rPr>
          <w:rFonts w:hint="eastAsia" w:eastAsia="仿宋_GB2312"/>
          <w:sz w:val="32"/>
          <w:szCs w:val="32"/>
        </w:rPr>
        <w:t>，</w:t>
      </w:r>
      <w:r>
        <w:rPr>
          <w:rFonts w:eastAsia="仿宋_GB2312"/>
          <w:sz w:val="32"/>
          <w:szCs w:val="32"/>
        </w:rPr>
        <w:t>会计核算比较规范。</w:t>
      </w:r>
    </w:p>
    <w:p>
      <w:pPr>
        <w:spacing w:line="560" w:lineRule="exact"/>
        <w:ind w:firstLine="640" w:firstLineChars="200"/>
        <w:rPr>
          <w:rFonts w:eastAsia="黑体"/>
          <w:sz w:val="32"/>
          <w:szCs w:val="32"/>
        </w:rPr>
      </w:pPr>
      <w:r>
        <w:rPr>
          <w:rFonts w:eastAsia="黑体"/>
          <w:sz w:val="32"/>
          <w:szCs w:val="32"/>
        </w:rPr>
        <w:t>三、项目实施及管理情况</w:t>
      </w:r>
    </w:p>
    <w:p>
      <w:pPr>
        <w:spacing w:line="560" w:lineRule="exact"/>
        <w:ind w:firstLine="640" w:firstLineChars="200"/>
        <w:rPr>
          <w:rFonts w:eastAsia="仿宋_GB2312"/>
          <w:sz w:val="32"/>
          <w:szCs w:val="32"/>
        </w:rPr>
      </w:pPr>
      <w:r>
        <w:rPr>
          <w:rFonts w:eastAsia="仿宋_GB2312"/>
          <w:sz w:val="32"/>
          <w:szCs w:val="32"/>
        </w:rPr>
        <w:t>结合项目管理办法，重点围绕以下内容进行分析评价，并对自评中发现的问题分析说明。</w:t>
      </w:r>
    </w:p>
    <w:p>
      <w:pPr>
        <w:spacing w:line="560" w:lineRule="exact"/>
        <w:ind w:firstLine="640" w:firstLineChars="200"/>
        <w:rPr>
          <w:rFonts w:eastAsia="楷体_GB2312"/>
          <w:sz w:val="32"/>
          <w:szCs w:val="32"/>
        </w:rPr>
      </w:pPr>
      <w:r>
        <w:rPr>
          <w:rFonts w:eastAsia="楷体_GB2312"/>
          <w:sz w:val="32"/>
          <w:szCs w:val="32"/>
        </w:rPr>
        <w:t>（一）项目组织架构及实施流程。</w:t>
      </w:r>
    </w:p>
    <w:p>
      <w:pPr>
        <w:spacing w:line="560" w:lineRule="exact"/>
        <w:ind w:firstLine="640" w:firstLineChars="200"/>
        <w:rPr>
          <w:rFonts w:eastAsia="仿宋_GB2312"/>
          <w:sz w:val="32"/>
          <w:szCs w:val="32"/>
        </w:rPr>
      </w:pPr>
      <w:r>
        <w:rPr>
          <w:rFonts w:eastAsia="仿宋_GB2312"/>
          <w:sz w:val="32"/>
          <w:szCs w:val="32"/>
        </w:rPr>
        <w:t>县财政局依据单位职能和县政府审批通过的2020年度工作要点，为保障各项工作圆满完成，实现工作目标，制定了机关各支出项目的绩效目标。</w:t>
      </w:r>
    </w:p>
    <w:p>
      <w:pPr>
        <w:spacing w:line="560" w:lineRule="exact"/>
        <w:ind w:firstLine="640" w:firstLineChars="200"/>
        <w:rPr>
          <w:rFonts w:eastAsia="楷体_GB2312"/>
          <w:sz w:val="32"/>
          <w:szCs w:val="32"/>
        </w:rPr>
      </w:pPr>
      <w:r>
        <w:rPr>
          <w:rFonts w:eastAsia="楷体_GB2312"/>
          <w:sz w:val="32"/>
          <w:szCs w:val="32"/>
        </w:rPr>
        <w:t>（二）项目管理情况。</w:t>
      </w:r>
    </w:p>
    <w:p>
      <w:pPr>
        <w:spacing w:line="560" w:lineRule="exact"/>
        <w:ind w:firstLine="640" w:firstLineChars="200"/>
        <w:rPr>
          <w:rFonts w:eastAsia="仿宋_GB2312"/>
          <w:sz w:val="32"/>
          <w:szCs w:val="32"/>
        </w:rPr>
      </w:pPr>
      <w:r>
        <w:rPr>
          <w:rFonts w:eastAsia="仿宋_GB2312"/>
          <w:sz w:val="32"/>
          <w:szCs w:val="32"/>
        </w:rPr>
        <w:t>2020年项目支出资金分配科学合理，财政项目资金的管理实行了全过程管理，对于项目资金的分配，在各个环节上严格审查数据。项目资金统一由财政国库管理，专款专用，项目资金支出为财政授权支付和直接支付，并严格执行从申请—复核—审核—领导批准支付的操作程序，手续齐全，程序到位，资金使用规范，会计核算真实、准确。</w:t>
      </w:r>
    </w:p>
    <w:p>
      <w:pPr>
        <w:spacing w:line="560" w:lineRule="exact"/>
        <w:ind w:firstLine="640" w:firstLineChars="200"/>
        <w:rPr>
          <w:rFonts w:eastAsia="楷体_GB2312"/>
          <w:sz w:val="32"/>
          <w:szCs w:val="32"/>
        </w:rPr>
      </w:pPr>
      <w:r>
        <w:rPr>
          <w:rFonts w:eastAsia="楷体_GB2312"/>
          <w:sz w:val="32"/>
          <w:szCs w:val="32"/>
        </w:rPr>
        <w:t>（三）项目监管情况。</w:t>
      </w:r>
    </w:p>
    <w:p>
      <w:pPr>
        <w:spacing w:line="560" w:lineRule="exact"/>
        <w:ind w:firstLine="640" w:firstLineChars="200"/>
        <w:rPr>
          <w:rFonts w:eastAsia="仿宋_GB2312"/>
          <w:sz w:val="32"/>
          <w:szCs w:val="32"/>
        </w:rPr>
      </w:pPr>
      <w:r>
        <w:rPr>
          <w:rFonts w:eastAsia="仿宋_GB2312"/>
          <w:sz w:val="32"/>
          <w:szCs w:val="32"/>
        </w:rPr>
        <w:t>县财政局建立了规范的内部控制管理体系，加强了项目资金全过程的监管。</w:t>
      </w:r>
    </w:p>
    <w:p>
      <w:pPr>
        <w:spacing w:line="560" w:lineRule="exact"/>
        <w:ind w:firstLine="640" w:firstLineChars="200"/>
        <w:rPr>
          <w:rFonts w:eastAsia="黑体"/>
          <w:sz w:val="32"/>
          <w:szCs w:val="32"/>
        </w:rPr>
      </w:pPr>
      <w:r>
        <w:rPr>
          <w:rFonts w:eastAsia="黑体"/>
          <w:sz w:val="32"/>
          <w:szCs w:val="32"/>
        </w:rPr>
        <w:t>四、项目绩效情况</w:t>
      </w:r>
      <w:r>
        <w:rPr>
          <w:rFonts w:eastAsia="黑体"/>
          <w:sz w:val="32"/>
          <w:szCs w:val="32"/>
        </w:rPr>
        <w:tab/>
      </w:r>
    </w:p>
    <w:p>
      <w:pPr>
        <w:spacing w:line="560" w:lineRule="exact"/>
        <w:ind w:firstLine="640" w:firstLineChars="200"/>
        <w:rPr>
          <w:rFonts w:eastAsia="楷体_GB2312"/>
          <w:sz w:val="32"/>
          <w:szCs w:val="32"/>
        </w:rPr>
      </w:pPr>
      <w:r>
        <w:rPr>
          <w:rFonts w:eastAsia="楷体_GB2312"/>
          <w:sz w:val="32"/>
          <w:szCs w:val="32"/>
        </w:rPr>
        <w:t>（一）项目完成情况。</w:t>
      </w:r>
    </w:p>
    <w:p>
      <w:pPr>
        <w:spacing w:line="560" w:lineRule="exact"/>
        <w:ind w:firstLine="640" w:firstLineChars="200"/>
        <w:rPr>
          <w:rFonts w:eastAsia="仿宋_GB2312"/>
          <w:sz w:val="32"/>
          <w:szCs w:val="32"/>
        </w:rPr>
      </w:pPr>
      <w:r>
        <w:rPr>
          <w:rFonts w:eastAsia="仿宋_GB2312"/>
          <w:sz w:val="32"/>
          <w:szCs w:val="32"/>
        </w:rPr>
        <w:t>截止2020年12月31日，项目资金支付378.81万元，执行率为93.33%。完成目标项目工作，完成了预设的绩效目标，绩效目标完成质量较高，项目完成时效准确，项目成本控制较好，取得了较好的项目经济效益和社会效益。</w:t>
      </w:r>
    </w:p>
    <w:p>
      <w:pPr>
        <w:spacing w:line="560" w:lineRule="exact"/>
        <w:ind w:firstLine="640" w:firstLineChars="200"/>
        <w:rPr>
          <w:rFonts w:eastAsia="楷体_GB2312"/>
          <w:sz w:val="32"/>
          <w:szCs w:val="32"/>
        </w:rPr>
      </w:pPr>
      <w:r>
        <w:rPr>
          <w:rFonts w:eastAsia="楷体_GB2312"/>
          <w:sz w:val="32"/>
          <w:szCs w:val="32"/>
        </w:rPr>
        <w:t>（二）项目效益情况。</w:t>
      </w:r>
    </w:p>
    <w:p>
      <w:pPr>
        <w:spacing w:line="560" w:lineRule="exact"/>
        <w:ind w:firstLine="640" w:firstLineChars="200"/>
        <w:rPr>
          <w:rFonts w:eastAsia="仿宋_GB2312"/>
          <w:sz w:val="32"/>
          <w:szCs w:val="32"/>
        </w:rPr>
      </w:pPr>
      <w:r>
        <w:rPr>
          <w:rFonts w:eastAsia="仿宋_GB2312"/>
          <w:sz w:val="32"/>
          <w:szCs w:val="32"/>
        </w:rPr>
        <w:t>截止2020年12月31日，项目资金支付378.81万元，执行率为93.33%。对“财政局网络及全县金财网维护”、“ 财政评审中心经费”、“ 财政局数据中心升级改造费用”等项目绩效目标实际完成情况。项目效益情况如下所述：</w:t>
      </w:r>
    </w:p>
    <w:p>
      <w:pPr>
        <w:spacing w:line="560" w:lineRule="exact"/>
        <w:ind w:firstLine="640" w:firstLineChars="200"/>
        <w:rPr>
          <w:rFonts w:eastAsia="仿宋_GB2312"/>
          <w:sz w:val="32"/>
          <w:szCs w:val="32"/>
        </w:rPr>
      </w:pPr>
      <w:r>
        <w:rPr>
          <w:rFonts w:eastAsia="仿宋_GB2312"/>
          <w:sz w:val="32"/>
          <w:szCs w:val="32"/>
        </w:rPr>
        <w:t>（1）财政局网络及全县金财网维护项目绩效目标完成情况综述。项目全年预算数128.71万元，执行数128.71万元，完成预算的100%。通过项目实施，优化了网络结构，提高了网络整体物理性能，确保了全县财政预算单位金财网络运行稳定快捷，大大提高了财政工作效率。</w:t>
      </w:r>
    </w:p>
    <w:p>
      <w:pPr>
        <w:spacing w:line="560" w:lineRule="exact"/>
        <w:ind w:firstLine="640" w:firstLineChars="200"/>
        <w:rPr>
          <w:rFonts w:eastAsia="仿宋_GB2312"/>
          <w:sz w:val="32"/>
          <w:szCs w:val="32"/>
        </w:rPr>
      </w:pPr>
      <w:r>
        <w:rPr>
          <w:rFonts w:eastAsia="仿宋_GB2312"/>
          <w:sz w:val="32"/>
          <w:szCs w:val="32"/>
        </w:rPr>
        <w:t>（2）财政评审中心项目绩效目标完成情况综述。项目全年预算数126.39万元，执行数为126.39万元，完成预算100%。通过项目实施，评审中心工作人员本着对职能职责认真负责、积极作为的态度，既保证了自主评审项目的评审工作，又严格对中介机构评审工作认真复核、把关，保证评审质量，一年来财政投资评审工作有条不紊，高效务实。</w:t>
      </w:r>
    </w:p>
    <w:p>
      <w:pPr>
        <w:spacing w:line="560" w:lineRule="exact"/>
        <w:ind w:firstLine="640" w:firstLineChars="200"/>
        <w:rPr>
          <w:rFonts w:eastAsia="仿宋_GB2312"/>
          <w:sz w:val="32"/>
          <w:szCs w:val="32"/>
        </w:rPr>
      </w:pPr>
      <w:r>
        <w:rPr>
          <w:rFonts w:eastAsia="仿宋_GB2312"/>
          <w:sz w:val="32"/>
          <w:szCs w:val="32"/>
        </w:rPr>
        <w:t>（3）财政局数据中心升级改造项目绩效目标完成情况综述。项目全年预算数47.19万元，执行数为47.19万元，完成预算的100%。通过项目实施，在信息化建设方面按照网络安全法要求，落实等级保护制度；按照文件规范要求，根据现有网络情况，按照等级保护建设相关标准要求进行改造建设，符合等级保护要求，结合业内先进的安全建设体系，构建一个更加有效的安全防御体系。</w:t>
      </w:r>
    </w:p>
    <w:p>
      <w:pPr>
        <w:spacing w:line="560" w:lineRule="exact"/>
        <w:ind w:firstLine="640" w:firstLineChars="200"/>
        <w:rPr>
          <w:rFonts w:eastAsia="黑体"/>
          <w:sz w:val="32"/>
          <w:szCs w:val="32"/>
        </w:rPr>
      </w:pPr>
      <w:r>
        <w:rPr>
          <w:rFonts w:eastAsia="黑体"/>
          <w:sz w:val="32"/>
          <w:szCs w:val="32"/>
        </w:rPr>
        <w:t>五、评价结论及建议</w:t>
      </w:r>
    </w:p>
    <w:p>
      <w:pPr>
        <w:spacing w:line="560" w:lineRule="exact"/>
        <w:ind w:firstLine="640" w:firstLineChars="200"/>
        <w:rPr>
          <w:rFonts w:eastAsia="楷体_GB2312"/>
          <w:sz w:val="32"/>
          <w:szCs w:val="32"/>
        </w:rPr>
      </w:pPr>
      <w:r>
        <w:rPr>
          <w:rFonts w:eastAsia="楷体_GB2312"/>
          <w:sz w:val="32"/>
          <w:szCs w:val="32"/>
        </w:rPr>
        <w:t>（一）评价结论。</w:t>
      </w:r>
    </w:p>
    <w:p>
      <w:pPr>
        <w:spacing w:line="560" w:lineRule="exact"/>
        <w:ind w:firstLine="640" w:firstLineChars="200"/>
        <w:rPr>
          <w:rFonts w:eastAsia="仿宋_GB2312"/>
          <w:sz w:val="32"/>
          <w:szCs w:val="32"/>
        </w:rPr>
      </w:pPr>
      <w:r>
        <w:rPr>
          <w:rFonts w:eastAsia="仿宋_GB2312"/>
          <w:sz w:val="32"/>
          <w:szCs w:val="32"/>
        </w:rPr>
        <w:t>县财政局严格执行上级关于项目绩效评价的相关规定，开展了项目绩效评价工作，实现了预期目标。</w:t>
      </w:r>
    </w:p>
    <w:p>
      <w:pPr>
        <w:spacing w:line="560" w:lineRule="exact"/>
        <w:ind w:firstLine="640" w:firstLineChars="200"/>
        <w:rPr>
          <w:rFonts w:eastAsia="楷体_GB2312"/>
          <w:sz w:val="32"/>
          <w:szCs w:val="32"/>
        </w:rPr>
      </w:pPr>
      <w:r>
        <w:rPr>
          <w:rFonts w:eastAsia="楷体_GB2312"/>
          <w:sz w:val="32"/>
          <w:szCs w:val="32"/>
        </w:rPr>
        <w:t>（二）存在的问题。</w:t>
      </w:r>
    </w:p>
    <w:p>
      <w:pPr>
        <w:spacing w:line="560" w:lineRule="exact"/>
        <w:ind w:firstLine="640" w:firstLineChars="200"/>
        <w:rPr>
          <w:rFonts w:eastAsia="仿宋_GB2312"/>
          <w:sz w:val="32"/>
          <w:szCs w:val="32"/>
        </w:rPr>
      </w:pPr>
      <w:r>
        <w:rPr>
          <w:rFonts w:eastAsia="仿宋_GB2312"/>
          <w:sz w:val="32"/>
          <w:szCs w:val="32"/>
        </w:rPr>
        <w:t>1.绩效目标设立不够明确、细化和量化。项目单位虽然设立了项目资金绩效目标，但目标不够明确、细化和量化。</w:t>
      </w:r>
    </w:p>
    <w:p>
      <w:pPr>
        <w:spacing w:line="560" w:lineRule="exact"/>
        <w:ind w:firstLine="640" w:firstLineChars="200"/>
        <w:rPr>
          <w:rFonts w:eastAsia="仿宋_GB2312"/>
          <w:sz w:val="32"/>
          <w:szCs w:val="32"/>
        </w:rPr>
      </w:pPr>
      <w:r>
        <w:rPr>
          <w:rFonts w:eastAsia="仿宋_GB2312"/>
          <w:sz w:val="32"/>
          <w:szCs w:val="32"/>
        </w:rPr>
        <w:t>2.资金使用效益有待进一步提高。</w:t>
      </w:r>
    </w:p>
    <w:p>
      <w:pPr>
        <w:spacing w:line="560" w:lineRule="exact"/>
        <w:ind w:firstLine="640" w:firstLineChars="200"/>
        <w:rPr>
          <w:rFonts w:eastAsia="楷体_GB2312"/>
          <w:sz w:val="32"/>
          <w:szCs w:val="32"/>
        </w:rPr>
      </w:pPr>
      <w:r>
        <w:rPr>
          <w:rFonts w:eastAsia="楷体_GB2312"/>
          <w:sz w:val="32"/>
          <w:szCs w:val="32"/>
        </w:rPr>
        <w:t>（三）相关建议。</w:t>
      </w:r>
    </w:p>
    <w:p>
      <w:pPr>
        <w:spacing w:line="560" w:lineRule="exact"/>
        <w:ind w:firstLine="640" w:firstLineChars="200"/>
        <w:rPr>
          <w:rFonts w:eastAsia="仿宋_GB2312"/>
          <w:sz w:val="32"/>
          <w:szCs w:val="32"/>
        </w:rPr>
      </w:pPr>
      <w:r>
        <w:rPr>
          <w:rFonts w:eastAsia="仿宋_GB2312"/>
          <w:sz w:val="32"/>
          <w:szCs w:val="32"/>
        </w:rPr>
        <w:t>1.遵循先有预算、后有支出的原则，加强机关财务管理，严禁超预算和无预算安排支出，严格开支范围和标准。</w:t>
      </w:r>
    </w:p>
    <w:p>
      <w:pPr>
        <w:spacing w:line="560" w:lineRule="exact"/>
        <w:ind w:firstLine="640" w:firstLineChars="200"/>
        <w:rPr>
          <w:rFonts w:eastAsia="仿宋_GB2312"/>
          <w:sz w:val="32"/>
          <w:szCs w:val="32"/>
        </w:rPr>
      </w:pPr>
      <w:r>
        <w:rPr>
          <w:rFonts w:eastAsia="仿宋_GB2312"/>
          <w:sz w:val="32"/>
          <w:szCs w:val="32"/>
        </w:rPr>
        <w:t>2.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pPr>
        <w:spacing w:line="560" w:lineRule="exact"/>
        <w:ind w:firstLine="640" w:firstLineChars="200"/>
        <w:rPr>
          <w:rFonts w:eastAsia="仿宋_GB2312"/>
          <w:sz w:val="32"/>
          <w:szCs w:val="32"/>
        </w:rPr>
      </w:pPr>
      <w:r>
        <w:rPr>
          <w:rFonts w:eastAsia="仿宋_GB2312"/>
          <w:sz w:val="32"/>
          <w:szCs w:val="32"/>
        </w:rPr>
        <w:t>3.预算财务分析常态化，定期做好预算支出财务分析，做好部门绩效评价工作。</w:t>
      </w:r>
    </w:p>
    <w:p>
      <w:pPr>
        <w:spacing w:line="560" w:lineRule="exact"/>
        <w:rPr>
          <w:rFonts w:ascii="仿宋_GB2312" w:eastAsia="仿宋_GB2312"/>
          <w:sz w:val="32"/>
          <w:szCs w:val="32"/>
        </w:rPr>
      </w:pPr>
    </w:p>
    <w:p/>
    <w:p/>
    <w:p/>
    <w:p/>
    <w:p/>
    <w:p/>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jc w:val="center"/>
        <w:rPr>
          <w:rFonts w:eastAsia="方正小标宋_GBK"/>
          <w:sz w:val="44"/>
          <w:szCs w:val="44"/>
        </w:rPr>
      </w:pPr>
      <w:r>
        <w:rPr>
          <w:rFonts w:eastAsia="方正小标宋_GBK"/>
          <w:sz w:val="44"/>
          <w:szCs w:val="44"/>
        </w:rPr>
        <w:t>第五部分 附表</w:t>
      </w:r>
    </w:p>
    <w:p/>
    <w:p>
      <w:pPr>
        <w:spacing w:line="560" w:lineRule="exact"/>
        <w:ind w:firstLine="640" w:firstLineChars="200"/>
        <w:rPr>
          <w:rFonts w:eastAsia="仿宋_GB2312"/>
          <w:sz w:val="32"/>
          <w:szCs w:val="32"/>
        </w:rPr>
      </w:pPr>
      <w:r>
        <w:rPr>
          <w:rFonts w:eastAsia="仿宋_GB2312"/>
          <w:sz w:val="32"/>
          <w:szCs w:val="32"/>
        </w:rPr>
        <w:t>一、收入支出决算总表</w:t>
      </w:r>
    </w:p>
    <w:p>
      <w:pPr>
        <w:spacing w:line="560" w:lineRule="exact"/>
        <w:ind w:firstLine="640" w:firstLineChars="200"/>
        <w:rPr>
          <w:rFonts w:eastAsia="仿宋_GB2312"/>
          <w:sz w:val="32"/>
          <w:szCs w:val="32"/>
        </w:rPr>
      </w:pPr>
      <w:r>
        <w:rPr>
          <w:rFonts w:eastAsia="仿宋_GB2312"/>
          <w:sz w:val="32"/>
          <w:szCs w:val="32"/>
        </w:rPr>
        <w:t>二、收入决算表</w:t>
      </w:r>
    </w:p>
    <w:p>
      <w:pPr>
        <w:spacing w:line="560" w:lineRule="exact"/>
        <w:ind w:firstLine="640" w:firstLineChars="200"/>
        <w:rPr>
          <w:rFonts w:eastAsia="仿宋_GB2312"/>
          <w:sz w:val="32"/>
          <w:szCs w:val="32"/>
        </w:rPr>
      </w:pPr>
      <w:r>
        <w:rPr>
          <w:rFonts w:eastAsia="仿宋_GB2312"/>
          <w:sz w:val="32"/>
          <w:szCs w:val="32"/>
        </w:rPr>
        <w:t>三、支出决算表</w:t>
      </w:r>
    </w:p>
    <w:p>
      <w:pPr>
        <w:spacing w:line="560" w:lineRule="exact"/>
        <w:ind w:firstLine="640" w:firstLineChars="200"/>
        <w:rPr>
          <w:rFonts w:eastAsia="仿宋_GB2312"/>
          <w:sz w:val="32"/>
          <w:szCs w:val="32"/>
        </w:rPr>
      </w:pPr>
      <w:r>
        <w:rPr>
          <w:rFonts w:eastAsia="仿宋_GB2312"/>
          <w:sz w:val="32"/>
          <w:szCs w:val="32"/>
        </w:rPr>
        <w:t>四、财政拨款收入支出决算总表</w:t>
      </w:r>
    </w:p>
    <w:p>
      <w:pPr>
        <w:spacing w:line="560" w:lineRule="exact"/>
        <w:ind w:firstLine="640" w:firstLineChars="200"/>
        <w:rPr>
          <w:rFonts w:eastAsia="仿宋_GB2312"/>
          <w:sz w:val="32"/>
          <w:szCs w:val="32"/>
        </w:rPr>
      </w:pPr>
      <w:r>
        <w:rPr>
          <w:rFonts w:eastAsia="仿宋_GB2312"/>
          <w:sz w:val="32"/>
          <w:szCs w:val="32"/>
        </w:rPr>
        <w:t>五、财政拨款支出决算明细表</w:t>
      </w:r>
    </w:p>
    <w:p>
      <w:pPr>
        <w:spacing w:line="560" w:lineRule="exact"/>
        <w:ind w:firstLine="640" w:firstLineChars="200"/>
        <w:rPr>
          <w:rFonts w:eastAsia="仿宋_GB2312"/>
          <w:sz w:val="32"/>
          <w:szCs w:val="32"/>
        </w:rPr>
      </w:pPr>
      <w:r>
        <w:rPr>
          <w:rFonts w:eastAsia="仿宋_GB2312"/>
          <w:sz w:val="32"/>
          <w:szCs w:val="32"/>
        </w:rPr>
        <w:t>六、一般公共预算财政拨款支出决算表</w:t>
      </w:r>
    </w:p>
    <w:p>
      <w:pPr>
        <w:spacing w:line="560" w:lineRule="exact"/>
        <w:ind w:firstLine="640" w:firstLineChars="200"/>
        <w:rPr>
          <w:rFonts w:eastAsia="仿宋_GB2312"/>
          <w:sz w:val="32"/>
          <w:szCs w:val="32"/>
        </w:rPr>
      </w:pPr>
      <w:r>
        <w:rPr>
          <w:rFonts w:eastAsia="仿宋_GB2312"/>
          <w:sz w:val="32"/>
          <w:szCs w:val="32"/>
        </w:rPr>
        <w:t>七、一般公共预算财政拨款支出决算明细表</w:t>
      </w:r>
    </w:p>
    <w:p>
      <w:pPr>
        <w:spacing w:line="560" w:lineRule="exact"/>
        <w:ind w:firstLine="640" w:firstLineChars="200"/>
        <w:rPr>
          <w:rFonts w:eastAsia="仿宋_GB2312"/>
          <w:sz w:val="32"/>
          <w:szCs w:val="32"/>
        </w:rPr>
      </w:pPr>
      <w:r>
        <w:rPr>
          <w:rFonts w:eastAsia="仿宋_GB2312"/>
          <w:sz w:val="32"/>
          <w:szCs w:val="32"/>
        </w:rPr>
        <w:t>八、一般公共预算财政拨款基本支出决算表</w:t>
      </w:r>
    </w:p>
    <w:p>
      <w:pPr>
        <w:spacing w:line="560" w:lineRule="exact"/>
        <w:ind w:firstLine="640" w:firstLineChars="200"/>
        <w:rPr>
          <w:rFonts w:eastAsia="仿宋_GB2312"/>
          <w:sz w:val="32"/>
          <w:szCs w:val="32"/>
        </w:rPr>
      </w:pPr>
      <w:r>
        <w:rPr>
          <w:rFonts w:eastAsia="仿宋_GB2312"/>
          <w:sz w:val="32"/>
          <w:szCs w:val="32"/>
        </w:rPr>
        <w:t>九、一般公共预算财政拨款项目支出决算表</w:t>
      </w:r>
    </w:p>
    <w:p>
      <w:pPr>
        <w:spacing w:line="560" w:lineRule="exact"/>
        <w:ind w:firstLine="640" w:firstLineChars="200"/>
        <w:rPr>
          <w:rFonts w:eastAsia="仿宋_GB2312"/>
          <w:sz w:val="32"/>
          <w:szCs w:val="32"/>
        </w:rPr>
      </w:pPr>
      <w:r>
        <w:rPr>
          <w:rFonts w:eastAsia="仿宋_GB2312"/>
          <w:sz w:val="32"/>
          <w:szCs w:val="32"/>
        </w:rPr>
        <w:t>十、一般公共预算财政拨款“三公”经费支出决算表</w:t>
      </w:r>
    </w:p>
    <w:p>
      <w:pPr>
        <w:spacing w:line="560" w:lineRule="exact"/>
        <w:ind w:firstLine="640" w:firstLineChars="200"/>
        <w:rPr>
          <w:rFonts w:eastAsia="仿宋_GB2312"/>
          <w:sz w:val="32"/>
          <w:szCs w:val="32"/>
        </w:rPr>
      </w:pPr>
      <w:r>
        <w:rPr>
          <w:rFonts w:eastAsia="仿宋_GB2312"/>
          <w:sz w:val="32"/>
          <w:szCs w:val="32"/>
        </w:rPr>
        <w:t>十一、政府性基金预算财政拨款收入支出决算表</w:t>
      </w:r>
    </w:p>
    <w:p>
      <w:pPr>
        <w:spacing w:line="560" w:lineRule="exact"/>
        <w:ind w:firstLine="640" w:firstLineChars="200"/>
        <w:rPr>
          <w:rFonts w:eastAsia="仿宋_GB2312"/>
          <w:sz w:val="32"/>
          <w:szCs w:val="32"/>
        </w:rPr>
      </w:pPr>
      <w:r>
        <w:rPr>
          <w:rFonts w:eastAsia="仿宋_GB2312"/>
          <w:sz w:val="32"/>
          <w:szCs w:val="32"/>
        </w:rPr>
        <w:t>十二、政府性基金预算财政拨款“三公”经费支出决算表</w:t>
      </w:r>
    </w:p>
    <w:p>
      <w:pPr>
        <w:spacing w:line="560" w:lineRule="exact"/>
        <w:ind w:firstLine="640" w:firstLineChars="200"/>
        <w:rPr>
          <w:rFonts w:eastAsia="仿宋_GB2312"/>
          <w:sz w:val="32"/>
          <w:szCs w:val="32"/>
        </w:rPr>
      </w:pPr>
      <w:r>
        <w:rPr>
          <w:rFonts w:eastAsia="仿宋_GB2312"/>
          <w:sz w:val="32"/>
          <w:szCs w:val="32"/>
        </w:rPr>
        <w:t>十三、国有资本经营预算财政拨款收入支出决算表</w:t>
      </w:r>
    </w:p>
    <w:p>
      <w:pPr>
        <w:spacing w:line="560" w:lineRule="exact"/>
        <w:ind w:firstLine="640" w:firstLineChars="200"/>
        <w:rPr>
          <w:rFonts w:eastAsia="仿宋_GB2312"/>
          <w:sz w:val="32"/>
          <w:szCs w:val="32"/>
        </w:rPr>
      </w:pPr>
      <w:r>
        <w:rPr>
          <w:rFonts w:eastAsia="仿宋_GB2312"/>
          <w:sz w:val="32"/>
          <w:szCs w:val="32"/>
        </w:rPr>
        <w:t>十四、国有资本经营预算财政拨款支出决算表</w:t>
      </w:r>
    </w:p>
    <w:p/>
    <w:p>
      <w:pPr>
        <w:pStyle w:val="2"/>
      </w:pPr>
    </w:p>
    <w:p/>
    <w:p>
      <w:pPr>
        <w:pStyle w:val="2"/>
      </w:pPr>
    </w:p>
    <w:p/>
    <w:p>
      <w:pPr>
        <w:pStyle w:val="2"/>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86"/>
    <w:family w:val="auto"/>
    <w:pitch w:val="default"/>
    <w:sig w:usb0="E0002AFF" w:usb1="C0007843" w:usb2="00000009" w:usb3="00000000" w:csb0="400001FF" w:csb1="FFFF0000"/>
  </w:font>
  <w:font w:name="Traditional Arabic">
    <w:panose1 w:val="02020603050405020304"/>
    <w:charset w:val="00"/>
    <w:family w:val="roman"/>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300006"/>
    </w:sdtPr>
    <w:sdtContent>
      <w:p>
        <w:pPr>
          <w:pStyle w:val="5"/>
          <w:jc w:val="right"/>
        </w:pPr>
        <w:r>
          <w:fldChar w:fldCharType="begin"/>
        </w:r>
        <w:r>
          <w:instrText xml:space="preserve"> PAGE   \* MERGEFORMAT </w:instrText>
        </w:r>
        <w:r>
          <w:fldChar w:fldCharType="separate"/>
        </w:r>
        <w:r>
          <w:rPr>
            <w:lang w:val="zh-CN"/>
          </w:rPr>
          <w:t>-</w:t>
        </w:r>
        <w:r>
          <w:t xml:space="preserve"> 2 -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6E"/>
    <w:rsid w:val="00071BCF"/>
    <w:rsid w:val="000A2051"/>
    <w:rsid w:val="000B3534"/>
    <w:rsid w:val="00184E66"/>
    <w:rsid w:val="002033EB"/>
    <w:rsid w:val="002F7F4D"/>
    <w:rsid w:val="003C08D4"/>
    <w:rsid w:val="004144A2"/>
    <w:rsid w:val="00415D0C"/>
    <w:rsid w:val="00427EEB"/>
    <w:rsid w:val="00440C6E"/>
    <w:rsid w:val="00615FD0"/>
    <w:rsid w:val="0065297B"/>
    <w:rsid w:val="007E76B2"/>
    <w:rsid w:val="007F76D4"/>
    <w:rsid w:val="00845801"/>
    <w:rsid w:val="00884B8C"/>
    <w:rsid w:val="008A56D5"/>
    <w:rsid w:val="00934CAC"/>
    <w:rsid w:val="00974548"/>
    <w:rsid w:val="009A5FBB"/>
    <w:rsid w:val="009A6486"/>
    <w:rsid w:val="00AA7235"/>
    <w:rsid w:val="00BD7AC7"/>
    <w:rsid w:val="00D16554"/>
    <w:rsid w:val="00D27404"/>
    <w:rsid w:val="00D31732"/>
    <w:rsid w:val="00D73BFA"/>
    <w:rsid w:val="00DA7001"/>
    <w:rsid w:val="00DC2CEB"/>
    <w:rsid w:val="00DD48CE"/>
    <w:rsid w:val="00DD63A9"/>
    <w:rsid w:val="00DE5142"/>
    <w:rsid w:val="00E16CDE"/>
    <w:rsid w:val="00E65B4E"/>
    <w:rsid w:val="00FD7FA9"/>
    <w:rsid w:val="00FE2899"/>
    <w:rsid w:val="03C46641"/>
    <w:rsid w:val="1C98322F"/>
    <w:rsid w:val="257C67A9"/>
    <w:rsid w:val="2EB85334"/>
    <w:rsid w:val="4BAB34B4"/>
    <w:rsid w:val="5BC11BDC"/>
    <w:rsid w:val="6ACB5F91"/>
    <w:rsid w:val="70A85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style>
  <w:style w:type="paragraph" w:styleId="3">
    <w:name w:val="Normal Indent"/>
    <w:basedOn w:val="1"/>
    <w:unhideWhenUsed/>
    <w:qFormat/>
    <w:uiPriority w:val="99"/>
    <w:pPr>
      <w:ind w:firstLine="420" w:firstLineChars="2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character" w:customStyle="1" w:styleId="10">
    <w:name w:val="页眉 Char"/>
    <w:basedOn w:val="9"/>
    <w:link w:val="6"/>
    <w:semiHidden/>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称呼 Char"/>
    <w:basedOn w:val="9"/>
    <w:link w:val="2"/>
    <w:qFormat/>
    <w:uiPriority w:val="99"/>
    <w:rPr>
      <w:rFonts w:ascii="Times New Roman" w:hAnsi="Times New Roman" w:eastAsia="宋体" w:cs="Times New Roman"/>
      <w:szCs w:val="24"/>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1&#24180;\&#20915;&#31639;&#20844;&#24320;\&#36130;&#25919;&#23616;\2020&#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1&#24180;\&#20915;&#31639;&#20844;&#24320;\&#36130;&#25919;&#23616;\2020&#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1&#24180;\&#20915;&#31639;&#20844;&#24320;\&#36130;&#25919;&#23616;\2020&#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1&#24180;\&#20915;&#31639;&#20844;&#24320;\&#36130;&#25919;&#23616;\2020&#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1&#24180;\&#20915;&#31639;&#20844;&#24320;\&#36130;&#25919;&#23616;\2020&#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1&#24180;\&#20915;&#31639;&#20844;&#24320;\&#36130;&#25919;&#23616;\2020&#20915;&#31639;&#20844;&#24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1&#24180;\&#20915;&#31639;&#20844;&#24320;\&#36130;&#25919;&#23616;\2020&#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图1   收入、支出决算总计变动情况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[2020决算公开图表.xls]Sheet1!$A$58</c:f>
              <c:strCache>
                <c:ptCount val="1"/>
                <c:pt idx="0">
                  <c:v>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[2020决算公开图表.xls]Sheet1!$B$58:$C$58</c:f>
              <c:numCache>
                <c:formatCode>General</c:formatCode>
                <c:ptCount val="2"/>
                <c:pt idx="0">
                  <c:v>2020</c:v>
                </c:pt>
                <c:pt idx="1">
                  <c:v>2019</c:v>
                </c:pt>
              </c:numCache>
            </c:numRef>
          </c:cat>
          <c:val>
            <c:numRef>
              <c:f>[2020决算公开图表.xls]Sheet1!$B$59:$C$59</c:f>
              <c:numCache>
                <c:formatCode>General</c:formatCode>
                <c:ptCount val="2"/>
                <c:pt idx="0">
                  <c:v>1025.94</c:v>
                </c:pt>
                <c:pt idx="1">
                  <c:v>1081.61</c:v>
                </c:pt>
              </c:numCache>
            </c:numRef>
          </c:val>
        </c:ser>
        <c:dLbls>
          <c:showLegendKey val="0"/>
          <c:showVal val="1"/>
          <c:showCatName val="0"/>
          <c:showSerName val="0"/>
          <c:showPercent val="0"/>
          <c:showBubbleSize val="0"/>
        </c:dLbls>
        <c:gapWidth val="150"/>
        <c:axId val="425970304"/>
        <c:axId val="425972096"/>
      </c:barChart>
      <c:catAx>
        <c:axId val="425970304"/>
        <c:scaling>
          <c:orientation val="minMax"/>
        </c:scaling>
        <c:delete val="0"/>
        <c:axPos val="b"/>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425972096"/>
        <c:crosses val="autoZero"/>
        <c:auto val="1"/>
        <c:lblAlgn val="ctr"/>
        <c:lblOffset val="100"/>
        <c:noMultiLvlLbl val="0"/>
      </c:catAx>
      <c:valAx>
        <c:axId val="425972096"/>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425970304"/>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95550983669796"/>
          <c:y val="0.507462686567163"/>
          <c:w val="0.198534139128199"/>
          <c:h val="0.219402985074627"/>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图2    收入决算结构图</a:t>
            </a:r>
            <a:endParaRPr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Pt>
            <c:idx val="5"/>
            <c:bubble3D val="0"/>
            <c:spPr>
              <a:solidFill>
                <a:srgbClr val="FF8080"/>
              </a:solidFill>
              <a:ln w="12700">
                <a:solidFill>
                  <a:srgbClr val="000000">
                    <a:alpha val="100000"/>
                  </a:srgbClr>
                </a:solidFill>
                <a:prstDash val="solid"/>
              </a:ln>
              <a:effectLst/>
            </c:spPr>
          </c:dPt>
          <c:dLbls>
            <c:dLbl>
              <c:idx val="0"/>
              <c:layout>
                <c:manualLayout>
                  <c:x val="-0.236402050956477"/>
                  <c:y val="-0.117321542699747"/>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ysClr val="windowText" lastClr="000000">
                            <a:alpha val="100000"/>
                          </a:sysClr>
                        </a:solidFill>
                        <a:latin typeface="+mn-lt"/>
                        <a:ea typeface="+mn-ea"/>
                        <a:cs typeface="+mn-cs"/>
                      </a:defRPr>
                    </a:pPr>
                    <a:r>
                      <a:rPr lang="en-US" altLang="zh-CN" sz="1200" b="0" i="0" u="none" strike="noStrike" baseline="0">
                        <a:solidFill>
                          <a:sysClr val="windowText" lastClr="000000">
                            <a:alpha val="100000"/>
                          </a:sysClr>
                        </a:solidFill>
                        <a:latin typeface="宋体" panose="02010600030101010101" charset="-122"/>
                        <a:ea typeface="宋体" panose="02010600030101010101" charset="-122"/>
                        <a:cs typeface="宋体" panose="02010600030101010101" charset="-122"/>
                      </a:rPr>
                      <a:t>998.86</a:t>
                    </a:r>
                    <a:r>
                      <a:rPr sz="1200" b="0" i="0" u="none" strike="noStrike" baseline="0">
                        <a:solidFill>
                          <a:sysClr val="windowText" lastClr="000000">
                            <a:alpha val="100000"/>
                          </a:sysClr>
                        </a:solidFill>
                        <a:latin typeface="宋体" panose="02010600030101010101" charset="-122"/>
                        <a:ea typeface="宋体" panose="02010600030101010101" charset="-122"/>
                        <a:cs typeface="宋体" panose="02010600030101010101" charset="-122"/>
                      </a:rPr>
                      <a:t>, </a:t>
                    </a:r>
                    <a:r>
                      <a:rPr lang="en-US" altLang="zh-CN" sz="1200" b="0" i="0" u="none" strike="noStrike" baseline="0">
                        <a:solidFill>
                          <a:sysClr val="windowText" lastClr="000000">
                            <a:alpha val="100000"/>
                          </a:sysClr>
                        </a:solidFill>
                        <a:latin typeface="宋体" panose="02010600030101010101" charset="-122"/>
                        <a:ea typeface="宋体" panose="02010600030101010101" charset="-122"/>
                        <a:cs typeface="宋体" panose="02010600030101010101" charset="-122"/>
                      </a:rPr>
                      <a:t>100</a:t>
                    </a:r>
                    <a:r>
                      <a:rPr sz="1200" b="0" i="0" u="none" strike="noStrike" baseline="0">
                        <a:solidFill>
                          <a:sysClr val="windowText" lastClr="000000">
                            <a:alpha val="100000"/>
                          </a:sysClr>
                        </a:solidFill>
                        <a:latin typeface="宋体" panose="02010600030101010101" charset="-122"/>
                        <a:ea typeface="宋体" panose="02010600030101010101" charset="-122"/>
                        <a:cs typeface="宋体" panose="02010600030101010101" charset="-122"/>
                      </a:rPr>
                      <a:t>%</a:t>
                    </a:r>
                    <a:endParaRPr sz="1200" b="0" i="0" u="none" strike="noStrike" cap="none" normalizeH="0" baseline="0">
                      <a:solidFill>
                        <a:sysClr val="windowText" lastClr="000000">
                          <a:alpha val="100000"/>
                        </a:sysClr>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ysClr val="windowText" lastClr="000000">
                          <a:alpha val="100000"/>
                        </a:sysClr>
                      </a:solidFill>
                      <a:latin typeface="+mn-lt"/>
                      <a:ea typeface="+mn-ea"/>
                      <a:cs typeface="+mn-cs"/>
                    </a:defRPr>
                  </a:pPr>
                </a:p>
              </c:txPr>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lgn="ctr" defTabSz="914400">
                      <a:defRPr lang="zh-CN" sz="1000" b="0" i="0" u="none" strike="noStrike" kern="1200" baseline="0">
                        <a:solidFill>
                          <a:srgbClr val="000000">
                            <a:alpha val="100000"/>
                          </a:srgbClr>
                        </a:solidFill>
                        <a:latin typeface="+mn-lt"/>
                        <a:ea typeface="+mn-ea"/>
                        <a:cs typeface="+mn-cs"/>
                      </a:defRPr>
                    </a:pPr>
                    <a:r>
                      <a:rPr sz="1200" b="0" i="0" u="none" strike="noStrike" baseline="0">
                        <a:solidFill>
                          <a:srgbClr val="FF0000"/>
                        </a:solidFill>
                        <a:latin typeface="宋体" panose="02010600030101010101" charset="-122"/>
                        <a:ea typeface="宋体" panose="02010600030101010101" charset="-122"/>
                        <a:cs typeface="宋体" panose="02010600030101010101" charset="-122"/>
                      </a:rPr>
                      <a:t>27.08, </a:t>
                    </a:r>
                    <a:r>
                      <a:rPr lang="en-US" altLang="zh-CN" sz="1200" b="0" i="0" u="none" strike="noStrike" baseline="0">
                        <a:solidFill>
                          <a:srgbClr val="333333"/>
                        </a:solidFill>
                        <a:latin typeface="Arial" panose="020B0604020202020204" charset="-122"/>
                        <a:ea typeface="Arial" panose="020B0604020202020204" charset="-122"/>
                        <a:cs typeface="Arial" panose="020B0604020202020204" charset="-122"/>
                      </a:rPr>
                      <a:t>2.5</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a:t>
                    </a:r>
                    <a:endParaRPr sz="1200" b="0" i="0" u="none" strike="noStrike" cap="none" normalizeH="0" baseline="0">
                      <a:solidFill>
                        <a:srgbClr val="000000"/>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alpha val="100000"/>
                        </a:srgbClr>
                      </a:solidFill>
                      <a:latin typeface="+mn-lt"/>
                      <a:ea typeface="+mn-ea"/>
                      <a:cs typeface="+mn-cs"/>
                    </a:defRPr>
                  </a:pPr>
                </a:p>
              </c:txPr>
              <c:dLblPos val="bestFit"/>
              <c:showLegendKey val="1"/>
              <c:showVal val="1"/>
              <c:showCatName val="0"/>
              <c:showSerName val="0"/>
              <c:showPercent val="1"/>
              <c:showBubbleSize val="0"/>
              <c:extLst>
                <c:ext xmlns:c15="http://schemas.microsoft.com/office/drawing/2012/chart" uri="{CE6537A1-D6FC-4f65-9D91-7224C49458BB}"/>
              </c:extLst>
            </c:dLbl>
            <c:numFmt formatCode="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[2020决算公开图表.xls]Sheet1!$B$3:$B$8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[2020决算公开图表.xls]Sheet1!$C$3:$C$8</c:f>
              <c:numCache>
                <c:formatCode>General</c:formatCode>
                <c:ptCount val="6"/>
                <c:pt idx="0">
                  <c:v>998.859999999999</c:v>
                </c:pt>
                <c:pt idx="2">
                  <c:v>0</c:v>
                </c:pt>
                <c:pt idx="3">
                  <c:v>0</c:v>
                </c:pt>
                <c:pt idx="4">
                  <c:v>0</c:v>
                </c:pt>
                <c:pt idx="5">
                  <c:v>0</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dLbls>
            <c:delete val="1"/>
          </c:dLbls>
          <c:cat>
            <c:strRef>
              <c:f>[2020决算公开图表.xls]Sheet1!$B$3:$B$8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[2020决算公开图表.xls]Sheet1!$D$3:$D$8</c:f>
              <c:numCache>
                <c:formatCode>0.00%</c:formatCode>
                <c:ptCount val="6"/>
                <c:pt idx="0">
                  <c:v>1</c:v>
                </c:pt>
                <c:pt idx="2" c:formatCode="0%">
                  <c:v>0</c:v>
                </c:pt>
                <c:pt idx="3" c:formatCode="0%">
                  <c:v>0</c:v>
                </c:pt>
                <c:pt idx="4" c:formatCode="0%">
                  <c:v>0</c:v>
                </c:pt>
                <c:pt idx="5" c:formatCode="0%">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9500000000001"/>
          <c:y val="0.23575"/>
          <c:w val="0.3345"/>
          <c:h val="0.664750000000001"/>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图3    支出决算结构图</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Lbls>
            <c:dLbl>
              <c:idx val="2"/>
              <c:layout>
                <c:manualLayout>
                  <c:x val="-0.103207810320781"/>
                  <c:y val="0"/>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239888423988842"/>
                  <c:y val="0.166235685260436"/>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[2020决算公开图表.xls]Sheet1!$B$34:$B$38</c:f>
              <c:strCache>
                <c:ptCount val="5"/>
                <c:pt idx="0">
                  <c:v>基本支出</c:v>
                </c:pt>
                <c:pt idx="1">
                  <c:v>项目支出</c:v>
                </c:pt>
                <c:pt idx="2">
                  <c:v>上缴上级支出</c:v>
                </c:pt>
                <c:pt idx="3">
                  <c:v>经营支出</c:v>
                </c:pt>
                <c:pt idx="4">
                  <c:v>对附属单位补助支出</c:v>
                </c:pt>
              </c:strCache>
            </c:strRef>
          </c:cat>
          <c:val>
            <c:numRef>
              <c:f>[2020决算公开图表.xls]Sheet1!$C$34:$C$38</c:f>
              <c:numCache>
                <c:formatCode>General</c:formatCode>
                <c:ptCount val="5"/>
                <c:pt idx="0">
                  <c:v>620.049999999999</c:v>
                </c:pt>
                <c:pt idx="1">
                  <c:v>378.81</c:v>
                </c:pt>
                <c:pt idx="2">
                  <c:v>0</c:v>
                </c:pt>
                <c:pt idx="3">
                  <c:v>0</c:v>
                </c:pt>
                <c:pt idx="4">
                  <c:v>0</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delete val="1"/>
          </c:dLbls>
          <c:cat>
            <c:strRef>
              <c:f>[2020决算公开图表.xls]Sheet1!$B$34:$B$38</c:f>
              <c:strCache>
                <c:ptCount val="5"/>
                <c:pt idx="0">
                  <c:v>基本支出</c:v>
                </c:pt>
                <c:pt idx="1">
                  <c:v>项目支出</c:v>
                </c:pt>
                <c:pt idx="2">
                  <c:v>上缴上级支出</c:v>
                </c:pt>
                <c:pt idx="3">
                  <c:v>经营支出</c:v>
                </c:pt>
                <c:pt idx="4">
                  <c:v>对附属单位补助支出</c:v>
                </c:pt>
              </c:strCache>
            </c:strRef>
          </c:cat>
          <c:val>
            <c:numRef>
              <c:f>[2020决算公开图表.xls]Sheet1!$D$34:$D$38</c:f>
              <c:numCache>
                <c:formatCode>0.00%</c:formatCode>
                <c:ptCount val="5"/>
                <c:pt idx="0">
                  <c:v>0.620800000000001</c:v>
                </c:pt>
                <c:pt idx="1">
                  <c:v>0.3792</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7000000000001"/>
          <c:y val="0.4175"/>
          <c:w val="0.23725"/>
          <c:h val="0.2982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图4    财政拨款收、支总计决算变动情况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[2020决算公开图表.xls]Sheet1!$A$168</c:f>
              <c:strCache>
                <c:ptCount val="1"/>
                <c:pt idx="0">
                  <c:v>财政拨款收入、支出总计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[2020决算公开图表.xls]Sheet1!$B$167:$C$167</c:f>
              <c:strCache>
                <c:ptCount val="2"/>
                <c:pt idx="0">
                  <c:v>2020年</c:v>
                </c:pt>
                <c:pt idx="1">
                  <c:v>2019年</c:v>
                </c:pt>
              </c:strCache>
            </c:strRef>
          </c:cat>
          <c:val>
            <c:numRef>
              <c:f>[2020决算公开图表.xls]Sheet1!$B$168:$C$168</c:f>
              <c:numCache>
                <c:formatCode>General</c:formatCode>
                <c:ptCount val="2"/>
                <c:pt idx="0">
                  <c:v>1025.94</c:v>
                </c:pt>
                <c:pt idx="1">
                  <c:v>1081.61</c:v>
                </c:pt>
              </c:numCache>
            </c:numRef>
          </c:val>
        </c:ser>
        <c:dLbls>
          <c:showLegendKey val="0"/>
          <c:showVal val="1"/>
          <c:showCatName val="0"/>
          <c:showSerName val="0"/>
          <c:showPercent val="0"/>
          <c:showBubbleSize val="0"/>
        </c:dLbls>
        <c:gapWidth val="150"/>
        <c:axId val="426036608"/>
        <c:axId val="426046592"/>
      </c:barChart>
      <c:catAx>
        <c:axId val="426036608"/>
        <c:scaling>
          <c:orientation val="minMax"/>
        </c:scaling>
        <c:delete val="0"/>
        <c:axPos val="b"/>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426046592"/>
        <c:crosses val="autoZero"/>
        <c:auto val="1"/>
        <c:lblAlgn val="ctr"/>
        <c:lblOffset val="100"/>
        <c:noMultiLvlLbl val="0"/>
      </c:catAx>
      <c:valAx>
        <c:axId val="426046592"/>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426036608"/>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025"/>
          <c:y val="0.50425"/>
          <c:w val="0.291"/>
          <c:h val="0.059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      一般公共预算财政拨款支出决算变动情况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[2020决算公开图表.xls]Sheet1!$A$85</c:f>
              <c:strCache>
                <c:ptCount val="1"/>
                <c:pt idx="0">
                  <c:v>一般公共预算财政拨款支出</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[2020决算公开图表.xls]Sheet1!$B$84:$C$84</c:f>
              <c:strCache>
                <c:ptCount val="2"/>
                <c:pt idx="0">
                  <c:v>2020年</c:v>
                </c:pt>
                <c:pt idx="1">
                  <c:v>2019年</c:v>
                </c:pt>
              </c:strCache>
            </c:strRef>
          </c:cat>
          <c:val>
            <c:numRef>
              <c:f>[2020决算公开图表.xls]Sheet1!$B$85:$C$85</c:f>
              <c:numCache>
                <c:formatCode>General</c:formatCode>
                <c:ptCount val="2"/>
                <c:pt idx="0">
                  <c:v>998.859999999999</c:v>
                </c:pt>
                <c:pt idx="1">
                  <c:v>1054.53</c:v>
                </c:pt>
              </c:numCache>
            </c:numRef>
          </c:val>
        </c:ser>
        <c:dLbls>
          <c:showLegendKey val="0"/>
          <c:showVal val="1"/>
          <c:showCatName val="0"/>
          <c:showSerName val="0"/>
          <c:showPercent val="0"/>
          <c:showBubbleSize val="0"/>
        </c:dLbls>
        <c:gapWidth val="150"/>
        <c:axId val="255022208"/>
        <c:axId val="255023744"/>
      </c:barChart>
      <c:catAx>
        <c:axId val="255022208"/>
        <c:scaling>
          <c:orientation val="minMax"/>
        </c:scaling>
        <c:delete val="0"/>
        <c:axPos val="b"/>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255023744"/>
        <c:crosses val="autoZero"/>
        <c:auto val="1"/>
        <c:lblAlgn val="ctr"/>
        <c:lblOffset val="100"/>
        <c:noMultiLvlLbl val="0"/>
      </c:catAx>
      <c:valAx>
        <c:axId val="255023744"/>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255022208"/>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662290299051788"/>
          <c:y val="0.350900423728814"/>
          <c:w val="0.315220034038415"/>
          <c:h val="0.151483050847458"/>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图6    一般公共预算财政拨款支出决算结构</a:t>
            </a:r>
            <a:endParaRPr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3925479618915"/>
          <c:y val="0.0179802217560683"/>
        </c:manualLayout>
      </c:layout>
      <c:overlay val="0"/>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9999FF"/>
              </a:solidFill>
              <a:ln w="12700">
                <a:solidFill>
                  <a:srgbClr val="000000">
                    <a:alpha val="100000"/>
                  </a:srgbClr>
                </a:solidFill>
                <a:prstDash val="solid"/>
              </a:ln>
              <a:effectLst/>
            </c:spPr>
          </c:dPt>
          <c:dLbls>
            <c:dLbl>
              <c:idx val="1"/>
              <c:layout>
                <c:manualLayout>
                  <c:x val="-0.0552486187845304"/>
                  <c:y val="0.0966436919388673"/>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05801104972376"/>
                  <c:y val="0.0179802217560683"/>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00276243093922652"/>
                  <c:y val="0.00899011087803417"/>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64372203675361"/>
                  <c:y val="0.031363919852724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25"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[2020决算公开图表.xls]Sheet1!$A$110:$A$114</c:f>
              <c:strCache>
                <c:ptCount val="5"/>
                <c:pt idx="0">
                  <c:v>一般公共服务支出</c:v>
                </c:pt>
                <c:pt idx="1">
                  <c:v>社会保障和就业支出</c:v>
                </c:pt>
                <c:pt idx="2">
                  <c:v>住房保障支出</c:v>
                </c:pt>
                <c:pt idx="3">
                  <c:v>农林水支出</c:v>
                </c:pt>
                <c:pt idx="4">
                  <c:v>卫生健康支出</c:v>
                </c:pt>
              </c:strCache>
            </c:strRef>
          </c:cat>
          <c:val>
            <c:numRef>
              <c:f>[2020决算公开图表.xls]Sheet1!$B$110:$B$114</c:f>
              <c:numCache>
                <c:formatCode>General</c:formatCode>
                <c:ptCount val="5"/>
                <c:pt idx="0">
                  <c:v>877</c:v>
                </c:pt>
                <c:pt idx="1">
                  <c:v>62.38</c:v>
                </c:pt>
                <c:pt idx="2">
                  <c:v>56.48</c:v>
                </c:pt>
                <c:pt idx="3">
                  <c:v>2</c:v>
                </c:pt>
                <c:pt idx="4">
                  <c:v>1</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993366"/>
              </a:solidFill>
              <a:ln w="12700">
                <a:solidFill>
                  <a:srgbClr val="000000"/>
                </a:solidFill>
                <a:prstDash val="solid"/>
              </a:ln>
              <a:effectLst/>
            </c:spPr>
          </c:dPt>
          <c:dLbls>
            <c:delete val="1"/>
          </c:dLbls>
          <c:cat>
            <c:strRef>
              <c:f>[2020决算公开图表.xls]Sheet1!$A$110:$A$114</c:f>
              <c:strCache>
                <c:ptCount val="5"/>
                <c:pt idx="0">
                  <c:v>一般公共服务支出</c:v>
                </c:pt>
                <c:pt idx="1">
                  <c:v>社会保障和就业支出</c:v>
                </c:pt>
                <c:pt idx="2">
                  <c:v>住房保障支出</c:v>
                </c:pt>
                <c:pt idx="3">
                  <c:v>农林水支出</c:v>
                </c:pt>
                <c:pt idx="4">
                  <c:v>卫生健康支出</c:v>
                </c:pt>
              </c:strCache>
            </c:strRef>
          </c:cat>
          <c:val>
            <c:numRef>
              <c:f>[2020决算公开图表.xls]Sheet1!$C$110:$C$114</c:f>
              <c:numCache>
                <c:formatCode>0.00%</c:formatCode>
                <c:ptCount val="5"/>
                <c:pt idx="0">
                  <c:v>0.878000000000001</c:v>
                </c:pt>
                <c:pt idx="1">
                  <c:v>0.0625</c:v>
                </c:pt>
                <c:pt idx="2">
                  <c:v>0.0565</c:v>
                </c:pt>
                <c:pt idx="3">
                  <c:v>0.002</c:v>
                </c:pt>
                <c:pt idx="4">
                  <c:v>0.001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76148005303123"/>
          <c:y val="0.257305353990979"/>
          <c:w val="0.238760997951067"/>
          <c:h val="0.581878799764659"/>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Arial" panose="020B0604020202020204" charset="-122"/>
                <a:ea typeface="Arial" panose="020B0604020202020204" charset="-122"/>
                <a:cs typeface="Arial" panose="020B0604020202020204" charset="-122"/>
              </a:rPr>
              <a:t>7</a:t>
            </a:r>
            <a:r>
              <a:rPr sz="1400" b="0" i="0" u="none" strike="noStrike" baseline="0">
                <a:solidFill>
                  <a:srgbClr val="000000"/>
                </a:solidFill>
                <a:latin typeface="宋体" panose="02010600030101010101" charset="-122"/>
                <a:ea typeface="宋体" panose="02010600030101010101" charset="-122"/>
                <a:cs typeface="宋体" panose="02010600030101010101" charset="-122"/>
              </a:rPr>
              <a:t>  “三公”经费财政拨款支出结构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67368596216539"/>
          <c:y val="0.0221606648199446"/>
        </c:manualLayout>
      </c:layout>
      <c:overlay val="0"/>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Lbls>
            <c:dLbl>
              <c:idx val="0"/>
              <c:layout>
                <c:manualLayout>
                  <c:x val="-0.175792507204611"/>
                  <c:y val="0.047091412742382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[2020决算公开图表.xls]Sheet1!$B$138:$B$140</c:f>
              <c:strCache>
                <c:ptCount val="3"/>
                <c:pt idx="0">
                  <c:v>因公出国（境）费支出</c:v>
                </c:pt>
                <c:pt idx="1">
                  <c:v>公务用车购置及运行维护费支出</c:v>
                </c:pt>
                <c:pt idx="2">
                  <c:v>公务接待费支出</c:v>
                </c:pt>
              </c:strCache>
            </c:strRef>
          </c:cat>
          <c:val>
            <c:numRef>
              <c:f>[2020决算公开图表.xls]Sheet1!$C$138:$C$140</c:f>
              <c:numCache>
                <c:formatCode>General</c:formatCode>
                <c:ptCount val="3"/>
                <c:pt idx="0">
                  <c:v>0</c:v>
                </c:pt>
                <c:pt idx="2">
                  <c:v>0.07</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Lbls>
            <c:delete val="1"/>
          </c:dLbls>
          <c:cat>
            <c:strRef>
              <c:f>[2020决算公开图表.xls]Sheet1!$B$138:$B$140</c:f>
              <c:strCache>
                <c:ptCount val="3"/>
                <c:pt idx="0">
                  <c:v>因公出国（境）费支出</c:v>
                </c:pt>
                <c:pt idx="1">
                  <c:v>公务用车购置及运行维护费支出</c:v>
                </c:pt>
                <c:pt idx="2">
                  <c:v>公务接待费支出</c:v>
                </c:pt>
              </c:strCache>
            </c:strRef>
          </c:cat>
          <c:val>
            <c:numRef>
              <c:f>[2020决算公开图表.xls]Sheet1!$D$138:$D$140</c:f>
              <c:numCache>
                <c:formatCode>General</c:formatCode>
                <c:ptCount val="3"/>
                <c:pt idx="0">
                  <c:v>0</c:v>
                </c:pt>
                <c:pt idx="2" c:formatCode="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27178498252381"/>
          <c:y val="0.139944392956441"/>
          <c:w val="0.338556104616126"/>
          <c:h val="0.47057460611677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4211-8995-4052-9A63-61390B4A47F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21596</Words>
  <Characters>24437</Characters>
  <Lines>180</Lines>
  <Paragraphs>50</Paragraphs>
  <TotalTime>136</TotalTime>
  <ScaleCrop>false</ScaleCrop>
  <LinksUpToDate>false</LinksUpToDate>
  <CharactersWithSpaces>24528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2021-10-22T08:50:00Z</dcterms:created>
  <dc:creator>文素华</dc:creator>
  <cp:lastModifiedBy>Sunny+叶子</cp:lastModifiedBy>
  <cp:lastPrinted>2021-11-01T02:17:00Z</cp:lastPrinted>
  <dcterms:modified xsi:type="dcterms:W3CDTF">2022-06-24T02:42:39Z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65AF54136D944648AD79C3A3C278B246</vt:lpwstr>
  </property>
</Properties>
</file>