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rPr>
          <w:rFonts w:eastAsia="方正小标宋简体"/>
          <w:color w:val="000000"/>
          <w:kern w:val="0"/>
          <w:sz w:val="44"/>
          <w:szCs w:val="44"/>
          <w:lang w:val="en-US"/>
        </w:rPr>
      </w:pPr>
      <w:r>
        <w:rPr>
          <w:rFonts w:ascii="Times New Roman" w:hAnsi="Times New Roman" w:eastAsia="黑体"/>
          <w:sz w:val="32"/>
          <w:szCs w:val="32"/>
        </w:rPr>
        <w:t>附件</w:t>
      </w:r>
      <w:r>
        <w:rPr>
          <w:rFonts w:hint="eastAsia" w:eastAsia="黑体"/>
          <w:sz w:val="32"/>
          <w:szCs w:val="32"/>
          <w:lang w:val="en-US" w:eastAsia="zh-CN"/>
        </w:rPr>
        <w:t>4</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盐边县就业创业促进中心</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中央财政工业企业结构调整专项奖补资金</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bookmarkStart w:id="0" w:name="_GoBack"/>
      <w:bookmarkEnd w:id="0"/>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该项目实施单位为盐边县就业创业促进中心，项目名称为：</w:t>
      </w:r>
      <w:r>
        <w:rPr>
          <w:rFonts w:hint="eastAsia" w:ascii="仿宋_GB2312" w:hAnsi="仿宋" w:eastAsia="仿宋_GB2312"/>
          <w:color w:val="auto"/>
          <w:sz w:val="32"/>
          <w:szCs w:val="32"/>
          <w:lang w:val="en-US" w:eastAsia="zh-CN"/>
        </w:rPr>
        <w:t>中央财政工业企业结构调整专项奖补资金</w:t>
      </w:r>
      <w:r>
        <w:rPr>
          <w:rFonts w:hint="eastAsia" w:ascii="仿宋_GB2312" w:hAnsi="仿宋" w:eastAsia="仿宋_GB2312"/>
          <w:color w:val="auto"/>
          <w:sz w:val="32"/>
          <w:szCs w:val="32"/>
          <w:lang w:eastAsia="zh-CN"/>
        </w:rPr>
        <w:t>。该项目实施内容为：</w:t>
      </w:r>
      <w:r>
        <w:rPr>
          <w:rFonts w:hint="eastAsia" w:ascii="仿宋_GB2312" w:eastAsia="仿宋_GB2312"/>
          <w:color w:val="auto"/>
          <w:sz w:val="32"/>
          <w:szCs w:val="32"/>
          <w:highlight w:val="none"/>
          <w:lang w:eastAsia="zh-CN"/>
        </w:rPr>
        <w:t>为深入贯彻落实习近平总书记关于坚决打赢疫情防控阻击战的重要指示精神，全面落实党中央各项决策部署，支持企业渡过难关，稳定社会预期，促进经济平稳健康发展，下达</w:t>
      </w:r>
      <w:r>
        <w:rPr>
          <w:rFonts w:hint="eastAsia" w:ascii="仿宋_GB2312" w:eastAsia="仿宋_GB2312"/>
          <w:color w:val="auto"/>
          <w:sz w:val="32"/>
          <w:szCs w:val="32"/>
          <w:highlight w:val="none"/>
          <w:lang w:val="en-US" w:eastAsia="zh-CN"/>
        </w:rPr>
        <w:t>中央财政工业企业结构调整专项奖补资金，为全县疫情防控期间主动采取措施保障职工不失业成效显著的46家企业给予稳岗奖补</w:t>
      </w:r>
      <w:r>
        <w:rPr>
          <w:rFonts w:hint="eastAsia" w:ascii="仿宋_GB2312" w:hAnsi="仿宋" w:eastAsia="仿宋_GB2312"/>
          <w:color w:val="auto"/>
          <w:sz w:val="32"/>
          <w:szCs w:val="32"/>
          <w:highlight w:val="none"/>
          <w:lang w:val="en-US" w:eastAsia="zh-CN"/>
        </w:rPr>
        <w:t>。</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依据川财社【2020】113号对</w:t>
      </w:r>
      <w:r>
        <w:rPr>
          <w:rFonts w:hint="eastAsia" w:ascii="仿宋_GB2312" w:hAnsi="仿宋" w:eastAsia="仿宋_GB2312"/>
          <w:color w:val="auto"/>
          <w:sz w:val="32"/>
          <w:szCs w:val="32"/>
          <w:lang w:val="en-US" w:eastAsia="zh-CN"/>
        </w:rPr>
        <w:t>中央财政工业企业结构调整专项奖补资金</w:t>
      </w:r>
      <w:r>
        <w:rPr>
          <w:rFonts w:hint="eastAsia" w:ascii="仿宋_GB2312" w:hAnsi="仿宋" w:eastAsia="仿宋_GB2312"/>
          <w:color w:val="auto"/>
          <w:sz w:val="32"/>
          <w:szCs w:val="32"/>
          <w:lang w:eastAsia="zh-CN"/>
        </w:rPr>
        <w:t>等文件要求，</w:t>
      </w:r>
      <w:r>
        <w:rPr>
          <w:rFonts w:hint="eastAsia" w:ascii="仿宋_GB2312" w:hAnsi="仿宋" w:eastAsia="仿宋_GB2312"/>
          <w:color w:val="auto"/>
          <w:sz w:val="32"/>
          <w:szCs w:val="32"/>
          <w:lang w:val="en-US" w:eastAsia="zh-CN"/>
        </w:rPr>
        <w:t>中央财政工业企业结构调整专项奖补资金（上年结转和结余）</w:t>
      </w:r>
      <w:r>
        <w:rPr>
          <w:rFonts w:hint="eastAsia" w:ascii="仿宋_GB2312" w:hAnsi="仿宋" w:eastAsia="仿宋_GB2312"/>
          <w:color w:val="auto"/>
          <w:sz w:val="32"/>
          <w:szCs w:val="32"/>
          <w:lang w:eastAsia="zh-CN"/>
        </w:rPr>
        <w:t>共计</w:t>
      </w:r>
      <w:r>
        <w:rPr>
          <w:rFonts w:hint="eastAsia" w:ascii="仿宋_GB2312" w:hAnsi="仿宋" w:eastAsia="仿宋_GB2312"/>
          <w:color w:val="auto"/>
          <w:sz w:val="32"/>
          <w:szCs w:val="32"/>
          <w:lang w:val="en-US" w:eastAsia="zh-CN"/>
        </w:rPr>
        <w:t>420000元。</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该笔项目资金的管理，依据盐边财政关于项目资金的使用要求进行资金管理，专款专用，及时用于</w:t>
      </w:r>
      <w:r>
        <w:rPr>
          <w:rFonts w:hint="eastAsia" w:ascii="仿宋_GB2312" w:eastAsia="仿宋_GB2312"/>
          <w:color w:val="auto"/>
          <w:sz w:val="32"/>
          <w:szCs w:val="32"/>
          <w:highlight w:val="none"/>
          <w:lang w:val="en-US" w:eastAsia="zh-CN"/>
        </w:rPr>
        <w:t>疫情防控期间主动采取措施保障职工不失业成效显著的46家企业给予稳岗奖补</w:t>
      </w:r>
      <w:r>
        <w:rPr>
          <w:rFonts w:hint="eastAsia" w:ascii="仿宋_GB2312" w:hAnsi="仿宋" w:eastAsia="仿宋_GB2312"/>
          <w:color w:val="auto"/>
          <w:sz w:val="32"/>
          <w:szCs w:val="32"/>
          <w:lang w:eastAsia="zh-CN"/>
        </w:rPr>
        <w:t>。</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hint="eastAsia" w:ascii="仿宋_GB2312" w:hAnsi="仿宋" w:eastAsia="仿宋_GB2312"/>
          <w:color w:val="auto"/>
          <w:sz w:val="32"/>
          <w:szCs w:val="32"/>
          <w:lang w:eastAsia="zh-CN"/>
        </w:rPr>
      </w:pPr>
      <w:r>
        <w:rPr>
          <w:rFonts w:hint="eastAsia" w:eastAsia="仿宋_GB2312"/>
          <w:sz w:val="32"/>
          <w:szCs w:val="32"/>
          <w:lang w:eastAsia="zh-CN"/>
        </w:rPr>
        <w:t>根据</w:t>
      </w:r>
      <w:r>
        <w:rPr>
          <w:rFonts w:hint="eastAsia" w:ascii="仿宋_GB2312" w:hAnsi="仿宋" w:eastAsia="仿宋_GB2312"/>
          <w:color w:val="auto"/>
          <w:sz w:val="32"/>
          <w:szCs w:val="32"/>
          <w:lang w:eastAsia="zh-CN"/>
        </w:rPr>
        <w:t>川财社【2020】1</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lang w:eastAsia="zh-CN"/>
        </w:rPr>
        <w:t>号文件要求及该工作实际情况，</w:t>
      </w:r>
      <w:r>
        <w:rPr>
          <w:rFonts w:hint="eastAsia" w:ascii="仿宋_GB2312" w:eastAsia="仿宋_GB2312"/>
          <w:color w:val="auto"/>
          <w:sz w:val="32"/>
          <w:szCs w:val="32"/>
          <w:highlight w:val="none"/>
          <w:lang w:val="en-US" w:eastAsia="zh-CN"/>
        </w:rPr>
        <w:t>为全县疫情防控期间主动采取措施保障职工不失业成效显著的46家企业给予稳岗奖补，</w:t>
      </w:r>
      <w:r>
        <w:rPr>
          <w:rFonts w:hint="eastAsia" w:ascii="仿宋_GB2312" w:eastAsia="仿宋_GB2312"/>
          <w:color w:val="auto"/>
          <w:sz w:val="32"/>
          <w:szCs w:val="32"/>
          <w:highlight w:val="none"/>
          <w:lang w:eastAsia="zh-CN"/>
        </w:rPr>
        <w:t>支持企业渡过难关，稳定社会预期，促进经济平稳健康发展</w:t>
      </w:r>
      <w:r>
        <w:rPr>
          <w:rFonts w:hint="eastAsia" w:ascii="仿宋_GB2312" w:hAnsi="仿宋" w:eastAsia="仿宋_GB2312"/>
          <w:color w:val="auto"/>
          <w:sz w:val="32"/>
          <w:szCs w:val="32"/>
          <w:lang w:eastAsia="zh-CN"/>
        </w:rPr>
        <w:t>。</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ascii="仿宋_GB2312" w:eastAsia="仿宋_GB2312"/>
          <w:color w:val="auto"/>
          <w:sz w:val="32"/>
          <w:szCs w:val="32"/>
          <w:highlight w:val="none"/>
          <w:lang w:eastAsia="zh-CN"/>
        </w:rPr>
        <w:t>深入贯彻落实习近平总书记关于坚决打赢疫情防控阻击战的重要指示精神，全面落实党中央各项决策部署，支持企业渡过难关，稳定社会预期，促进经济平稳健康发展，下达</w:t>
      </w:r>
      <w:r>
        <w:rPr>
          <w:rFonts w:hint="eastAsia" w:ascii="仿宋_GB2312" w:eastAsia="仿宋_GB2312"/>
          <w:color w:val="auto"/>
          <w:sz w:val="32"/>
          <w:szCs w:val="32"/>
          <w:highlight w:val="none"/>
          <w:lang w:val="en-US" w:eastAsia="zh-CN"/>
        </w:rPr>
        <w:t>中央财政工业企业结构调整专项奖补资金，为全县疫情防控期间主动采取措施保障职工不失业成效显著的46家企业给予稳岗奖补</w:t>
      </w:r>
      <w:r>
        <w:rPr>
          <w:rFonts w:hint="eastAsia" w:ascii="仿宋_GB2312" w:hAnsi="仿宋" w:eastAsia="仿宋_GB2312"/>
          <w:color w:val="auto"/>
          <w:sz w:val="32"/>
          <w:szCs w:val="32"/>
          <w:highlight w:val="none"/>
          <w:lang w:val="en-US" w:eastAsia="zh-CN"/>
        </w:rPr>
        <w:t>。</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项目应实现的具体绩效目标</w:t>
      </w:r>
      <w:r>
        <w:rPr>
          <w:rFonts w:hint="eastAsia" w:ascii="Times New Roman" w:hAnsi="Times New Roman" w:eastAsia="仿宋_GB2312"/>
          <w:color w:val="auto"/>
          <w:kern w:val="0"/>
          <w:sz w:val="32"/>
          <w:szCs w:val="32"/>
          <w:lang w:eastAsia="zh-CN"/>
        </w:rPr>
        <w:t>：</w:t>
      </w:r>
      <w:r>
        <w:rPr>
          <w:rFonts w:hint="eastAsia" w:ascii="仿宋_GB2312" w:eastAsia="仿宋_GB2312"/>
          <w:color w:val="auto"/>
          <w:sz w:val="32"/>
          <w:szCs w:val="32"/>
          <w:highlight w:val="none"/>
          <w:lang w:eastAsia="zh-CN"/>
        </w:rPr>
        <w:t>支持企业渡过难关，稳定社会预期，促进经济平稳健康发展，</w:t>
      </w:r>
      <w:r>
        <w:rPr>
          <w:rFonts w:hint="eastAsia" w:ascii="仿宋_GB2312" w:eastAsia="仿宋_GB2312"/>
          <w:color w:val="auto"/>
          <w:sz w:val="32"/>
          <w:szCs w:val="32"/>
          <w:highlight w:val="none"/>
          <w:lang w:val="en-US" w:eastAsia="zh-CN"/>
        </w:rPr>
        <w:t>为全县疫情防控期间主动采取措施保障职工不失业成效显著的46家企业给予稳岗奖补</w:t>
      </w:r>
      <w:r>
        <w:rPr>
          <w:rFonts w:hint="eastAsia" w:ascii="Times New Roman" w:hAnsi="Times New Roman" w:eastAsia="仿宋_GB2312"/>
          <w:color w:val="auto"/>
          <w:kern w:val="0"/>
          <w:sz w:val="32"/>
          <w:szCs w:val="32"/>
          <w:lang w:val="en-US" w:eastAsia="zh-CN"/>
        </w:rPr>
        <w:t>。年终决算时，纳入项目支出的资金共计</w:t>
      </w:r>
      <w:r>
        <w:rPr>
          <w:rFonts w:hint="eastAsia" w:eastAsia="仿宋_GB2312"/>
          <w:color w:val="auto"/>
          <w:kern w:val="0"/>
          <w:sz w:val="32"/>
          <w:szCs w:val="32"/>
          <w:lang w:val="en-US" w:eastAsia="zh-CN"/>
        </w:rPr>
        <w:t>420000</w:t>
      </w:r>
      <w:r>
        <w:rPr>
          <w:rFonts w:hint="eastAsia" w:ascii="Times New Roman" w:hAnsi="Times New Roman" w:eastAsia="仿宋_GB2312"/>
          <w:color w:val="auto"/>
          <w:kern w:val="0"/>
          <w:sz w:val="32"/>
          <w:szCs w:val="32"/>
          <w:lang w:val="en-US" w:eastAsia="zh-CN"/>
        </w:rPr>
        <w:t>元。</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hint="eastAsia" w:ascii="仿宋_GB2312" w:hAnsi="仿宋" w:eastAsia="仿宋_GB2312"/>
          <w:color w:val="auto"/>
          <w:sz w:val="32"/>
          <w:szCs w:val="32"/>
          <w:lang w:eastAsia="zh-CN"/>
        </w:rPr>
      </w:pPr>
      <w:r>
        <w:rPr>
          <w:rFonts w:ascii="Times New Roman" w:hAnsi="Times New Roman" w:eastAsia="仿宋_GB2312"/>
          <w:color w:val="auto"/>
          <w:kern w:val="0"/>
          <w:sz w:val="32"/>
          <w:szCs w:val="32"/>
        </w:rPr>
        <w:t>分析评价申报内容与实际相符，申报目标合理可行。</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hint="eastAsia" w:eastAsia="仿宋_GB2312"/>
          <w:color w:val="auto"/>
          <w:sz w:val="32"/>
          <w:szCs w:val="32"/>
          <w:lang w:val="en-US" w:eastAsia="zh-CN"/>
        </w:rPr>
      </w:pPr>
      <w:r>
        <w:rPr>
          <w:rFonts w:hint="eastAsia" w:ascii="仿宋_GB2312" w:hAnsi="仿宋" w:eastAsia="仿宋_GB2312"/>
          <w:color w:val="auto"/>
          <w:sz w:val="32"/>
          <w:szCs w:val="32"/>
          <w:lang w:val="en-US" w:eastAsia="zh-CN"/>
        </w:rPr>
        <w:t>根据</w:t>
      </w:r>
      <w:r>
        <w:rPr>
          <w:rFonts w:hint="eastAsia" w:ascii="仿宋_GB2312" w:hAnsi="仿宋" w:eastAsia="仿宋_GB2312"/>
          <w:color w:val="auto"/>
          <w:sz w:val="32"/>
          <w:szCs w:val="32"/>
          <w:lang w:eastAsia="zh-CN"/>
        </w:rPr>
        <w:t>川财社【2020】1</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lang w:eastAsia="zh-CN"/>
        </w:rPr>
        <w:t>号文件要求</w:t>
      </w:r>
      <w:r>
        <w:rPr>
          <w:rFonts w:hint="eastAsia" w:eastAsia="仿宋_GB2312"/>
          <w:color w:val="0000FF"/>
          <w:sz w:val="32"/>
          <w:szCs w:val="32"/>
          <w:lang w:val="en-US" w:eastAsia="zh-CN"/>
        </w:rPr>
        <w:t>，</w:t>
      </w:r>
      <w:r>
        <w:rPr>
          <w:rFonts w:hint="eastAsia" w:eastAsia="仿宋_GB2312"/>
          <w:color w:val="auto"/>
          <w:sz w:val="32"/>
          <w:szCs w:val="32"/>
          <w:lang w:val="en-US" w:eastAsia="zh-CN"/>
        </w:rPr>
        <w:t>2021年7月县财政局拨付资金。</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color w:val="auto"/>
          <w:sz w:val="32"/>
          <w:szCs w:val="32"/>
          <w:lang w:val="en-US" w:eastAsia="zh-CN"/>
        </w:rPr>
        <w:t>根据</w:t>
      </w:r>
      <w:r>
        <w:rPr>
          <w:rFonts w:hint="eastAsia" w:ascii="仿宋_GB2312" w:hAnsi="仿宋" w:eastAsia="仿宋_GB2312"/>
          <w:color w:val="auto"/>
          <w:sz w:val="32"/>
          <w:szCs w:val="32"/>
          <w:lang w:eastAsia="zh-CN"/>
        </w:rPr>
        <w:t>川财社【2020】1</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lang w:eastAsia="zh-CN"/>
        </w:rPr>
        <w:t>号文件要求</w:t>
      </w:r>
      <w:r>
        <w:rPr>
          <w:rFonts w:hint="eastAsia" w:eastAsia="仿宋_GB2312"/>
          <w:color w:val="auto"/>
          <w:sz w:val="32"/>
          <w:szCs w:val="32"/>
          <w:lang w:val="en-US" w:eastAsia="zh-CN"/>
        </w:rPr>
        <w:t>，县级财政拨付该笔专项资金。</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color w:val="auto"/>
          <w:sz w:val="32"/>
          <w:szCs w:val="32"/>
          <w:lang w:val="en-US" w:eastAsia="zh-CN"/>
        </w:rPr>
        <w:t>2021年7月，该笔项目资金由县财政局拨付至财政大平台。</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color w:val="auto"/>
          <w:sz w:val="32"/>
          <w:szCs w:val="32"/>
          <w:lang w:val="en-US" w:eastAsia="zh-CN"/>
        </w:rPr>
        <w:t>我中心于2021年7月，通过财政大平台一次性拨付，通过直接支付方式支付至受补贴的企业账户。依据资金使用申报流程，申报该项目支出的用款计划，并将该笔资金以直接支付方式全额划转，资金划转安全、及时、规范，资金支付合规合法、与预算相符。</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ascii="Times New Roman" w:hAnsi="Times New Roman" w:eastAsia="仿宋_GB2312"/>
          <w:color w:val="auto"/>
          <w:kern w:val="0"/>
          <w:sz w:val="32"/>
          <w:szCs w:val="32"/>
          <w:lang w:eastAsia="zh-CN"/>
        </w:rPr>
        <w:t>我</w:t>
      </w:r>
      <w:r>
        <w:rPr>
          <w:rFonts w:hint="eastAsia" w:eastAsia="仿宋_GB2312"/>
          <w:color w:val="auto"/>
          <w:kern w:val="0"/>
          <w:sz w:val="32"/>
          <w:szCs w:val="32"/>
          <w:lang w:eastAsia="zh-CN"/>
        </w:rPr>
        <w:t>中心</w:t>
      </w: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1" o:spid="_x0000_s1026" style="position:absolute;left:0;margin-left:192.5pt;margin-top:18.65pt;height:0.05pt;width:84.75pt;rotation:0f;z-index:25165824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eastAsia="zh-CN"/>
        </w:rPr>
        <w:t>财务室：资金使用申报</w:t>
      </w:r>
      <w:r>
        <w:rPr>
          <w:rFonts w:hint="eastAsia" w:eastAsia="楷体_GB2312"/>
          <w:sz w:val="32"/>
          <w:szCs w:val="32"/>
          <w:lang w:val="en-US" w:eastAsia="zh-CN"/>
        </w:rPr>
        <w:t xml:space="preserve">           财政局：资金审批</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2" o:spid="_x0000_s1027" style="position:absolute;left:0;margin-left:315.5pt;margin-top:1.9pt;height:56.25pt;width:1.5pt;rotation:0f;z-index:25165926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w:t>
      </w:r>
    </w:p>
    <w:p>
      <w:pPr>
        <w:spacing w:line="560" w:lineRule="exact"/>
        <w:ind w:firstLine="640" w:firstLineChars="200"/>
        <w:rPr>
          <w:rFonts w:hint="eastAsia" w:eastAsia="楷体_GB2312"/>
          <w:sz w:val="32"/>
          <w:szCs w:val="32"/>
          <w:lang w:val="en-US" w:eastAsia="zh-CN"/>
        </w:rPr>
      </w:pPr>
    </w:p>
    <w:p>
      <w:pPr>
        <w:spacing w:line="560" w:lineRule="exact"/>
        <w:ind w:firstLine="640" w:firstLineChars="200"/>
        <w:rPr>
          <w:rFonts w:eastAsia="楷体_GB2312"/>
          <w:sz w:val="32"/>
          <w:szCs w:val="32"/>
        </w:rPr>
      </w:pPr>
      <w:r>
        <w:rPr>
          <w:rFonts w:ascii="Times New Roman" w:hAnsi="Times New Roman" w:eastAsia="宋体" w:cs="Times New Roman"/>
          <w:kern w:val="2"/>
          <w:sz w:val="32"/>
          <w:szCs w:val="24"/>
          <w:lang w:val="en-US" w:eastAsia="zh-CN" w:bidi="ar-SA"/>
        </w:rPr>
        <w:pict>
          <v:line id="箭头 6" o:spid="_x0000_s1028" style="position:absolute;left:0;flip:x;margin-left:175.55pt;margin-top:18.2pt;height:0.05pt;width:66.75pt;rotation:0f;z-index:25166028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银行：支付          财政局：直接支付划转</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依据川财社【2020】1</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lang w:eastAsia="zh-CN"/>
        </w:rPr>
        <w:t>号</w:t>
      </w:r>
      <w:r>
        <w:rPr>
          <w:rFonts w:hint="eastAsia" w:ascii="仿宋_GB2312" w:hAnsi="仿宋" w:eastAsia="仿宋_GB2312"/>
          <w:color w:val="auto"/>
          <w:sz w:val="32"/>
          <w:szCs w:val="32"/>
          <w:lang w:val="en-US" w:eastAsia="zh-CN"/>
        </w:rPr>
        <w:t>对中央财政工业企业结构调整专项奖补资金</w:t>
      </w:r>
      <w:r>
        <w:rPr>
          <w:rFonts w:hint="eastAsia" w:ascii="仿宋_GB2312" w:hAnsi="仿宋" w:eastAsia="仿宋_GB2312"/>
          <w:color w:val="auto"/>
          <w:sz w:val="32"/>
          <w:szCs w:val="32"/>
          <w:lang w:eastAsia="zh-CN"/>
        </w:rPr>
        <w:t>等文件要求，</w:t>
      </w:r>
      <w:r>
        <w:rPr>
          <w:rFonts w:hint="eastAsia" w:ascii="仿宋_GB2312" w:eastAsia="仿宋_GB2312"/>
          <w:color w:val="auto"/>
          <w:sz w:val="32"/>
          <w:szCs w:val="32"/>
          <w:highlight w:val="none"/>
          <w:lang w:eastAsia="zh-CN"/>
        </w:rPr>
        <w:t>深入贯彻落实习近平总书记关于坚决打赢疫情防控阻击战的重要指示精神，全面落实党中央各项决策部署，支持企业渡过难关，稳定社会预期，促进经济平稳健康发展，</w:t>
      </w:r>
      <w:r>
        <w:rPr>
          <w:rFonts w:hint="eastAsia" w:ascii="仿宋_GB2312" w:hAnsi="仿宋" w:eastAsia="仿宋_GB2312"/>
          <w:color w:val="auto"/>
          <w:sz w:val="32"/>
          <w:szCs w:val="32"/>
          <w:lang w:val="en-US" w:eastAsia="zh-CN"/>
        </w:rPr>
        <w:t>依</w:t>
      </w:r>
      <w:r>
        <w:rPr>
          <w:rFonts w:hint="eastAsia" w:eastAsia="仿宋_GB2312"/>
          <w:color w:val="auto"/>
          <w:sz w:val="32"/>
          <w:szCs w:val="32"/>
          <w:lang w:val="en-US" w:eastAsia="zh-CN"/>
        </w:rPr>
        <w:t>据资金使用申报流程，申报该项目支出的用款计划，</w:t>
      </w:r>
      <w:r>
        <w:rPr>
          <w:rFonts w:hint="eastAsia" w:ascii="仿宋_GB2312" w:hAnsi="仿宋" w:eastAsia="仿宋_GB2312"/>
          <w:color w:val="auto"/>
          <w:sz w:val="32"/>
          <w:szCs w:val="32"/>
          <w:lang w:val="en-US" w:eastAsia="zh-CN"/>
        </w:rPr>
        <w:t>2021年7月</w:t>
      </w:r>
      <w:r>
        <w:rPr>
          <w:rFonts w:hint="eastAsia" w:eastAsia="仿宋_GB2312"/>
          <w:color w:val="auto"/>
          <w:sz w:val="32"/>
          <w:szCs w:val="32"/>
          <w:lang w:val="en-US" w:eastAsia="zh-CN"/>
        </w:rPr>
        <w:t>在财政大平台一次性拨付，通过直接支付方式支付至受补贴的企业账户</w:t>
      </w:r>
      <w:r>
        <w:rPr>
          <w:rFonts w:hint="eastAsia" w:ascii="仿宋_GB2312" w:hAnsi="仿宋" w:eastAsia="仿宋_GB2312"/>
          <w:color w:val="auto"/>
          <w:sz w:val="32"/>
          <w:szCs w:val="32"/>
          <w:lang w:val="en-US" w:eastAsia="zh-CN"/>
        </w:rPr>
        <w:t>，</w:t>
      </w:r>
      <w:r>
        <w:rPr>
          <w:rFonts w:hint="eastAsia" w:eastAsia="仿宋_GB2312"/>
          <w:color w:val="auto"/>
          <w:sz w:val="32"/>
          <w:szCs w:val="32"/>
          <w:lang w:val="en-US" w:eastAsia="zh-CN"/>
        </w:rPr>
        <w:t>资金划转安全、及时、规范，资金支付合规合法、与预算相符</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hint="eastAsia" w:eastAsia="仿宋_GB2312"/>
          <w:color w:val="auto"/>
          <w:kern w:val="0"/>
          <w:sz w:val="32"/>
          <w:szCs w:val="32"/>
          <w:lang w:val="en-US" w:eastAsia="zh-CN"/>
        </w:rPr>
      </w:pPr>
      <w:r>
        <w:rPr>
          <w:rFonts w:hint="eastAsia" w:ascii="仿宋_GB2312" w:eastAsia="仿宋_GB2312"/>
          <w:color w:val="auto"/>
          <w:sz w:val="32"/>
          <w:szCs w:val="32"/>
          <w:highlight w:val="none"/>
          <w:lang w:eastAsia="zh-CN"/>
        </w:rPr>
        <w:t>深入贯彻落实了习近平总书记关于坚决打赢疫情防控阻击战的重要指示精神，全面落实了党中央各项决策部署，支持企业渡过难关，</w:t>
      </w:r>
      <w:r>
        <w:rPr>
          <w:rFonts w:hint="eastAsia" w:ascii="仿宋_GB2312" w:eastAsia="仿宋_GB2312"/>
          <w:color w:val="auto"/>
          <w:sz w:val="32"/>
          <w:szCs w:val="32"/>
          <w:highlight w:val="none"/>
          <w:lang w:val="en-US" w:eastAsia="zh-CN"/>
        </w:rPr>
        <w:t>为全县疫情防控期间主动采取措施保障职工不失业成效显著的46家企业给予稳岗奖补</w:t>
      </w:r>
      <w:r>
        <w:rPr>
          <w:rFonts w:hint="eastAsia" w:ascii="仿宋_GB2312" w:eastAsia="仿宋_GB2312"/>
          <w:color w:val="auto"/>
          <w:sz w:val="32"/>
          <w:szCs w:val="32"/>
          <w:highlight w:val="none"/>
          <w:lang w:eastAsia="zh-CN"/>
        </w:rPr>
        <w:t>，稳定了社会预期，促进了经济平稳健康发展</w:t>
      </w:r>
      <w:r>
        <w:rPr>
          <w:rFonts w:hint="eastAsia" w:ascii="Times New Roman" w:hAnsi="Times New Roman" w:eastAsia="仿宋_GB2312"/>
          <w:color w:val="auto"/>
          <w:kern w:val="0"/>
          <w:sz w:val="32"/>
          <w:szCs w:val="32"/>
          <w:lang w:val="en-US" w:eastAsia="zh-CN"/>
        </w:rPr>
        <w:t>。</w:t>
      </w:r>
      <w:r>
        <w:rPr>
          <w:rFonts w:hint="eastAsia" w:eastAsia="仿宋_GB2312"/>
          <w:color w:val="auto"/>
          <w:kern w:val="0"/>
          <w:sz w:val="32"/>
          <w:szCs w:val="32"/>
          <w:lang w:val="en-US" w:eastAsia="zh-CN"/>
        </w:rPr>
        <w:t xml:space="preserve">  </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ascii="仿宋_GB2312" w:eastAsia="仿宋_GB2312"/>
          <w:color w:val="auto"/>
          <w:sz w:val="32"/>
          <w:szCs w:val="32"/>
          <w:highlight w:val="none"/>
          <w:lang w:eastAsia="zh-CN"/>
        </w:rPr>
        <w:t>在新冠疫情防控期间，通过对</w:t>
      </w:r>
      <w:r>
        <w:rPr>
          <w:rFonts w:hint="eastAsia" w:ascii="仿宋_GB2312" w:eastAsia="仿宋_GB2312"/>
          <w:color w:val="auto"/>
          <w:sz w:val="32"/>
          <w:szCs w:val="32"/>
          <w:highlight w:val="none"/>
          <w:lang w:val="en-US" w:eastAsia="zh-CN"/>
        </w:rPr>
        <w:t>全县疫情防控期间主动采取措施保障职工不失业成效显著的46家企业给予稳岗奖补，降低企业运营成本，进一步优化实体经济发展环境，提振企业发展信心，</w:t>
      </w:r>
      <w:r>
        <w:rPr>
          <w:rFonts w:hint="eastAsia" w:ascii="仿宋_GB2312" w:eastAsia="仿宋_GB2312"/>
          <w:color w:val="auto"/>
          <w:sz w:val="32"/>
          <w:szCs w:val="32"/>
          <w:highlight w:val="none"/>
          <w:lang w:eastAsia="zh-CN"/>
        </w:rPr>
        <w:t>稳定社会预期，促进经济平稳健康发展</w:t>
      </w:r>
      <w:r>
        <w:rPr>
          <w:rFonts w:hint="eastAsia" w:ascii="Times New Roman" w:hAnsi="Times New Roman" w:eastAsia="仿宋_GB2312"/>
          <w:color w:val="auto"/>
          <w:kern w:val="0"/>
          <w:sz w:val="32"/>
          <w:szCs w:val="32"/>
          <w:lang w:val="en-US" w:eastAsia="zh-CN"/>
        </w:rPr>
        <w:t>。</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color w:val="auto"/>
          <w:sz w:val="32"/>
          <w:szCs w:val="32"/>
          <w:lang w:eastAsia="zh-CN"/>
        </w:rPr>
        <w:t>经初步评价，我中心</w:t>
      </w:r>
      <w:r>
        <w:rPr>
          <w:rFonts w:eastAsia="仿宋_GB2312"/>
          <w:color w:val="auto"/>
          <w:sz w:val="32"/>
          <w:szCs w:val="32"/>
        </w:rPr>
        <w:t>项目</w:t>
      </w:r>
      <w:r>
        <w:rPr>
          <w:rFonts w:hint="eastAsia" w:eastAsia="仿宋_GB2312"/>
          <w:color w:val="auto"/>
          <w:sz w:val="32"/>
          <w:szCs w:val="32"/>
          <w:lang w:eastAsia="zh-CN"/>
        </w:rPr>
        <w:t>专项</w:t>
      </w:r>
      <w:r>
        <w:rPr>
          <w:rFonts w:eastAsia="仿宋_GB2312"/>
          <w:color w:val="auto"/>
          <w:sz w:val="32"/>
          <w:szCs w:val="32"/>
        </w:rPr>
        <w:t>资金</w:t>
      </w:r>
      <w:r>
        <w:rPr>
          <w:rFonts w:hint="eastAsia" w:eastAsia="仿宋_GB2312"/>
          <w:color w:val="auto"/>
          <w:sz w:val="32"/>
          <w:szCs w:val="32"/>
          <w:lang w:eastAsia="zh-CN"/>
        </w:rPr>
        <w:t>—</w:t>
      </w:r>
      <w:r>
        <w:rPr>
          <w:rFonts w:hint="eastAsia" w:ascii="仿宋_GB2312" w:hAnsi="仿宋" w:eastAsia="仿宋_GB2312"/>
          <w:color w:val="auto"/>
          <w:sz w:val="32"/>
          <w:szCs w:val="32"/>
          <w:lang w:val="en-US" w:eastAsia="zh-CN"/>
        </w:rPr>
        <w:t>中央财政工业企业结构调整专项奖补资金</w:t>
      </w:r>
      <w:r>
        <w:rPr>
          <w:rFonts w:hint="eastAsia" w:ascii="仿宋_GB2312" w:hAnsi="仿宋" w:eastAsia="仿宋_GB2312"/>
          <w:color w:val="auto"/>
          <w:sz w:val="32"/>
          <w:szCs w:val="32"/>
          <w:lang w:eastAsia="zh-CN"/>
        </w:rPr>
        <w:t>，项目资金申报与项目实际相符；资金支出时间节点较为及时，不存在截留挪用专项资金的违规情况；资金支出按程序审批，合法、合规；资金使用目标明确，受益群体满意度较高，全面达到预期目标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color w:val="auto"/>
          <w:sz w:val="32"/>
          <w:szCs w:val="32"/>
          <w:lang w:val="en-US" w:eastAsia="zh-CN"/>
        </w:rPr>
        <w:t>需进一步研究政策效益，创新支持方式</w:t>
      </w:r>
      <w:r>
        <w:rPr>
          <w:rFonts w:eastAsia="仿宋_GB2312"/>
          <w:sz w:val="32"/>
          <w:szCs w:val="32"/>
        </w:rPr>
        <w:t>。</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lang w:eastAsia="zh-CN"/>
        </w:rPr>
        <w:t>进一步发挥财政性资金作用，调动企业发展积极性</w:t>
      </w:r>
      <w:r>
        <w:rPr>
          <w:rFonts w:eastAsia="仿宋_GB2312"/>
          <w:sz w:val="32"/>
          <w:szCs w:val="32"/>
        </w:rPr>
        <w:t>。</w:t>
      </w:r>
    </w:p>
    <w:p>
      <w:pPr>
        <w:spacing w:line="560" w:lineRule="exact"/>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K">
    <w:altName w:val="宋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宋体"/>
    <w:panose1 w:val="00000000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华文仿宋">
    <w:altName w:val="微软雅黑"/>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华文中宋">
    <w:altName w:val="微软雅黑"/>
    <w:panose1 w:val="02010600040101010101"/>
    <w:charset w:val="86"/>
    <w:family w:val="auto"/>
    <w:pitch w:val="default"/>
    <w:sig w:usb0="00000287" w:usb1="080E0000" w:usb2="00000010" w:usb3="00000000" w:csb0="0004009F" w:csb1="00000000"/>
  </w:font>
  <w:font w:name="Traditional Arabic">
    <w:panose1 w:val="02020603050405020304"/>
    <w:charset w:val="00"/>
    <w:family w:val="auto"/>
    <w:pitch w:val="default"/>
    <w:sig w:usb0="00006003" w:usb1="80000000" w:usb2="00000008" w:usb3="00000000" w:csb0="00000041" w:csb1="20080000"/>
  </w:font>
  <w:font w:name="宋体-方正超大字符集">
    <w:altName w:val="宋体"/>
    <w:panose1 w:val="03000509000000000000"/>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方正黑体_GBK">
    <w:altName w:val="黑体"/>
    <w:panose1 w:val="03000509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Plain Text"/>
    <w:uiPriority w:val="0"/>
    <w:rPr>
      <w:rFonts w:ascii="宋体" w:hAnsi="Courier New"/>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0"/>
    <w:rPr>
      <w:rFonts w:ascii="Times New Roman" w:hAnsi="Times New Roman" w:eastAsia="宋体" w:cs="Times New Roman"/>
      <w:kern w:val="2"/>
      <w:sz w:val="18"/>
      <w:szCs w:val="18"/>
    </w:rPr>
  </w:style>
  <w:style w:type="character" w:customStyle="1" w:styleId="7">
    <w:name w:val="页脚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hp3330</cp:lastModifiedBy>
  <cp:lastPrinted>2022-05-19T14:02:04Z</cp:lastPrinted>
  <dcterms:modified xsi:type="dcterms:W3CDTF">2022-05-19T14:02:51Z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ICV">
    <vt:lpwstr>7A6F0BFEA6F04BD4834EC0714B41E695</vt:lpwstr>
  </property>
</Properties>
</file>