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36"/>
          <w:szCs w:val="36"/>
          <w:lang w:eastAsia="zh-CN"/>
        </w:rPr>
      </w:pPr>
      <w:r>
        <w:rPr>
          <w:rFonts w:hint="eastAsia" w:eastAsia="方正小标宋_GBK"/>
          <w:sz w:val="36"/>
          <w:szCs w:val="36"/>
          <w:lang w:eastAsia="zh-CN"/>
        </w:rPr>
        <w:t>盐边县人力资源和社会保障局</w:t>
      </w:r>
    </w:p>
    <w:p>
      <w:pPr>
        <w:spacing w:line="64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 xml:space="preserve">2021年度城镇居民人均可支配收入调查统计户培训资金绩效自评报告 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该项目实施单位为盐边县人力资源和社会保障局，项目名称为：2021年度城镇居民人均可支配收入调查统计户培训资金。该项目实施内容为：</w:t>
      </w:r>
      <w:r>
        <w:rPr>
          <w:rFonts w:hint="eastAsia" w:eastAsia="仿宋_GB2312" w:cs="Times New Roman"/>
          <w:sz w:val="32"/>
          <w:szCs w:val="32"/>
          <w:lang w:eastAsia="zh-CN"/>
        </w:rPr>
        <w:t>为提高记账户业务技能水平，确保城镇居民人均可支配收入数据真实、准确、有效，对各乡镇及社区统计员、辅助调查员、记账户、结对帮扶干部等进行业务培训，推动城镇居民人均可支配收入统计工作顺利开展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依据盐财资行【2021】285号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2021年度城镇居民人均可支配收入调查统计户培训资金等文件要求，20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年下拨2021年度城镇居民人均可支配收入调查统计户培训资金共计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100000元。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numPr>
          <w:numId w:val="0"/>
        </w:num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该笔项目资金的管理，依据盐边财政关于项目资金的使用要求进行资金管理，专款专用，及时用于对2021年度城镇居民人均可支配收入调查统计户的统计业务培训。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盐财资行【2021】285号文件要求及该工作实际情况，</w:t>
      </w:r>
      <w:r>
        <w:rPr>
          <w:rFonts w:hint="eastAsia" w:eastAsia="仿宋_GB2312" w:cs="Times New Roman"/>
          <w:sz w:val="32"/>
          <w:szCs w:val="32"/>
          <w:lang w:eastAsia="zh-CN"/>
        </w:rPr>
        <w:t>对各乡镇及社区统计员、辅助调查员、记账户、结对帮扶干部等进行业务培训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认真做好收支登记工作，实事求是，依法依规记账，不漏记、不错记，全力支持配合统计调查工作，推动城镇居民人均可支配收入统计工作顺利开展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项目主要内容为：</w:t>
      </w:r>
      <w:r>
        <w:rPr>
          <w:rFonts w:hint="eastAsia" w:eastAsia="仿宋_GB2312" w:cs="Times New Roman"/>
          <w:sz w:val="32"/>
          <w:szCs w:val="32"/>
          <w:lang w:eastAsia="zh-CN"/>
        </w:rPr>
        <w:t>为提高记账户业务技能水平，确保城镇居民人均可支配收入数据真实、准确、有效，对各乡镇及社区统计员、辅助调查员、记账户、结对帮扶干部等进行业务培训，推动城镇居民人均可支配收入统计工作顺利开展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项目应实现的具体绩效目标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eastAsia="仿宋_GB2312" w:cs="Times New Roman"/>
          <w:sz w:val="32"/>
          <w:szCs w:val="32"/>
          <w:lang w:eastAsia="zh-CN"/>
        </w:rPr>
        <w:t>对各乡镇及社区统计员、辅助调查员、记账户、结对帮扶干部等进行业务培训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认真做好收支登记工作，实事求是，依法依规记账，不漏记、不错记，全力支持配合统计调查工作，推动城镇居民人均可支配收入统计工作顺利开展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分析评价申报内容与实际相符，申报目标合理可行。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盐财资行【2021】285号文件要求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，2021年8月县财政局拨付资金。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根据县人社局拨付资金的请求，县级财政拟同意拨付该笔专项资金。</w:t>
      </w:r>
    </w:p>
    <w:p>
      <w:pPr>
        <w:spacing w:line="560" w:lineRule="exact"/>
        <w:ind w:firstLine="643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2021年8月，该笔项目资金由县财政局拨付至大平台。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我局于2021年8月通过财政大平台一次性拨付，依据资金使用申报流程，申报该项目支出的用款计划，资金划转安全、及时、规范，资金支付合规合法、与预算相符。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1" o:spid="_x0000_s1026" style="position:absolute;left:0;margin-left:192.5pt;margin-top:18.65pt;height:0.05pt;width:84.75pt;rotation:0f;z-index:2516582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eastAsia="zh-CN"/>
        </w:rPr>
        <w:t>财务室：资金使用申报</w: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 财政局：资金审批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2" o:spid="_x0000_s1027" style="position:absolute;left:0;margin-left:315.5pt;margin-top:1.9pt;height:56.25pt;width:1.5pt;rotation:0f;z-index:2516592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6" o:spid="_x0000_s1028" style="position:absolute;left:0;flip:x;margin-left:202.55pt;margin-top:18.2pt;height:0.05pt;width:66.75pt;rotation:0f;z-index:2516602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银行：支付          财务室：打印支票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盐财资行【2021】285号文件要求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，2021年8月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该笔项目资金由县财政局拨付至大平台，资金划转安全、及时、规范，资金支付合规合法、与预算相符。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对各乡镇及社区统计员、辅助调查员、记账户、结对帮扶干部等进行业务培训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认真做好收支登记工作，实事求是，依法依规记账，不漏记、不错记，全力支持配合统计调查工作，推动城镇居民人均可支配收入统计工作顺利开展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100000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对各乡镇及社区统计员、辅助调查员、记账户、结对帮扶干部等进行业务培训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认真做好收支登记工作，实事求是，依法依规记账，不漏记、不错记，全力支持配合统计调查工作，推动城镇居民人均可支配收入统计工作顺利开展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经初步评价，我局重点</w:t>
      </w:r>
      <w:r>
        <w:rPr>
          <w:rFonts w:eastAsia="仿宋_GB2312"/>
          <w:color w:val="auto"/>
          <w:sz w:val="32"/>
          <w:szCs w:val="32"/>
        </w:rPr>
        <w:t>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专项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2021年度城镇居民人均可支配收入调查统计户培训资金，项目资金申报与项目实际相符；资金支出时间节点较为及时，不存在截留挪用专项资金的违规情况；资金支出按程序审批，合法、合规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2021年我县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城镇居民人均可支配收入增长虽超过预期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0.5个百分点，但在全市排名为第五名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继续做好城镇居民人均可支配收入统计宣传解释与业务培训工作，打消记账顾虑，积极指导记账户、辅助员合理记账、科学记账、依法记账，避免漏记。</w:t>
      </w:r>
      <w:r>
        <w:rPr>
          <w:rFonts w:hint="eastAsia" w:eastAsia="仿宋_GB2312"/>
          <w:color w:val="0000FF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287" w:usb1="080E0000" w:usb2="00000010" w:usb3="00000000" w:csb0="0004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hp3330</cp:lastModifiedBy>
  <cp:lastPrinted>2022-05-19T01:55:00Z</cp:lastPrinted>
  <dcterms:modified xsi:type="dcterms:W3CDTF">2022-05-19T02:31:46Z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