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CF" w:rsidRPr="006359CF" w:rsidRDefault="006359CF" w:rsidP="006359CF">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6359CF">
        <w:rPr>
          <w:rFonts w:ascii="微软雅黑" w:eastAsia="微软雅黑" w:hAnsi="微软雅黑" w:cs="宋体" w:hint="eastAsia"/>
          <w:color w:val="0066CC"/>
          <w:kern w:val="0"/>
          <w:sz w:val="36"/>
          <w:szCs w:val="36"/>
        </w:rPr>
        <w:t xml:space="preserve">财政部 税务总局 海关总署 </w:t>
      </w:r>
    </w:p>
    <w:p w:rsidR="006359CF" w:rsidRPr="006359CF" w:rsidRDefault="006359CF" w:rsidP="006359CF">
      <w:pPr>
        <w:widowControl/>
        <w:numPr>
          <w:ilvl w:val="0"/>
          <w:numId w:val="1"/>
        </w:numPr>
        <w:shd w:val="clear" w:color="auto" w:fill="FFFFFF"/>
        <w:spacing w:line="750" w:lineRule="atLeast"/>
        <w:ind w:left="0"/>
        <w:jc w:val="center"/>
        <w:rPr>
          <w:rFonts w:ascii="微软雅黑" w:eastAsia="微软雅黑" w:hAnsi="微软雅黑" w:cs="宋体" w:hint="eastAsia"/>
          <w:color w:val="CC0000"/>
          <w:kern w:val="0"/>
          <w:sz w:val="42"/>
          <w:szCs w:val="42"/>
        </w:rPr>
      </w:pPr>
      <w:r w:rsidRPr="006359CF">
        <w:rPr>
          <w:rFonts w:ascii="微软雅黑" w:eastAsia="微软雅黑" w:hAnsi="微软雅黑" w:cs="宋体" w:hint="eastAsia"/>
          <w:color w:val="CC0000"/>
          <w:kern w:val="0"/>
          <w:sz w:val="42"/>
          <w:szCs w:val="42"/>
        </w:rPr>
        <w:t xml:space="preserve">关于深化增值税改革有关政策的公告 </w:t>
      </w:r>
    </w:p>
    <w:p w:rsidR="006359CF" w:rsidRPr="006359CF" w:rsidRDefault="006359CF" w:rsidP="006359CF">
      <w:pPr>
        <w:widowControl/>
        <w:numPr>
          <w:ilvl w:val="0"/>
          <w:numId w:val="1"/>
        </w:numPr>
        <w:shd w:val="clear" w:color="auto" w:fill="FFFFFF"/>
        <w:spacing w:line="450" w:lineRule="atLeast"/>
        <w:ind w:left="0"/>
        <w:jc w:val="center"/>
        <w:rPr>
          <w:rFonts w:ascii="微软雅黑" w:eastAsia="微软雅黑" w:hAnsi="微软雅黑" w:cs="宋体" w:hint="eastAsia"/>
          <w:color w:val="333333"/>
          <w:kern w:val="0"/>
          <w:szCs w:val="21"/>
        </w:rPr>
      </w:pPr>
      <w:r w:rsidRPr="006359CF">
        <w:rPr>
          <w:rFonts w:ascii="微软雅黑" w:eastAsia="微软雅黑" w:hAnsi="微软雅黑" w:cs="宋体" w:hint="eastAsia"/>
          <w:color w:val="333333"/>
          <w:kern w:val="0"/>
          <w:szCs w:val="21"/>
        </w:rPr>
        <w:t xml:space="preserve">财政部 税务总局 海关总署公告2019年第39号 </w:t>
      </w:r>
    </w:p>
    <w:p w:rsidR="006359CF" w:rsidRPr="006359CF" w:rsidRDefault="006359CF" w:rsidP="006359CF">
      <w:pPr>
        <w:widowControl/>
        <w:numPr>
          <w:ilvl w:val="0"/>
          <w:numId w:val="1"/>
        </w:numPr>
        <w:shd w:val="clear" w:color="auto" w:fill="FFFFFF"/>
        <w:spacing w:line="540" w:lineRule="atLeast"/>
        <w:ind w:left="0"/>
        <w:jc w:val="lef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bookmarkStart w:id="0" w:name="_GoBack"/>
      <w:bookmarkEnd w:id="0"/>
      <w:r w:rsidRPr="006359CF">
        <w:rPr>
          <w:rFonts w:ascii="宋体" w:eastAsia="宋体" w:hAnsi="宋体" w:cs="宋体" w:hint="eastAsia"/>
          <w:color w:val="333333"/>
          <w:kern w:val="0"/>
          <w:sz w:val="24"/>
          <w:szCs w:val="24"/>
        </w:rPr>
        <w:t>为贯彻落实党中央、国务院决策部署，推进增值税实质性减税，现将2019年增值税改革有关事项公告如下：</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一、增值税一般纳税人（以下称纳税人）发生增值税应税销售行为或者进口货物，原适用16%税率的，税率调整为13%；原适用10%税率的，税率调整为9%。</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二、纳税人购进农产品，原适用10%扣除率的，扣除率调整为9%。纳税人购进用于生产或者委托加工13%税率货物的农产品，按照10%的扣除率计算进项税额。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三、原适用16%税率且出口退税率为16%的出口货物劳务，出口退税率调整为13%；原适用10%税率且出口退税率为10%的出口货物、跨境应税行为，出口退税率调整为9%。</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w:t>
      </w:r>
      <w:proofErr w:type="gramStart"/>
      <w:r w:rsidRPr="006359CF">
        <w:rPr>
          <w:rFonts w:ascii="宋体" w:eastAsia="宋体" w:hAnsi="宋体" w:cs="宋体" w:hint="eastAsia"/>
          <w:color w:val="333333"/>
          <w:kern w:val="0"/>
          <w:sz w:val="24"/>
          <w:szCs w:val="24"/>
        </w:rPr>
        <w:t>零参与免</w:t>
      </w:r>
      <w:proofErr w:type="gramEnd"/>
      <w:r w:rsidRPr="006359CF">
        <w:rPr>
          <w:rFonts w:ascii="宋体" w:eastAsia="宋体" w:hAnsi="宋体" w:cs="宋体" w:hint="eastAsia"/>
          <w:color w:val="333333"/>
          <w:kern w:val="0"/>
          <w:sz w:val="24"/>
          <w:szCs w:val="24"/>
        </w:rPr>
        <w:t>抵退税计算。</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lastRenderedPageBreak/>
        <w:t xml:space="preserve">　　四、适用13%税率的境外旅客购物离境退税物品，退税率为11%；适用9%税率的境外旅客购物离境退税物品，退税率为8%。</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2019年6月30日前，按调整前税率征收增值税的，执行调整前的退税率；按调整后税率征收增值税的，执行调整后的退税率。</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退税率的执行时间，以退税物品增值税普通发票的开具日期为准。</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五、自2019年4月1日起，《营业税改征增值税试点有关事项的规定》（财税〔2016〕36号印发）第一条第（四）项第1点、第二条第（一）项第1点停止执行，纳税人取得不动产或者不动产在建工程的进项税额不再分2年抵扣。此前按照上述规定尚未抵扣完毕的待抵扣进项税额，可自2019年4月税款所属期起从销项税额中抵扣。</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六、纳税人购进国内旅客运输服务，其进项税额允许从销项税额中抵扣。</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（一）纳税人未取得增值税专用发票的，</w:t>
      </w:r>
      <w:proofErr w:type="gramStart"/>
      <w:r w:rsidRPr="006359CF">
        <w:rPr>
          <w:rFonts w:ascii="宋体" w:eastAsia="宋体" w:hAnsi="宋体" w:cs="宋体" w:hint="eastAsia"/>
          <w:color w:val="333333"/>
          <w:kern w:val="0"/>
          <w:sz w:val="24"/>
          <w:szCs w:val="24"/>
        </w:rPr>
        <w:t>暂按照</w:t>
      </w:r>
      <w:proofErr w:type="gramEnd"/>
      <w:r w:rsidRPr="006359CF">
        <w:rPr>
          <w:rFonts w:ascii="宋体" w:eastAsia="宋体" w:hAnsi="宋体" w:cs="宋体" w:hint="eastAsia"/>
          <w:color w:val="333333"/>
          <w:kern w:val="0"/>
          <w:sz w:val="24"/>
          <w:szCs w:val="24"/>
        </w:rPr>
        <w:t>以下规定确定进项税额：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1.取得增值税电子普通发票的，为发票上注明的税额；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2.取得注明旅客身份信息的航空运输电子客票行程单的，为按照下列公式计算进项税额：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航空旅客运输进项税额=（票价+燃油附加费）÷（1+9%）×9%</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3.取得注明旅客身份信息的铁路车票的，为按照下列公式计算的进项税额：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铁路旅客运输进项税额=票面金额÷（1+9%）×9%</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4.取得注明旅客身份信息的公路、水路等其他客票的，按照下列公式计算进项税额：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公路、水路等其他旅客运输进项税额=票面金额÷（1+3%）×3%</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二）《营业税改征增值税试点实施办法》（财税〔2016〕36号印发）第二十七条第（六）项和《营业税改征增值税试点有关事项的规定》（财税〔2016〕36号印发）第二条第（一）项第5点中“购进的旅客运输服务、贷款服务、餐</w:t>
      </w:r>
      <w:r w:rsidRPr="006359CF">
        <w:rPr>
          <w:rFonts w:ascii="宋体" w:eastAsia="宋体" w:hAnsi="宋体" w:cs="宋体" w:hint="eastAsia"/>
          <w:color w:val="333333"/>
          <w:kern w:val="0"/>
          <w:sz w:val="24"/>
          <w:szCs w:val="24"/>
        </w:rPr>
        <w:lastRenderedPageBreak/>
        <w:t>饮服务、居民日常服务和娱乐服务”修改为“购进的贷款服务、餐饮服务、居民日常服务和娱乐服务”。</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七、自2019年4月1日至2021年12月31日，允许生产、生活性服务业纳税人按照当期可抵扣进项税额加计10%，抵减应纳税额（以下称加计抵减政策）。</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一）本公告所称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2019年3月31日前设立的纳税人，自2018年4月至2019年3月期间的销售额(经营期不满12个月的，按照实际经营期的销售额)符合上述规定条件的，自2019年4月1日起适用加计抵减政策。</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2019年4月1日后设立的纳税人，自设立之日起3个月的销售额符合上述规定条件的，自登记为一般纳税人之日起适用加计抵减政策。</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纳税人确定适用加计抵减政策后，当年内不再调整，以后年度是否适用，根据上年度销售额计算确定。</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纳税人可计提但未计提的加计抵减额，可在确定适用加计抵减政策当期一并计提。</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（二）纳税人应按照当期可抵扣进项税额的10%计提当期加计抵减额。按照现行规定不得从销项税额中抵扣的进项税额，</w:t>
      </w:r>
      <w:proofErr w:type="gramStart"/>
      <w:r w:rsidRPr="006359CF">
        <w:rPr>
          <w:rFonts w:ascii="宋体" w:eastAsia="宋体" w:hAnsi="宋体" w:cs="宋体" w:hint="eastAsia"/>
          <w:color w:val="333333"/>
          <w:kern w:val="0"/>
          <w:sz w:val="24"/>
          <w:szCs w:val="24"/>
        </w:rPr>
        <w:t>不</w:t>
      </w:r>
      <w:proofErr w:type="gramEnd"/>
      <w:r w:rsidRPr="006359CF">
        <w:rPr>
          <w:rFonts w:ascii="宋体" w:eastAsia="宋体" w:hAnsi="宋体" w:cs="宋体" w:hint="eastAsia"/>
          <w:color w:val="333333"/>
          <w:kern w:val="0"/>
          <w:sz w:val="24"/>
          <w:szCs w:val="24"/>
        </w:rPr>
        <w:t>得计提加计抵减额；已计提加计抵减额的进项税额，按规定作进项税额转出的，应在进项税额转出当期，相应调减加计抵减额。计算公式如下：</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当期计提加计抵减额=当期可抵扣进项税额×10%</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当期可抵减加计抵减额=上期末加计抵减额余额+当期计提加计抵减额-当期调减加计抵减额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lastRenderedPageBreak/>
        <w:t xml:space="preserve">　　（三）纳税人应按照现行规定计算一般计税方法下的应纳税额（以下称抵减前的应纳税额）后，区分以下情形加计抵减：</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1.抵减前的应纳税额等于零的，当期可抵减加计抵减额全部结转下期抵减；</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2.抵减前的应纳税额大于零，且大于当期可抵减加计抵减额的，当期可抵减加计抵减额全额从抵减前的应纳税额中抵减；</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3.抵减前的应纳税额大于零，且小于或等于当期可抵减加计抵减额的，以当期可抵减加计抵减额抵减应纳税额至零。未抵减完的当期可抵减加计抵减额，结转下期继续抵减。</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（四）纳税人出口货物劳务、发生跨境应税行为不适用加计抵减政策，其对应的进项税额</w:t>
      </w:r>
      <w:proofErr w:type="gramStart"/>
      <w:r w:rsidRPr="006359CF">
        <w:rPr>
          <w:rFonts w:ascii="宋体" w:eastAsia="宋体" w:hAnsi="宋体" w:cs="宋体" w:hint="eastAsia"/>
          <w:color w:val="333333"/>
          <w:kern w:val="0"/>
          <w:sz w:val="24"/>
          <w:szCs w:val="24"/>
        </w:rPr>
        <w:t>不</w:t>
      </w:r>
      <w:proofErr w:type="gramEnd"/>
      <w:r w:rsidRPr="006359CF">
        <w:rPr>
          <w:rFonts w:ascii="宋体" w:eastAsia="宋体" w:hAnsi="宋体" w:cs="宋体" w:hint="eastAsia"/>
          <w:color w:val="333333"/>
          <w:kern w:val="0"/>
          <w:sz w:val="24"/>
          <w:szCs w:val="24"/>
        </w:rPr>
        <w:t>得计提加计抵减额。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纳税人兼营出口货物劳务、发生跨境应税行为且无法划分</w:t>
      </w:r>
      <w:proofErr w:type="gramStart"/>
      <w:r w:rsidRPr="006359CF">
        <w:rPr>
          <w:rFonts w:ascii="宋体" w:eastAsia="宋体" w:hAnsi="宋体" w:cs="宋体" w:hint="eastAsia"/>
          <w:color w:val="333333"/>
          <w:kern w:val="0"/>
          <w:sz w:val="24"/>
          <w:szCs w:val="24"/>
        </w:rPr>
        <w:t>不</w:t>
      </w:r>
      <w:proofErr w:type="gramEnd"/>
      <w:r w:rsidRPr="006359CF">
        <w:rPr>
          <w:rFonts w:ascii="宋体" w:eastAsia="宋体" w:hAnsi="宋体" w:cs="宋体" w:hint="eastAsia"/>
          <w:color w:val="333333"/>
          <w:kern w:val="0"/>
          <w:sz w:val="24"/>
          <w:szCs w:val="24"/>
        </w:rPr>
        <w:t>得计提加计抵减额的进项税额，按照以下公式计算：</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w:t>
      </w:r>
      <w:proofErr w:type="gramStart"/>
      <w:r w:rsidRPr="006359CF">
        <w:rPr>
          <w:rFonts w:ascii="宋体" w:eastAsia="宋体" w:hAnsi="宋体" w:cs="宋体" w:hint="eastAsia"/>
          <w:color w:val="333333"/>
          <w:kern w:val="0"/>
          <w:sz w:val="24"/>
          <w:szCs w:val="24"/>
        </w:rPr>
        <w:t>不</w:t>
      </w:r>
      <w:proofErr w:type="gramEnd"/>
      <w:r w:rsidRPr="006359CF">
        <w:rPr>
          <w:rFonts w:ascii="宋体" w:eastAsia="宋体" w:hAnsi="宋体" w:cs="宋体" w:hint="eastAsia"/>
          <w:color w:val="333333"/>
          <w:kern w:val="0"/>
          <w:sz w:val="24"/>
          <w:szCs w:val="24"/>
        </w:rPr>
        <w:t>得计提加计抵减额的进项税额＝当期无法划分的全部进项税额×当期出口货物劳务和发生跨境应税行为的销售额÷当期全部销售额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（五）纳税人应单独核算加计抵减额的计提、抵减、调减、结余等变动情况。骗取适用加计抵减政策或</w:t>
      </w:r>
      <w:proofErr w:type="gramStart"/>
      <w:r w:rsidRPr="006359CF">
        <w:rPr>
          <w:rFonts w:ascii="宋体" w:eastAsia="宋体" w:hAnsi="宋体" w:cs="宋体" w:hint="eastAsia"/>
          <w:color w:val="333333"/>
          <w:kern w:val="0"/>
          <w:sz w:val="24"/>
          <w:szCs w:val="24"/>
        </w:rPr>
        <w:t>虚增加计</w:t>
      </w:r>
      <w:proofErr w:type="gramEnd"/>
      <w:r w:rsidRPr="006359CF">
        <w:rPr>
          <w:rFonts w:ascii="宋体" w:eastAsia="宋体" w:hAnsi="宋体" w:cs="宋体" w:hint="eastAsia"/>
          <w:color w:val="333333"/>
          <w:kern w:val="0"/>
          <w:sz w:val="24"/>
          <w:szCs w:val="24"/>
        </w:rPr>
        <w:t>抵减额的，按照《中华人民共和国税收征收管理法》等有关规定处理。</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（六）加计抵减政策执行到期后，纳税人不再计提加计抵减额，结余的加计抵减额停止抵减。</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八、自2019年4月1日起，试行增值税期末留抵税额退税制度。</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（一）同时符合以下条件的纳税人，可以向主管税务机关申请退还增量留抵税额：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1.自2019年4月税款所属期起，连续六个月（按季纳税的，连续两个季度）增量留抵税额均大于零，且第六个月增量留抵税额不低于50万元；</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2.纳税信用等级为A级或者B级；</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lastRenderedPageBreak/>
        <w:t xml:space="preserve">　　3.申请退税前36个月未发生骗取留抵退税、出口退税或虚开增值税专用发票情形的；</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4.申请退税前36个月未因偷税被税务机关处罚两次及以上的；</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5.自2019年4月1日起未享受即征即退、先征后返（退）政策的。</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（二）本公告所称增量留抵税额，是指与2019年3月底相比新增加的期末留抵税额。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（三）纳税人当期允许退还的增量留抵税额，按照以下公式计算：</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允许退还的增量留抵税额=增量留抵税额×进项构成比例×60%</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进项构成比例，为2019年4月至申请退税前一税款所属期内已抵扣的增值税专用发票（含税控机动车销售统一发票）、海关进口增值税专用缴款书、解缴税款完税凭证注明的增值税额占同期全部已抵扣进项税额的比重。</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（四）纳税人应在增值税纳税申报期内，向主管税务机关申请退还留抵税额。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（五）纳税人出口货物劳务、发生跨境应税行为，适用免抵退税办法的，办理免抵退税后，仍符合本公告规定条件的，可以申请退还留抵税额；适用免退税办法的，相关进项税额不得用于退还留抵税额。</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（六）纳税人取得退还的留抵税额后，应相应调减当期留抵税额。按照本条规定再次满足退税条件的，可以继续向主管税务机关申请退还留抵税额，但本条第（一）项第1点规定的连续期间，不得重复计算。</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（七）以虚增进项、虚假申报或其他欺骗手段，骗取留抵退税款的，由税务机关追缴其骗取的退税款，并按照《中华人民共和国税收征收管理法》等有关规定处理。</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（八）退还的增量留抵税额中央、地方分担机制另行通知。</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九、本公告自2019年4月1日起执行。</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特此公告。</w:t>
      </w:r>
    </w:p>
    <w:p w:rsidR="006359CF" w:rsidRPr="006359CF" w:rsidRDefault="006359CF" w:rsidP="006359CF">
      <w:pPr>
        <w:widowControl/>
        <w:shd w:val="clear" w:color="auto" w:fill="FFFFFF"/>
        <w:spacing w:line="540" w:lineRule="atLeast"/>
        <w:jc w:val="lef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 xml:space="preserve">　　</w:t>
      </w:r>
    </w:p>
    <w:p w:rsidR="006359CF" w:rsidRPr="006359CF" w:rsidRDefault="006359CF" w:rsidP="006359CF">
      <w:pPr>
        <w:widowControl/>
        <w:shd w:val="clear" w:color="auto" w:fill="FFFFFF"/>
        <w:spacing w:line="540" w:lineRule="atLeast"/>
        <w:jc w:val="righ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lastRenderedPageBreak/>
        <w:t>财政部　税务总局　海关总署</w:t>
      </w:r>
    </w:p>
    <w:p w:rsidR="006359CF" w:rsidRPr="006359CF" w:rsidRDefault="006359CF" w:rsidP="006359CF">
      <w:pPr>
        <w:widowControl/>
        <w:shd w:val="clear" w:color="auto" w:fill="FFFFFF"/>
        <w:spacing w:line="540" w:lineRule="atLeast"/>
        <w:jc w:val="right"/>
        <w:rPr>
          <w:rFonts w:ascii="宋体" w:eastAsia="宋体" w:hAnsi="宋体" w:cs="宋体" w:hint="eastAsia"/>
          <w:color w:val="333333"/>
          <w:kern w:val="0"/>
          <w:sz w:val="24"/>
          <w:szCs w:val="24"/>
        </w:rPr>
      </w:pPr>
      <w:r w:rsidRPr="006359CF">
        <w:rPr>
          <w:rFonts w:ascii="宋体" w:eastAsia="宋体" w:hAnsi="宋体" w:cs="宋体" w:hint="eastAsia"/>
          <w:color w:val="333333"/>
          <w:kern w:val="0"/>
          <w:sz w:val="24"/>
          <w:szCs w:val="24"/>
        </w:rPr>
        <w:t>2019年3月20日</w:t>
      </w:r>
    </w:p>
    <w:p w:rsidR="0029527A" w:rsidRDefault="006359CF">
      <w:pPr>
        <w:rPr>
          <w:rFonts w:hint="eastAsia"/>
        </w:rPr>
      </w:pPr>
    </w:p>
    <w:sectPr w:rsidR="00295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C6CFA"/>
    <w:multiLevelType w:val="multilevel"/>
    <w:tmpl w:val="0B3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D9"/>
    <w:rsid w:val="006359CF"/>
    <w:rsid w:val="006A1E2B"/>
    <w:rsid w:val="00B30FD9"/>
    <w:rsid w:val="00B9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02339">
      <w:bodyDiv w:val="1"/>
      <w:marLeft w:val="0"/>
      <w:marRight w:val="0"/>
      <w:marTop w:val="0"/>
      <w:marBottom w:val="0"/>
      <w:divBdr>
        <w:top w:val="none" w:sz="0" w:space="0" w:color="auto"/>
        <w:left w:val="none" w:sz="0" w:space="0" w:color="auto"/>
        <w:bottom w:val="none" w:sz="0" w:space="0" w:color="auto"/>
        <w:right w:val="none" w:sz="0" w:space="0" w:color="auto"/>
      </w:divBdr>
      <w:divsChild>
        <w:div w:id="132911757">
          <w:marLeft w:val="0"/>
          <w:marRight w:val="0"/>
          <w:marTop w:val="0"/>
          <w:marBottom w:val="0"/>
          <w:divBdr>
            <w:top w:val="none" w:sz="0" w:space="0" w:color="auto"/>
            <w:left w:val="none" w:sz="0" w:space="0" w:color="auto"/>
            <w:bottom w:val="none" w:sz="0" w:space="0" w:color="auto"/>
            <w:right w:val="none" w:sz="0" w:space="0" w:color="auto"/>
          </w:divBdr>
          <w:divsChild>
            <w:div w:id="9940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525</Words>
  <Characters>2996</Characters>
  <Application>Microsoft Office Word</Application>
  <DocSecurity>0</DocSecurity>
  <Lines>24</Lines>
  <Paragraphs>7</Paragraphs>
  <ScaleCrop>false</ScaleCrop>
  <Company>P R C</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2019-04-28T07:32:00Z</dcterms:created>
  <dcterms:modified xsi:type="dcterms:W3CDTF">2019-04-28T07:33:00Z</dcterms:modified>
</cp:coreProperties>
</file>