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outlineLvl w:val="0"/>
        <w:rPr>
          <w:rFonts w:hint="default" w:ascii="Times New Roman" w:hAnsi="Times New Roman" w:eastAsia="方正小标宋简体" w:cs="Times New Roman"/>
          <w:color w:val="auto"/>
          <w:sz w:val="72"/>
          <w:szCs w:val="72"/>
        </w:rPr>
      </w:pPr>
      <w:bookmarkStart w:id="0" w:name="_Toc15377193"/>
      <w:bookmarkStart w:id="1" w:name="_Toc15377425"/>
      <w:bookmarkStart w:id="2" w:name="_Toc15396597"/>
      <w:bookmarkStart w:id="3" w:name="_Toc15396475"/>
      <w:bookmarkStart w:id="4" w:name="_Toc15378441"/>
      <w:bookmarkStart w:id="5" w:name="_Toc1530626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4"/>
          <w:szCs w:val="44"/>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4"/>
          <w:szCs w:val="44"/>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2023年度</w:t>
      </w:r>
      <w:bookmarkEnd w:id="0"/>
      <w:bookmarkEnd w:id="1"/>
      <w:bookmarkEnd w:id="2"/>
      <w:bookmarkEnd w:id="3"/>
      <w:bookmarkEnd w:id="4"/>
      <w:bookmarkEnd w:id="5"/>
      <w:bookmarkStart w:id="6" w:name="_Toc15377194"/>
      <w:bookmarkStart w:id="7" w:name="_Toc15396476"/>
      <w:bookmarkStart w:id="8" w:name="_Toc15306268"/>
      <w:bookmarkStart w:id="9" w:name="_Toc15378442"/>
      <w:bookmarkStart w:id="10" w:name="_Toc15396598"/>
      <w:bookmarkStart w:id="11" w:name="_Toc1537742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盐边县文化馆</w:t>
      </w:r>
      <w:r>
        <w:rPr>
          <w:rFonts w:hint="eastAsia" w:ascii="方正小标宋简体" w:hAnsi="方正小标宋简体" w:eastAsia="方正小标宋简体" w:cs="方正小标宋简体"/>
          <w:color w:val="auto"/>
          <w:sz w:val="44"/>
          <w:szCs w:val="44"/>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color w:val="auto"/>
          <w:sz w:val="48"/>
          <w:szCs w:val="48"/>
        </w:rPr>
      </w:pPr>
      <w:r>
        <w:rPr>
          <w:rFonts w:hint="default" w:ascii="Times New Roman" w:hAnsi="Times New Roman" w:eastAsia="方正小标宋简体" w:cs="Times New Roman"/>
          <w:color w:val="auto"/>
          <w:sz w:val="36"/>
          <w:szCs w:val="36"/>
        </w:rPr>
        <w:br w:type="page"/>
      </w:r>
      <w:r>
        <w:rPr>
          <w:rFonts w:hint="default" w:ascii="Times New Roman" w:hAnsi="Times New Roman" w:eastAsia="黑体" w:cs="Times New Roman"/>
          <w:color w:val="auto"/>
          <w:sz w:val="48"/>
          <w:szCs w:val="48"/>
        </w:rPr>
        <w:t>目录</w:t>
      </w:r>
    </w:p>
    <w:p>
      <w:pPr>
        <w:widowControl/>
        <w:jc w:val="center"/>
        <w:rPr>
          <w:rFonts w:hint="default" w:ascii="Times New Roman" w:hAnsi="Times New Roman" w:eastAsia="黑体" w:cs="Times New Roman"/>
          <w:color w:val="auto"/>
          <w:sz w:val="28"/>
          <w:szCs w:val="28"/>
        </w:rPr>
      </w:pPr>
    </w:p>
    <w:p>
      <w:pPr>
        <w:pStyle w:val="14"/>
        <w:rPr>
          <w:rFonts w:hint="default" w:ascii="Times New Roman" w:hAnsi="Times New Roman" w:cs="Times New Roman"/>
          <w:color w:val="auto"/>
        </w:rPr>
      </w:pPr>
      <w:r>
        <w:rPr>
          <w:rFonts w:hint="default" w:ascii="Times New Roman" w:hAnsi="Times New Roman" w:cs="Times New Roman"/>
          <w:color w:val="auto"/>
        </w:rPr>
        <w:t>公开时间：202</w:t>
      </w:r>
      <w:r>
        <w:rPr>
          <w:rFonts w:hint="default" w:ascii="Times New Roman" w:hAnsi="Times New Roman" w:cs="Times New Roman"/>
          <w:color w:val="auto"/>
          <w:lang w:val="en-US" w:eastAsia="zh-CN"/>
        </w:rPr>
        <w:t>4</w:t>
      </w:r>
      <w:r>
        <w:rPr>
          <w:rFonts w:hint="default" w:ascii="Times New Roman" w:hAnsi="Times New Roman" w:cs="Times New Roman"/>
          <w:color w:val="auto"/>
        </w:rPr>
        <w:t>年</w:t>
      </w:r>
      <w:r>
        <w:rPr>
          <w:rFonts w:hint="default" w:ascii="Times New Roman" w:hAnsi="Times New Roman" w:cs="Times New Roman"/>
          <w:color w:val="auto"/>
          <w:lang w:val="en-US" w:eastAsia="zh-CN"/>
        </w:rPr>
        <w:t>10</w:t>
      </w:r>
      <w:r>
        <w:rPr>
          <w:rFonts w:hint="default" w:ascii="Times New Roman" w:hAnsi="Times New Roman" w:cs="Times New Roman"/>
          <w:color w:val="auto"/>
        </w:rPr>
        <w:t>月</w:t>
      </w:r>
      <w:r>
        <w:rPr>
          <w:rFonts w:hint="default" w:ascii="Times New Roman" w:hAnsi="Times New Roman" w:cs="Times New Roman"/>
          <w:color w:val="auto"/>
          <w:lang w:val="en-US" w:eastAsia="zh-CN"/>
        </w:rPr>
        <w:t>28</w:t>
      </w:r>
      <w:r>
        <w:rPr>
          <w:rFonts w:hint="default" w:ascii="Times New Roman" w:hAnsi="Times New Roman" w:cs="Times New Roman"/>
          <w:color w:val="auto"/>
        </w:rPr>
        <w:t>日</w:t>
      </w:r>
    </w:p>
    <w:p>
      <w:pPr>
        <w:rPr>
          <w:rFonts w:hint="default" w:ascii="Times New Roman" w:hAnsi="Times New Roman" w:cs="Times New Roman"/>
          <w:color w:val="auto"/>
        </w:rPr>
      </w:pPr>
    </w:p>
    <w:p>
      <w:pPr>
        <w:pStyle w:val="14"/>
        <w:adjustRightInd w:val="0"/>
        <w:snapToGrid w:val="0"/>
        <w:spacing w:before="0" w:line="440" w:lineRule="exact"/>
        <w:ind w:firstLine="480" w:firstLineChars="200"/>
        <w:jc w:val="left"/>
        <w:rPr>
          <w:rFonts w:hint="default" w:ascii="Times New Roman" w:hAnsi="Times New Roman" w:eastAsia="仿宋" w:cs="Times New Roman"/>
          <w:color w:val="auto"/>
          <w:sz w:val="24"/>
          <w:szCs w:val="24"/>
          <w:lang w:val="en-US" w:eastAsia="zh-CN"/>
        </w:rPr>
      </w:pPr>
      <w:r>
        <w:rPr>
          <w:rFonts w:hint="default" w:ascii="Times New Roman" w:hAnsi="Times New Roman" w:cs="Times New Roman"/>
          <w:color w:val="auto"/>
          <w:sz w:val="24"/>
        </w:rPr>
        <w:t>第一部分 部门概况</w:t>
      </w:r>
      <w:r>
        <w:rPr>
          <w:rFonts w:hint="eastAsia" w:ascii="仿宋" w:hAnsi="仿宋" w:eastAsia="仿宋" w:cs="仿宋"/>
          <w:color w:val="auto"/>
          <w:sz w:val="24"/>
          <w:lang w:val="en-US" w:eastAsia="zh-CN"/>
        </w:rPr>
        <w:t>....</w:t>
      </w:r>
      <w:r>
        <w:rPr>
          <w:rFonts w:hint="eastAsia" w:cs="仿宋"/>
          <w:color w:val="auto"/>
          <w:sz w:val="24"/>
          <w:lang w:val="en-US" w:eastAsia="zh-CN"/>
        </w:rPr>
        <w:t>...........................................1</w:t>
      </w:r>
    </w:p>
    <w:p>
      <w:pPr>
        <w:pStyle w:val="16"/>
        <w:adjustRightInd w:val="0"/>
        <w:snapToGrid w:val="0"/>
        <w:spacing w:line="440" w:lineRule="exact"/>
        <w:ind w:left="0" w:leftChars="0" w:firstLine="480" w:firstLineChars="200"/>
        <w:jc w:val="left"/>
        <w:rPr>
          <w:rFonts w:hint="default" w:ascii="仿宋" w:hAnsi="仿宋" w:eastAsia="仿宋" w:cs="仿宋"/>
          <w:color w:val="auto"/>
          <w:sz w:val="24"/>
          <w:lang w:val="en-US"/>
        </w:rPr>
      </w:pPr>
      <w:r>
        <w:rPr>
          <w:rFonts w:hint="default" w:ascii="Times New Roman" w:hAnsi="Times New Roman" w:cs="Times New Roman"/>
          <w:color w:val="auto"/>
          <w:sz w:val="24"/>
        </w:rPr>
        <w:t>一、部门职责</w:t>
      </w:r>
      <w:r>
        <w:rPr>
          <w:rFonts w:hint="eastAsia" w:ascii="仿宋" w:hAnsi="仿宋" w:eastAsia="仿宋" w:cs="仿宋"/>
          <w:color w:val="auto"/>
          <w:sz w:val="24"/>
          <w:lang w:val="en-US" w:eastAsia="zh-CN"/>
        </w:rPr>
        <w:t>....................................................1</w:t>
      </w:r>
    </w:p>
    <w:p>
      <w:pPr>
        <w:pStyle w:val="16"/>
        <w:adjustRightInd w:val="0"/>
        <w:snapToGrid w:val="0"/>
        <w:spacing w:line="440" w:lineRule="exact"/>
        <w:ind w:left="0" w:leftChars="0" w:firstLine="480" w:firstLineChars="200"/>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二、机构设置</w:t>
      </w:r>
      <w:r>
        <w:rPr>
          <w:rFonts w:hint="eastAsia" w:ascii="仿宋" w:hAnsi="仿宋" w:eastAsia="仿宋" w:cs="仿宋"/>
          <w:color w:val="auto"/>
          <w:sz w:val="24"/>
          <w:lang w:val="en-US" w:eastAsia="zh-CN"/>
        </w:rPr>
        <w:t>....................................................1</w:t>
      </w:r>
    </w:p>
    <w:p>
      <w:pPr>
        <w:pStyle w:val="14"/>
        <w:adjustRightInd w:val="0"/>
        <w:snapToGrid w:val="0"/>
        <w:spacing w:before="0" w:line="440" w:lineRule="exact"/>
        <w:ind w:firstLine="480" w:firstLineChars="200"/>
        <w:jc w:val="left"/>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rPr>
        <w:t>第二部分 2023年度部门决算情况说</w:t>
      </w:r>
      <w:r>
        <w:rPr>
          <w:rFonts w:hint="eastAsia" w:ascii="Times New Roman" w:hAnsi="Times New Roman" w:cs="Times New Roman"/>
          <w:color w:val="auto"/>
          <w:sz w:val="24"/>
          <w:lang w:eastAsia="zh-CN"/>
        </w:rPr>
        <w:t>明</w:t>
      </w:r>
      <w:r>
        <w:rPr>
          <w:rFonts w:hint="eastAsia" w:ascii="仿宋" w:hAnsi="仿宋" w:eastAsia="仿宋" w:cs="仿宋"/>
          <w:color w:val="auto"/>
          <w:sz w:val="24"/>
          <w:lang w:val="en-US" w:eastAsia="zh-CN"/>
        </w:rPr>
        <w:t>......</w:t>
      </w:r>
      <w:r>
        <w:rPr>
          <w:rFonts w:hint="eastAsia" w:cs="仿宋"/>
          <w:color w:val="auto"/>
          <w:sz w:val="24"/>
          <w:lang w:val="en-US" w:eastAsia="zh-CN"/>
        </w:rPr>
        <w:t>.......</w:t>
      </w:r>
      <w:r>
        <w:rPr>
          <w:rFonts w:hint="eastAsia" w:ascii="仿宋" w:hAnsi="仿宋" w:eastAsia="仿宋" w:cs="仿宋"/>
          <w:color w:val="auto"/>
          <w:sz w:val="24"/>
          <w:lang w:val="en-US" w:eastAsia="zh-CN"/>
        </w:rPr>
        <w:t>..</w:t>
      </w:r>
      <w:r>
        <w:rPr>
          <w:rFonts w:hint="eastAsia" w:cs="仿宋"/>
          <w:color w:val="auto"/>
          <w:sz w:val="24"/>
          <w:lang w:val="en-US" w:eastAsia="zh-CN"/>
        </w:rPr>
        <w:t>.</w:t>
      </w:r>
      <w:r>
        <w:rPr>
          <w:rFonts w:hint="eastAsia" w:ascii="仿宋" w:hAnsi="仿宋" w:eastAsia="仿宋" w:cs="仿宋"/>
          <w:color w:val="auto"/>
          <w:sz w:val="24"/>
          <w:lang w:val="en-US" w:eastAsia="zh-CN"/>
        </w:rPr>
        <w:t>.</w:t>
      </w:r>
      <w:r>
        <w:rPr>
          <w:rFonts w:hint="eastAsia" w:cs="仿宋"/>
          <w:color w:val="auto"/>
          <w:sz w:val="24"/>
          <w:lang w:val="en-US" w:eastAsia="zh-CN"/>
        </w:rPr>
        <w:t>.............2</w:t>
      </w:r>
    </w:p>
    <w:p>
      <w:pPr>
        <w:pStyle w:val="16"/>
        <w:adjustRightInd w:val="0"/>
        <w:snapToGrid w:val="0"/>
        <w:spacing w:line="440" w:lineRule="exact"/>
        <w:ind w:left="0" w:leftChars="0" w:firstLine="480" w:firstLineChars="200"/>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一、收入支出决算总体情况说明</w:t>
      </w:r>
      <w:r>
        <w:rPr>
          <w:rFonts w:hint="eastAsia" w:asciiTheme="minorEastAsia" w:hAnsiTheme="minorEastAsia" w:eastAsiaTheme="minorEastAsia" w:cstheme="minorEastAsia"/>
          <w:color w:val="auto"/>
          <w:sz w:val="24"/>
          <w:lang w:val="en-US" w:eastAsia="zh-CN"/>
        </w:rPr>
        <w:t>.....................................</w:t>
      </w:r>
      <w:r>
        <w:rPr>
          <w:rFonts w:hint="eastAsia" w:ascii="仿宋" w:hAnsi="仿宋" w:eastAsia="仿宋" w:cs="仿宋"/>
          <w:color w:val="auto"/>
          <w:sz w:val="24"/>
          <w:lang w:val="en-US" w:eastAsia="zh-CN"/>
        </w:rPr>
        <w:t>2</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二、收入决算情况说明</w:t>
      </w:r>
      <w:r>
        <w:rPr>
          <w:rFonts w:hint="eastAsia" w:asciiTheme="minorEastAsia" w:hAnsiTheme="minorEastAsia" w:eastAsiaTheme="minorEastAsia" w:cstheme="minorEastAsia"/>
          <w:color w:val="auto"/>
          <w:sz w:val="24"/>
          <w:lang w:val="en-US" w:eastAsia="zh-CN"/>
        </w:rPr>
        <w:t>.............................................</w:t>
      </w:r>
      <w:r>
        <w:rPr>
          <w:rFonts w:hint="eastAsia" w:ascii="仿宋" w:hAnsi="仿宋" w:eastAsia="仿宋" w:cs="仿宋"/>
          <w:color w:val="auto"/>
          <w:sz w:val="24"/>
          <w:lang w:val="en-US" w:eastAsia="zh-CN"/>
        </w:rPr>
        <w:t>2</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三、支出决算情况说明</w:t>
      </w:r>
      <w:r>
        <w:rPr>
          <w:rFonts w:hint="eastAsia" w:ascii="仿宋" w:hAnsi="仿宋" w:eastAsia="仿宋" w:cs="仿宋"/>
          <w:color w:val="auto"/>
          <w:sz w:val="24"/>
          <w:lang w:val="en-US" w:eastAsia="zh-CN"/>
        </w:rPr>
        <w:t>.............................................3</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四、财政拨款收入支出决算总体情况说明</w:t>
      </w:r>
      <w:r>
        <w:rPr>
          <w:rFonts w:hint="eastAsia" w:ascii="仿宋" w:hAnsi="仿宋" w:eastAsia="仿宋" w:cs="仿宋"/>
          <w:color w:val="auto"/>
          <w:sz w:val="24"/>
          <w:lang w:val="en-US" w:eastAsia="zh-CN"/>
        </w:rPr>
        <w:t>.............................4</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五、一般公共预算财政拨款支出决算情况说明</w:t>
      </w:r>
      <w:r>
        <w:rPr>
          <w:rFonts w:hint="eastAsia" w:ascii="仿宋" w:hAnsi="仿宋" w:eastAsia="仿宋" w:cs="仿宋"/>
          <w:color w:val="auto"/>
          <w:sz w:val="24"/>
          <w:lang w:val="en-US" w:eastAsia="zh-CN"/>
        </w:rPr>
        <w:t>.........................4</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六、一般公共预算财政拨款基本支出决算情况说明</w:t>
      </w:r>
      <w:r>
        <w:rPr>
          <w:rFonts w:hint="eastAsia" w:ascii="仿宋" w:hAnsi="仿宋" w:eastAsia="仿宋" w:cs="仿宋"/>
          <w:color w:val="auto"/>
          <w:sz w:val="24"/>
          <w:lang w:val="en-US" w:eastAsia="zh-CN"/>
        </w:rPr>
        <w:t>.....................7</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七、财政拨款“三公”经费支出决算情况说明</w:t>
      </w:r>
      <w:r>
        <w:rPr>
          <w:rFonts w:hint="eastAsia" w:ascii="仿宋" w:hAnsi="仿宋" w:eastAsia="仿宋" w:cs="仿宋"/>
          <w:color w:val="auto"/>
          <w:sz w:val="24"/>
          <w:lang w:val="en-US" w:eastAsia="zh-CN"/>
        </w:rPr>
        <w:t>...........................7</w:t>
      </w:r>
    </w:p>
    <w:p>
      <w:pPr>
        <w:pStyle w:val="16"/>
        <w:adjustRightInd w:val="0"/>
        <w:snapToGrid w:val="0"/>
        <w:spacing w:line="440" w:lineRule="exact"/>
        <w:jc w:val="left"/>
        <w:rPr>
          <w:rFonts w:hint="default" w:ascii="Times New Roman" w:hAnsi="Times New Roman" w:eastAsia="仿宋" w:cs="Times New Roman"/>
          <w:color w:val="auto"/>
          <w:sz w:val="24"/>
          <w:lang w:val="en-US"/>
        </w:rPr>
      </w:pPr>
      <w:r>
        <w:rPr>
          <w:rFonts w:hint="default" w:ascii="Times New Roman" w:hAnsi="Times New Roman" w:cs="Times New Roman"/>
          <w:color w:val="auto"/>
          <w:sz w:val="24"/>
        </w:rPr>
        <w:t>八、政府性基金预算支出决算情况说明</w:t>
      </w:r>
      <w:r>
        <w:rPr>
          <w:rFonts w:hint="eastAsia" w:ascii="仿宋" w:hAnsi="仿宋" w:eastAsia="仿宋" w:cs="仿宋"/>
          <w:color w:val="auto"/>
          <w:sz w:val="24"/>
          <w:lang w:val="en-US" w:eastAsia="zh-CN"/>
        </w:rPr>
        <w:t>...............................9</w:t>
      </w:r>
    </w:p>
    <w:p>
      <w:pPr>
        <w:pStyle w:val="16"/>
        <w:adjustRightInd w:val="0"/>
        <w:snapToGrid w:val="0"/>
        <w:spacing w:line="440" w:lineRule="exact"/>
        <w:ind w:leftChars="0"/>
        <w:jc w:val="left"/>
        <w:rPr>
          <w:rFonts w:hint="default" w:ascii="Times New Roman" w:hAnsi="Times New Roman" w:cs="Times New Roman" w:eastAsiaTheme="minorEastAsia"/>
          <w:color w:val="auto"/>
          <w:sz w:val="24"/>
          <w:lang w:val="en-US"/>
        </w:rPr>
      </w:pPr>
      <w:r>
        <w:rPr>
          <w:rFonts w:hint="default" w:ascii="Times New Roman" w:hAnsi="Times New Roman" w:cs="Times New Roman" w:eastAsiaTheme="minorEastAsia"/>
          <w:color w:val="auto"/>
          <w:sz w:val="24"/>
        </w:rPr>
        <w:t>九、国有资本经营预算支出决算情况说明</w:t>
      </w:r>
      <w:r>
        <w:rPr>
          <w:rFonts w:hint="eastAsia" w:ascii="仿宋" w:hAnsi="仿宋" w:eastAsia="仿宋" w:cs="仿宋"/>
          <w:color w:val="auto"/>
          <w:sz w:val="24"/>
          <w:lang w:val="en-US" w:eastAsia="zh-CN"/>
        </w:rPr>
        <w:t>.............................9</w:t>
      </w:r>
    </w:p>
    <w:p>
      <w:pPr>
        <w:adjustRightInd w:val="0"/>
        <w:snapToGrid w:val="0"/>
        <w:spacing w:line="440" w:lineRule="exact"/>
        <w:ind w:firstLine="420" w:firstLineChars="175"/>
        <w:jc w:val="left"/>
        <w:rPr>
          <w:rFonts w:hint="default" w:ascii="Times New Roman" w:hAnsi="Times New Roman" w:cs="Times New Roman" w:eastAsiaTheme="minorEastAsia"/>
          <w:color w:val="auto"/>
          <w:sz w:val="24"/>
        </w:rPr>
      </w:pPr>
      <w:r>
        <w:rPr>
          <w:rStyle w:val="19"/>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color w:val="auto"/>
          <w:sz w:val="24"/>
        </w:rPr>
        <w:t>其他重要事项的情况说明</w:t>
      </w:r>
      <w:r>
        <w:rPr>
          <w:rFonts w:hint="eastAsia" w:ascii="仿宋" w:hAnsi="仿宋" w:eastAsia="仿宋" w:cs="仿宋"/>
          <w:color w:val="auto"/>
          <w:sz w:val="24"/>
          <w:lang w:val="en-US" w:eastAsia="zh-CN"/>
        </w:rPr>
        <w:t>.......................................9</w:t>
      </w:r>
    </w:p>
    <w:p>
      <w:pPr>
        <w:pStyle w:val="14"/>
        <w:adjustRightInd w:val="0"/>
        <w:snapToGrid w:val="0"/>
        <w:spacing w:before="0" w:line="440" w:lineRule="exact"/>
        <w:ind w:firstLine="480" w:firstLineChars="200"/>
        <w:jc w:val="left"/>
        <w:rPr>
          <w:rFonts w:hint="default" w:ascii="Times New Roman" w:hAnsi="Times New Roman" w:cs="Times New Roman"/>
          <w:color w:val="auto"/>
          <w:sz w:val="24"/>
          <w:szCs w:val="24"/>
          <w:lang w:val="en-US"/>
        </w:rPr>
      </w:pPr>
      <w:r>
        <w:rPr>
          <w:rFonts w:hint="default" w:ascii="Times New Roman" w:hAnsi="Times New Roman" w:cs="Times New Roman"/>
          <w:color w:val="auto"/>
          <w:sz w:val="24"/>
        </w:rPr>
        <w:t>第三部分 名词解释</w:t>
      </w:r>
      <w:r>
        <w:rPr>
          <w:rFonts w:hint="eastAsia" w:ascii="仿宋" w:hAnsi="仿宋" w:eastAsia="仿宋" w:cs="仿宋"/>
          <w:color w:val="auto"/>
          <w:sz w:val="24"/>
          <w:lang w:val="en-US" w:eastAsia="zh-CN"/>
        </w:rPr>
        <w:t>........</w:t>
      </w:r>
      <w:r>
        <w:rPr>
          <w:rFonts w:hint="eastAsia" w:cs="仿宋"/>
          <w:color w:val="auto"/>
          <w:sz w:val="24"/>
          <w:lang w:val="en-US" w:eastAsia="zh-CN"/>
        </w:rPr>
        <w:t>...................................</w:t>
      </w:r>
      <w:r>
        <w:rPr>
          <w:rFonts w:hint="eastAsia" w:ascii="仿宋" w:hAnsi="仿宋" w:eastAsia="仿宋" w:cs="仿宋"/>
          <w:color w:val="auto"/>
          <w:sz w:val="24"/>
          <w:lang w:val="en-US" w:eastAsia="zh-CN"/>
        </w:rPr>
        <w:t>...</w:t>
      </w:r>
      <w:r>
        <w:rPr>
          <w:rFonts w:hint="eastAsia" w:cs="仿宋"/>
          <w:color w:val="auto"/>
          <w:sz w:val="24"/>
          <w:lang w:val="en-US" w:eastAsia="zh-CN"/>
        </w:rPr>
        <w:t>12</w:t>
      </w:r>
    </w:p>
    <w:p>
      <w:pPr>
        <w:pStyle w:val="14"/>
        <w:adjustRightInd w:val="0"/>
        <w:snapToGrid w:val="0"/>
        <w:spacing w:before="0" w:line="440" w:lineRule="exact"/>
        <w:ind w:firstLine="480" w:firstLineChars="200"/>
        <w:jc w:val="left"/>
        <w:rPr>
          <w:rFonts w:hint="default" w:ascii="Times New Roman" w:hAnsi="Times New Roman" w:cs="Times New Roman"/>
          <w:color w:val="auto"/>
          <w:sz w:val="24"/>
          <w:szCs w:val="24"/>
          <w:lang w:val="en-US"/>
        </w:rPr>
      </w:pPr>
      <w:r>
        <w:rPr>
          <w:rFonts w:hint="default" w:ascii="Times New Roman" w:hAnsi="Times New Roman" w:cs="Times New Roman"/>
          <w:color w:val="auto"/>
          <w:sz w:val="24"/>
        </w:rPr>
        <w:t>第四部分 附件</w:t>
      </w:r>
      <w:r>
        <w:rPr>
          <w:rFonts w:hint="eastAsia" w:ascii="仿宋" w:hAnsi="仿宋" w:eastAsia="仿宋" w:cs="仿宋"/>
          <w:color w:val="auto"/>
          <w:sz w:val="24"/>
          <w:lang w:val="en-US" w:eastAsia="zh-CN"/>
        </w:rPr>
        <w:t>......</w:t>
      </w:r>
      <w:r>
        <w:rPr>
          <w:rFonts w:hint="eastAsia" w:cs="仿宋"/>
          <w:color w:val="auto"/>
          <w:sz w:val="24"/>
          <w:lang w:val="en-US" w:eastAsia="zh-CN"/>
        </w:rPr>
        <w:t>............................................15</w:t>
      </w:r>
    </w:p>
    <w:p>
      <w:pPr>
        <w:pStyle w:val="14"/>
        <w:adjustRightInd w:val="0"/>
        <w:snapToGrid w:val="0"/>
        <w:spacing w:before="0" w:line="440" w:lineRule="exact"/>
        <w:ind w:firstLine="480" w:firstLineChars="200"/>
        <w:jc w:val="left"/>
        <w:rPr>
          <w:rFonts w:hint="default" w:ascii="Times New Roman" w:hAnsi="Times New Roman" w:cs="Times New Roman"/>
          <w:color w:val="auto"/>
          <w:sz w:val="24"/>
          <w:szCs w:val="24"/>
          <w:lang w:val="en-US"/>
        </w:rPr>
      </w:pPr>
      <w:r>
        <w:rPr>
          <w:rFonts w:hint="default" w:ascii="Times New Roman" w:hAnsi="Times New Roman" w:cs="Times New Roman"/>
          <w:color w:val="auto"/>
          <w:sz w:val="24"/>
        </w:rPr>
        <w:t>第五部分 附表</w:t>
      </w:r>
      <w:r>
        <w:rPr>
          <w:rFonts w:hint="eastAsia" w:cs="仿宋"/>
          <w:color w:val="auto"/>
          <w:sz w:val="24"/>
          <w:lang w:val="en-US" w:eastAsia="zh-CN"/>
        </w:rPr>
        <w:t>..................................................44</w:t>
      </w:r>
    </w:p>
    <w:p>
      <w:pPr>
        <w:pStyle w:val="16"/>
        <w:adjustRightInd w:val="0"/>
        <w:snapToGrid w:val="0"/>
        <w:spacing w:line="440" w:lineRule="exact"/>
        <w:jc w:val="left"/>
        <w:rPr>
          <w:rFonts w:hint="default" w:ascii="仿宋" w:hAnsi="仿宋" w:eastAsia="宋体" w:cs="仿宋"/>
          <w:color w:val="auto"/>
          <w:sz w:val="24"/>
          <w:lang w:val="en-US" w:eastAsia="zh-CN"/>
        </w:rPr>
      </w:pPr>
      <w:r>
        <w:rPr>
          <w:rFonts w:hint="default" w:ascii="Times New Roman" w:hAnsi="Times New Roman" w:cs="Times New Roman"/>
          <w:color w:val="auto"/>
          <w:sz w:val="24"/>
        </w:rPr>
        <w:t>一、收入支出决算总</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二、收入决算表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三、支出决算表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四、财政拨款收入支出决算总表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五、财政拨款支出决算明细表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六、一般公共预算财政拨款支出决算表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七、一般公共预算财政拨款支出决算明细表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八、一般公共预算财政拨款基本支出决算明细表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九、一般公共预算财政拨款项目支出决算表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十、政府性基金预算财政拨款收入支出决算表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十一、国有资本经营预算财政拨款收入支出决算表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color w:val="auto"/>
          <w:sz w:val="24"/>
          <w:lang w:val="en-US"/>
        </w:rPr>
      </w:pPr>
      <w:r>
        <w:rPr>
          <w:rFonts w:hint="default" w:ascii="Times New Roman" w:hAnsi="Times New Roman" w:cs="Times New Roman"/>
          <w:color w:val="auto"/>
          <w:sz w:val="24"/>
        </w:rPr>
        <w:t>十二、国有资本经营预算财政拨款支出决算表</w:t>
      </w:r>
      <w:r>
        <w:rPr>
          <w:rFonts w:hint="eastAsia" w:ascii="仿宋" w:hAnsi="仿宋" w:eastAsia="仿宋" w:cs="仿宋"/>
          <w:color w:val="auto"/>
          <w:sz w:val="24"/>
          <w:lang w:val="en-US" w:eastAsia="zh-CN"/>
        </w:rPr>
        <w:t>........................44</w:t>
      </w:r>
    </w:p>
    <w:p>
      <w:pPr>
        <w:pStyle w:val="16"/>
        <w:adjustRightInd w:val="0"/>
        <w:snapToGrid w:val="0"/>
        <w:spacing w:line="440" w:lineRule="exact"/>
        <w:jc w:val="left"/>
        <w:rPr>
          <w:rFonts w:hint="default" w:ascii="Times New Roman" w:hAnsi="Times New Roman" w:cs="Times New Roman" w:eastAsiaTheme="minorEastAsia"/>
          <w:color w:val="auto"/>
          <w:sz w:val="24"/>
          <w:lang w:val="en-US"/>
        </w:rPr>
      </w:pPr>
      <w:r>
        <w:rPr>
          <w:rFonts w:hint="default" w:ascii="Times New Roman" w:hAnsi="Times New Roman" w:cs="Times New Roman"/>
          <w:color w:val="auto"/>
          <w:sz w:val="24"/>
        </w:rPr>
        <w:t>十三、财政拨款“三公”经费支出决算表</w:t>
      </w:r>
      <w:r>
        <w:rPr>
          <w:rFonts w:hint="eastAsia" w:ascii="仿宋" w:hAnsi="仿宋" w:eastAsia="仿宋" w:cs="仿宋"/>
          <w:color w:val="auto"/>
          <w:sz w:val="24"/>
          <w:lang w:val="en-US" w:eastAsia="zh-CN"/>
        </w:rPr>
        <w:t>..............................44</w:t>
      </w:r>
    </w:p>
    <w:p>
      <w:pPr>
        <w:widowControl/>
        <w:adjustRightInd w:val="0"/>
        <w:snapToGrid w:val="0"/>
        <w:spacing w:line="440" w:lineRule="exact"/>
        <w:ind w:firstLine="1320" w:firstLineChars="550"/>
        <w:jc w:val="left"/>
        <w:rPr>
          <w:rFonts w:hint="default" w:ascii="Times New Roman" w:hAnsi="Times New Roman" w:eastAsia="仿宋" w:cs="Times New Roman"/>
          <w:color w:val="auto"/>
          <w:sz w:val="24"/>
        </w:rPr>
      </w:pPr>
    </w:p>
    <w:p>
      <w:pPr>
        <w:pStyle w:val="3"/>
        <w:jc w:val="center"/>
        <w:rPr>
          <w:rFonts w:hint="default" w:ascii="Times New Roman" w:hAnsi="Times New Roman" w:eastAsia="黑体" w:cs="Times New Roman"/>
          <w:b w:val="0"/>
          <w:color w:val="auto"/>
        </w:rPr>
        <w:sectPr>
          <w:footerReference r:id="rId5" w:type="first"/>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2" w:name="_Toc15396599"/>
      <w:bookmarkStart w:id="13" w:name="_Toc15377196"/>
    </w:p>
    <w:p>
      <w:pPr>
        <w:pStyle w:val="3"/>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b w:val="0"/>
          <w:color w:val="auto"/>
        </w:rPr>
        <w:t xml:space="preserve">第一部分 </w:t>
      </w:r>
      <w:r>
        <w:rPr>
          <w:rStyle w:val="29"/>
          <w:rFonts w:hint="default" w:ascii="Times New Roman" w:hAnsi="Times New Roman" w:eastAsia="黑体" w:cs="Times New Roman"/>
          <w:b w:val="0"/>
          <w:bCs w:val="0"/>
          <w:color w:val="auto"/>
        </w:rPr>
        <w:t>部门概况</w:t>
      </w:r>
      <w:bookmarkEnd w:id="12"/>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sz w:val="32"/>
          <w:szCs w:val="32"/>
          <w:lang w:eastAsia="zh-CN"/>
        </w:rPr>
      </w:pPr>
      <w:bookmarkStart w:id="14" w:name="_Toc15377200"/>
      <w:bookmarkStart w:id="15" w:name="_Toc15396601"/>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机构设置</w:t>
      </w:r>
      <w:bookmarkEnd w:id="14"/>
      <w:bookmarkEnd w:id="1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盐边县文化馆是盐边县文化广播电视和旅游局下属公益一类事业单位，同时挂盐边县图书馆、盐边县美术馆和盐边县文化遗产保护中心牌子，实行四块牌子一套人马，属于一级预算单位，无纳入2023年度部门决算编制范围的二级预算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ind w:firstLine="640" w:firstLineChars="200"/>
        <w:rPr>
          <w:rFonts w:hint="default" w:ascii="Times New Roman" w:hAnsi="Times New Roman" w:eastAsia="方正仿宋_GB2312" w:cs="Times New Roman"/>
          <w:sz w:val="32"/>
          <w:szCs w:val="32"/>
        </w:rPr>
      </w:pPr>
    </w:p>
    <w:p>
      <w:pPr>
        <w:pStyle w:val="3"/>
        <w:pageBreakBefore w:val="0"/>
        <w:widowControl w:val="0"/>
        <w:kinsoku/>
        <w:wordWrap/>
        <w:overflowPunct/>
        <w:topLinePunct w:val="0"/>
        <w:autoSpaceDE/>
        <w:autoSpaceDN/>
        <w:bidi w:val="0"/>
        <w:adjustRightInd/>
        <w:snapToGrid/>
        <w:spacing w:line="0" w:lineRule="atLeast"/>
        <w:ind w:right="440"/>
        <w:jc w:val="center"/>
        <w:textAlignment w:val="auto"/>
        <w:rPr>
          <w:rStyle w:val="29"/>
          <w:rFonts w:hint="default" w:ascii="Times New Roman" w:hAnsi="Times New Roman" w:eastAsia="黑体" w:cs="Times New Roman"/>
          <w:b w:val="0"/>
          <w:bCs/>
          <w:color w:val="auto"/>
        </w:rPr>
      </w:pPr>
      <w:bookmarkStart w:id="16" w:name="_Toc15377204"/>
      <w:bookmarkStart w:id="17" w:name="_Toc15396602"/>
      <w:r>
        <w:rPr>
          <w:rFonts w:hint="eastAsia" w:eastAsia="黑体" w:cs="Times New Roman"/>
          <w:b w:val="0"/>
          <w:color w:val="auto"/>
          <w:lang w:val="en-US" w:eastAsia="zh-CN"/>
        </w:rPr>
        <w:t xml:space="preserve">  </w:t>
      </w:r>
      <w:r>
        <w:rPr>
          <w:rFonts w:hint="default" w:ascii="Times New Roman" w:hAnsi="Times New Roman" w:eastAsia="黑体" w:cs="Times New Roman"/>
          <w:b w:val="0"/>
          <w:color w:val="auto"/>
        </w:rPr>
        <w:t>第二部分 2023年度</w:t>
      </w:r>
      <w:r>
        <w:rPr>
          <w:rStyle w:val="29"/>
          <w:rFonts w:hint="default" w:ascii="Times New Roman" w:hAnsi="Times New Roman" w:eastAsia="黑体" w:cs="Times New Roman"/>
          <w:b w:val="0"/>
          <w:bCs/>
          <w:color w:val="auto"/>
        </w:rPr>
        <w:t>部门决算情况说明</w:t>
      </w:r>
      <w:bookmarkEnd w:id="16"/>
      <w:bookmarkEnd w:id="17"/>
    </w:p>
    <w:p>
      <w:pPr>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cs="Times New Roman"/>
          <w:color w:val="auto"/>
        </w:rPr>
      </w:pPr>
    </w:p>
    <w:p>
      <w:pPr>
        <w:pStyle w:val="28"/>
        <w:numPr>
          <w:ilvl w:val="0"/>
          <w:numId w:val="0"/>
        </w:numPr>
        <w:spacing w:line="600" w:lineRule="exact"/>
        <w:ind w:left="640" w:leftChars="0"/>
        <w:outlineLvl w:val="1"/>
        <w:rPr>
          <w:rStyle w:val="30"/>
          <w:rFonts w:hint="default" w:ascii="Times New Roman" w:hAnsi="Times New Roman" w:eastAsia="黑体" w:cs="Times New Roman"/>
          <w:b w:val="0"/>
          <w:color w:val="auto"/>
        </w:rPr>
      </w:pPr>
      <w:bookmarkStart w:id="18" w:name="_Toc15377205"/>
      <w:bookmarkStart w:id="19" w:name="_Toc15396603"/>
      <w:r>
        <w:rPr>
          <w:rFonts w:hint="default" w:ascii="Times New Roman" w:hAnsi="Times New Roman" w:eastAsia="黑体" w:cs="Times New Roman"/>
          <w:kern w:val="2"/>
          <w:sz w:val="32"/>
          <w:szCs w:val="32"/>
          <w:lang w:val="en-US" w:eastAsia="zh-CN" w:bidi="ar-SA"/>
        </w:rPr>
        <w:t>一、收入支出决算总体情况说明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2023年度收、支总计均为</w:t>
      </w:r>
      <w:r>
        <w:rPr>
          <w:rFonts w:hint="default" w:ascii="Times New Roman" w:hAnsi="Times New Roman" w:eastAsia="方正仿宋_GB2312" w:cs="Times New Roman"/>
          <w:b w:val="0"/>
          <w:bCs/>
          <w:color w:val="auto"/>
          <w:sz w:val="32"/>
          <w:szCs w:val="32"/>
        </w:rPr>
        <w:t>280.19</w:t>
      </w:r>
      <w:r>
        <w:rPr>
          <w:rFonts w:hint="default" w:ascii="Times New Roman" w:hAnsi="Times New Roman" w:eastAsia="方正仿宋_GB2312" w:cs="Times New Roman"/>
          <w:color w:val="auto"/>
          <w:sz w:val="32"/>
          <w:szCs w:val="32"/>
        </w:rPr>
        <w:t>万元。与2022年度相比，收、支总计各增加</w:t>
      </w:r>
      <w:r>
        <w:rPr>
          <w:rFonts w:hint="default" w:ascii="Times New Roman" w:hAnsi="Times New Roman" w:eastAsia="方正仿宋_GB2312" w:cs="Times New Roman"/>
          <w:color w:val="auto"/>
          <w:sz w:val="32"/>
          <w:szCs w:val="32"/>
          <w:lang w:val="en-US" w:eastAsia="zh-CN"/>
        </w:rPr>
        <w:t>86.55</w:t>
      </w:r>
      <w:r>
        <w:rPr>
          <w:rFonts w:hint="default" w:ascii="Times New Roman" w:hAnsi="Times New Roman" w:eastAsia="方正仿宋_GB2312" w:cs="Times New Roman"/>
          <w:color w:val="auto"/>
          <w:sz w:val="32"/>
          <w:szCs w:val="32"/>
        </w:rPr>
        <w:t>万元，增长</w:t>
      </w:r>
      <w:r>
        <w:rPr>
          <w:rFonts w:hint="default" w:ascii="Times New Roman" w:hAnsi="Times New Roman" w:eastAsia="方正仿宋_GB2312" w:cs="Times New Roman"/>
          <w:color w:val="auto"/>
          <w:sz w:val="32"/>
          <w:szCs w:val="32"/>
          <w:lang w:val="en-US" w:eastAsia="zh-CN"/>
        </w:rPr>
        <w:t>44.70</w:t>
      </w:r>
      <w:r>
        <w:rPr>
          <w:rFonts w:hint="default" w:ascii="Times New Roman" w:hAnsi="Times New Roman" w:eastAsia="方正仿宋_GB2312" w:cs="Times New Roman"/>
          <w:color w:val="auto"/>
          <w:sz w:val="32"/>
          <w:szCs w:val="32"/>
        </w:rPr>
        <w:t>%。主要变动原因是</w:t>
      </w:r>
      <w:r>
        <w:rPr>
          <w:rFonts w:hint="default" w:ascii="Times New Roman" w:hAnsi="Times New Roman" w:eastAsia="方正仿宋_GB2312" w:cs="Times New Roman"/>
          <w:color w:val="auto"/>
          <w:sz w:val="32"/>
          <w:szCs w:val="32"/>
          <w:lang w:eastAsia="zh-CN"/>
        </w:rPr>
        <w:t>项目增加</w:t>
      </w:r>
      <w:r>
        <w:rPr>
          <w:rFonts w:hint="default" w:ascii="Times New Roman" w:hAnsi="Times New Roman" w:eastAsia="方正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（图1：收、支决算总计变动情况图）（柱状图）</w:t>
      </w:r>
    </w:p>
    <w:p>
      <w:pPr>
        <w:pStyle w:val="2"/>
        <w:rPr>
          <w:rFonts w:hint="default" w:ascii="Times New Roman" w:hAnsi="Times New Roman" w:cs="Times New Roman"/>
          <w:color w:val="auto"/>
        </w:rPr>
      </w:pPr>
      <w:r>
        <w:rPr>
          <w:rFonts w:hint="default" w:ascii="Times New Roman" w:hAnsi="Times New Roman" w:cs="Times New Roman"/>
          <w:color w:val="auto"/>
          <w:sz w:val="32"/>
          <w:szCs w:val="32"/>
        </w:rPr>
        <w:drawing>
          <wp:inline distT="0" distB="0" distL="0" distR="0">
            <wp:extent cx="5274310" cy="3076575"/>
            <wp:effectExtent l="5080" t="4445" r="8890"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8"/>
        <w:numPr>
          <w:ilvl w:val="0"/>
          <w:numId w:val="0"/>
        </w:numPr>
        <w:spacing w:line="600" w:lineRule="exact"/>
        <w:ind w:left="640" w:leftChars="0"/>
        <w:outlineLvl w:val="1"/>
        <w:rPr>
          <w:rStyle w:val="30"/>
          <w:rFonts w:hint="default" w:ascii="Times New Roman" w:hAnsi="Times New Roman" w:eastAsia="黑体" w:cs="Times New Roman"/>
          <w:b w:val="0"/>
          <w:color w:val="auto"/>
        </w:rPr>
      </w:pPr>
      <w:bookmarkStart w:id="20" w:name="_Toc15377206"/>
      <w:bookmarkStart w:id="21" w:name="_Toc15396604"/>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收</w:t>
      </w:r>
      <w:r>
        <w:rPr>
          <w:rStyle w:val="30"/>
          <w:rFonts w:hint="default" w:ascii="Times New Roman" w:hAnsi="Times New Roman" w:eastAsia="黑体" w:cs="Times New Roman"/>
          <w:b w:val="0"/>
          <w:color w:val="auto"/>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仿宋_GB2312" w:cs="Times New Roman"/>
          <w:b w:val="0"/>
          <w:bCs w:val="0"/>
          <w:color w:val="auto"/>
          <w:sz w:val="32"/>
          <w:szCs w:val="32"/>
          <w:lang w:eastAsia="zh-CN"/>
        </w:rPr>
      </w:pPr>
      <w:r>
        <w:rPr>
          <w:rFonts w:hint="default" w:ascii="Times New Roman" w:hAnsi="Times New Roman" w:eastAsia="方正仿宋_GB2312" w:cs="Times New Roman"/>
          <w:color w:val="auto"/>
          <w:sz w:val="32"/>
          <w:szCs w:val="32"/>
        </w:rPr>
        <w:t>2023年度本年收入合计</w:t>
      </w:r>
      <w:r>
        <w:rPr>
          <w:rFonts w:hint="default" w:ascii="Times New Roman" w:hAnsi="Times New Roman" w:eastAsia="方正仿宋_GB2312" w:cs="Times New Roman"/>
          <w:b w:val="0"/>
          <w:bCs/>
          <w:color w:val="auto"/>
          <w:sz w:val="32"/>
          <w:szCs w:val="32"/>
        </w:rPr>
        <w:t>280.19</w:t>
      </w:r>
      <w:r>
        <w:rPr>
          <w:rFonts w:hint="default" w:ascii="Times New Roman" w:hAnsi="Times New Roman" w:eastAsia="方正仿宋_GB2312" w:cs="Times New Roman"/>
          <w:color w:val="auto"/>
          <w:sz w:val="32"/>
          <w:szCs w:val="32"/>
        </w:rPr>
        <w:t>万元，其中：一般公共预算财政拨款收入</w:t>
      </w:r>
      <w:r>
        <w:rPr>
          <w:rFonts w:hint="default" w:ascii="Times New Roman" w:hAnsi="Times New Roman" w:eastAsia="方正仿宋_GB2312" w:cs="Times New Roman"/>
          <w:b w:val="0"/>
          <w:bCs/>
          <w:color w:val="auto"/>
          <w:sz w:val="32"/>
          <w:szCs w:val="32"/>
        </w:rPr>
        <w:t>280.19</w:t>
      </w:r>
      <w:r>
        <w:rPr>
          <w:rFonts w:hint="default" w:ascii="Times New Roman" w:hAnsi="Times New Roman" w:eastAsia="方正仿宋_GB2312" w:cs="Times New Roman"/>
          <w:color w:val="auto"/>
          <w:sz w:val="32"/>
          <w:szCs w:val="32"/>
        </w:rPr>
        <w:t>万元，占</w:t>
      </w:r>
      <w:r>
        <w:rPr>
          <w:rFonts w:hint="default" w:ascii="Times New Roman" w:hAnsi="Times New Roman" w:eastAsia="方正仿宋_GB2312" w:cs="Times New Roman"/>
          <w:b w:val="0"/>
          <w:bCs/>
          <w:color w:val="auto"/>
          <w:sz w:val="32"/>
          <w:szCs w:val="32"/>
        </w:rPr>
        <w:t>100%</w:t>
      </w:r>
      <w:r>
        <w:rPr>
          <w:rFonts w:hint="default" w:ascii="Times New Roman" w:hAnsi="Times New Roman" w:eastAsia="方正仿宋_GB2312" w:cs="Times New Roman"/>
          <w:color w:val="auto"/>
          <w:sz w:val="32"/>
          <w:szCs w:val="32"/>
        </w:rPr>
        <w:t>；政府性基金预算财政拨款收入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万元，占</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%；国有资本经营预算财政拨款收入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万元，占</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%；上级补助收入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万元，占0%；事业收入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万元，占</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%；经营收入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万元，占</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color w:val="auto"/>
          <w:sz w:val="32"/>
          <w:szCs w:val="32"/>
        </w:rPr>
        <w:t>%；附属单位上缴收入</w:t>
      </w:r>
      <w:r>
        <w:rPr>
          <w:rFonts w:hint="default" w:ascii="Times New Roman" w:hAnsi="Times New Roman" w:eastAsia="方正仿宋_GB2312" w:cs="Times New Roman"/>
          <w:b w:val="0"/>
          <w:bCs/>
          <w:color w:val="auto"/>
          <w:sz w:val="32"/>
          <w:szCs w:val="32"/>
        </w:rPr>
        <w:t>0</w:t>
      </w:r>
      <w:r>
        <w:rPr>
          <w:rFonts w:hint="default" w:ascii="Times New Roman" w:hAnsi="Times New Roman" w:eastAsia="方正仿宋_GB2312" w:cs="Times New Roman"/>
          <w:b w:val="0"/>
          <w:bCs w:val="0"/>
          <w:color w:val="auto"/>
          <w:sz w:val="32"/>
          <w:szCs w:val="32"/>
        </w:rPr>
        <w:t>万元，占0%；其他收入0万元，占0%</w:t>
      </w:r>
      <w:r>
        <w:rPr>
          <w:rFonts w:hint="default" w:ascii="Times New Roman" w:hAnsi="Times New Roman" w:eastAsia="方正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（图2：收入决算结构图）（饼状图）</w:t>
      </w:r>
    </w:p>
    <w:p>
      <w:pPr>
        <w:pStyle w:val="2"/>
        <w:rPr>
          <w:rFonts w:hint="default" w:ascii="Times New Roman" w:hAnsi="Times New Roman" w:cs="Times New Roman"/>
          <w:color w:val="auto"/>
        </w:rPr>
      </w:pPr>
      <w:r>
        <w:rPr>
          <w:rFonts w:hint="default" w:ascii="Times New Roman" w:hAnsi="Times New Roman" w:cs="Times New Roman"/>
          <w:color w:val="auto"/>
          <w:sz w:val="32"/>
          <w:szCs w:val="32"/>
        </w:rPr>
        <w:drawing>
          <wp:inline distT="0" distB="0" distL="0" distR="0">
            <wp:extent cx="5274310" cy="3076575"/>
            <wp:effectExtent l="5080" t="4445" r="889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8"/>
        <w:numPr>
          <w:ilvl w:val="0"/>
          <w:numId w:val="0"/>
        </w:numPr>
        <w:spacing w:line="600" w:lineRule="exact"/>
        <w:ind w:left="640" w:leftChars="0"/>
        <w:outlineLvl w:val="1"/>
        <w:rPr>
          <w:rStyle w:val="30"/>
          <w:rFonts w:hint="default" w:ascii="Times New Roman" w:hAnsi="Times New Roman" w:eastAsia="黑体" w:cs="Times New Roman"/>
          <w:b w:val="0"/>
          <w:color w:val="auto"/>
        </w:rPr>
      </w:pPr>
      <w:bookmarkStart w:id="22" w:name="_Toc15377207"/>
      <w:bookmarkStart w:id="23" w:name="_Toc15396605"/>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支</w:t>
      </w:r>
      <w:r>
        <w:rPr>
          <w:rStyle w:val="30"/>
          <w:rFonts w:hint="default" w:ascii="Times New Roman" w:hAnsi="Times New Roman" w:eastAsia="黑体" w:cs="Times New Roman"/>
          <w:b w:val="0"/>
          <w:color w:val="auto"/>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default" w:ascii="Times New Roman" w:hAnsi="Times New Roman" w:eastAsia="方正仿宋_GB2312" w:cs="Times New Roman"/>
          <w:b w:val="0"/>
          <w:bCs w:val="0"/>
          <w:color w:val="auto"/>
          <w:sz w:val="32"/>
          <w:szCs w:val="32"/>
        </w:rPr>
      </w:pPr>
      <w:r>
        <w:rPr>
          <w:rFonts w:hint="default" w:ascii="Times New Roman" w:hAnsi="Times New Roman" w:eastAsia="方正仿宋_GB2312" w:cs="Times New Roman"/>
          <w:b w:val="0"/>
          <w:bCs w:val="0"/>
          <w:color w:val="auto"/>
          <w:sz w:val="32"/>
          <w:szCs w:val="32"/>
        </w:rPr>
        <w:t>2023年度本年支出合计280.19万元，其中：基本支出124.04万元，占44.26%；项目支出156.15万元，占55.73%；上缴上级支出0万元，占0%；经营支出0万元，占0%；对附属单位补助支出0万元，占0%。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drawing>
          <wp:anchor distT="0" distB="0" distL="114300" distR="114300" simplePos="0" relativeHeight="251660288" behindDoc="0" locked="0" layoutInCell="1" allowOverlap="1">
            <wp:simplePos x="0" y="0"/>
            <wp:positionH relativeFrom="column">
              <wp:posOffset>-80010</wp:posOffset>
            </wp:positionH>
            <wp:positionV relativeFrom="paragraph">
              <wp:posOffset>467995</wp:posOffset>
            </wp:positionV>
            <wp:extent cx="5288280" cy="2318385"/>
            <wp:effectExtent l="4445" t="4445" r="10795" b="889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_GB2312" w:cs="Times New Roman"/>
          <w:color w:val="auto"/>
          <w:sz w:val="32"/>
          <w:szCs w:val="32"/>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0"/>
          <w:rFonts w:hint="default" w:ascii="Times New Roman" w:hAnsi="Times New Roman" w:eastAsia="黑体" w:cs="Times New Roman"/>
          <w:b w:val="0"/>
          <w:color w:val="auto"/>
        </w:rPr>
      </w:pPr>
      <w:bookmarkStart w:id="24" w:name="_Toc15396606"/>
      <w:bookmarkStart w:id="25" w:name="_Toc15377208"/>
      <w:r>
        <w:rPr>
          <w:rFonts w:hint="default" w:ascii="Times New Roman" w:hAnsi="Times New Roman" w:eastAsia="黑体" w:cs="Times New Roman"/>
          <w:color w:val="auto"/>
          <w:sz w:val="32"/>
          <w:szCs w:val="32"/>
        </w:rPr>
        <w:t>四、财</w:t>
      </w:r>
      <w:r>
        <w:rPr>
          <w:rStyle w:val="30"/>
          <w:rFonts w:hint="default" w:ascii="Times New Roman" w:hAnsi="Times New Roman" w:eastAsia="黑体" w:cs="Times New Roman"/>
          <w:b w:val="0"/>
          <w:color w:val="auto"/>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val="0"/>
          <w:color w:val="auto"/>
          <w:sz w:val="32"/>
          <w:szCs w:val="32"/>
        </w:rPr>
      </w:pPr>
      <w:r>
        <w:rPr>
          <w:rFonts w:hint="default" w:ascii="Times New Roman" w:hAnsi="Times New Roman" w:eastAsia="方正仿宋_GB2312" w:cs="Times New Roman"/>
          <w:b w:val="0"/>
          <w:bCs w:val="0"/>
          <w:color w:val="auto"/>
          <w:sz w:val="32"/>
          <w:szCs w:val="32"/>
        </w:rPr>
        <w:t>2023年度财政拨款收、支总计均为280.19万元。与2022年度相比，财政拨款收、支总计各增加</w:t>
      </w:r>
      <w:r>
        <w:rPr>
          <w:rFonts w:hint="default" w:ascii="Times New Roman" w:hAnsi="Times New Roman" w:eastAsia="方正仿宋_GB2312" w:cs="Times New Roman"/>
          <w:b w:val="0"/>
          <w:bCs w:val="0"/>
          <w:color w:val="auto"/>
          <w:sz w:val="32"/>
          <w:szCs w:val="32"/>
          <w:lang w:val="en-US" w:eastAsia="zh-CN"/>
        </w:rPr>
        <w:t>86.55</w:t>
      </w:r>
      <w:r>
        <w:rPr>
          <w:rFonts w:hint="default" w:ascii="Times New Roman" w:hAnsi="Times New Roman" w:eastAsia="方正仿宋_GB2312" w:cs="Times New Roman"/>
          <w:b w:val="0"/>
          <w:bCs w:val="0"/>
          <w:color w:val="auto"/>
          <w:sz w:val="32"/>
          <w:szCs w:val="32"/>
        </w:rPr>
        <w:t>万元，增长</w:t>
      </w:r>
      <w:r>
        <w:rPr>
          <w:rFonts w:hint="default" w:ascii="Times New Roman" w:hAnsi="Times New Roman" w:eastAsia="方正仿宋_GB2312" w:cs="Times New Roman"/>
          <w:b w:val="0"/>
          <w:bCs w:val="0"/>
          <w:color w:val="auto"/>
          <w:sz w:val="32"/>
          <w:szCs w:val="32"/>
          <w:lang w:val="en-US" w:eastAsia="zh-CN"/>
        </w:rPr>
        <w:t>44.70</w:t>
      </w:r>
      <w:r>
        <w:rPr>
          <w:rFonts w:hint="default" w:ascii="Times New Roman" w:hAnsi="Times New Roman" w:eastAsia="方正仿宋_GB2312" w:cs="Times New Roman"/>
          <w:b w:val="0"/>
          <w:bCs w:val="0"/>
          <w:color w:val="auto"/>
          <w:sz w:val="32"/>
          <w:szCs w:val="32"/>
        </w:rPr>
        <w:t>%。主要变动原因是</w:t>
      </w:r>
      <w:r>
        <w:rPr>
          <w:rFonts w:hint="default" w:ascii="Times New Roman" w:hAnsi="Times New Roman" w:eastAsia="方正仿宋_GB2312" w:cs="Times New Roman"/>
          <w:b w:val="0"/>
          <w:bCs w:val="0"/>
          <w:color w:val="auto"/>
          <w:sz w:val="32"/>
          <w:szCs w:val="32"/>
          <w:lang w:eastAsia="zh-CN"/>
        </w:rPr>
        <w:t>项目增加</w:t>
      </w:r>
      <w:r>
        <w:rPr>
          <w:rFonts w:hint="default" w:ascii="Times New Roman" w:hAnsi="Times New Roman" w:eastAsia="方正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（图4：财政拨款收、支决算总计变动情况）（柱状图）</w:t>
      </w:r>
    </w:p>
    <w:p>
      <w:pPr>
        <w:pStyle w:val="2"/>
        <w:jc w:val="both"/>
        <w:rPr>
          <w:rFonts w:hint="default" w:ascii="Times New Roman" w:hAnsi="Times New Roman" w:cs="Times New Roman"/>
          <w:color w:val="auto"/>
        </w:rPr>
      </w:pPr>
      <w:r>
        <w:rPr>
          <w:rFonts w:hint="default" w:ascii="Times New Roman" w:hAnsi="Times New Roman" w:cs="Times New Roman"/>
          <w:color w:val="auto"/>
          <w:sz w:val="32"/>
          <w:szCs w:val="32"/>
        </w:rPr>
        <w:drawing>
          <wp:inline distT="0" distB="0" distL="0" distR="0">
            <wp:extent cx="5263515" cy="3239135"/>
            <wp:effectExtent l="4445" t="4445" r="508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30"/>
          <w:rFonts w:hint="default" w:ascii="Times New Roman" w:hAnsi="Times New Roman" w:eastAsia="黑体" w:cs="Times New Roman"/>
          <w:b w:val="0"/>
          <w:color w:val="auto"/>
        </w:rPr>
      </w:pPr>
      <w:bookmarkStart w:id="26" w:name="_Toc15396607"/>
      <w:bookmarkStart w:id="27" w:name="_Toc15377209"/>
      <w:r>
        <w:rPr>
          <w:rFonts w:hint="default" w:ascii="Times New Roman" w:hAnsi="Times New Roman" w:eastAsia="黑体" w:cs="Times New Roman"/>
          <w:color w:val="auto"/>
          <w:sz w:val="32"/>
          <w:szCs w:val="32"/>
        </w:rPr>
        <w:t>五、</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2"/>
        <w:rPr>
          <w:rFonts w:hint="default" w:ascii="Times New Roman" w:hAnsi="Times New Roman" w:eastAsia="方正楷体_GB2312" w:cs="Times New Roman"/>
          <w:b/>
          <w:color w:val="auto"/>
          <w:sz w:val="32"/>
          <w:szCs w:val="32"/>
          <w:lang w:eastAsia="zh-CN"/>
        </w:rPr>
      </w:pPr>
      <w:bookmarkStart w:id="28" w:name="_Toc15377210"/>
      <w:r>
        <w:rPr>
          <w:rFonts w:hint="default" w:ascii="Times New Roman" w:hAnsi="Times New Roman" w:eastAsia="方正楷体_GB2312" w:cs="Times New Roman"/>
          <w:b/>
          <w:color w:val="auto"/>
          <w:sz w:val="32"/>
          <w:szCs w:val="32"/>
        </w:rPr>
        <w:t>（一）一般公共预算财政拨款支出决算总体情况</w:t>
      </w:r>
      <w:bookmarkEnd w:id="28"/>
      <w:r>
        <w:rPr>
          <w:rFonts w:hint="default" w:ascii="Times New Roman" w:hAnsi="Times New Roman" w:eastAsia="方正楷体_GB2312" w:cs="Times New Roman"/>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val="0"/>
          <w:color w:val="auto"/>
          <w:sz w:val="32"/>
          <w:szCs w:val="32"/>
        </w:rPr>
      </w:pPr>
      <w:r>
        <w:rPr>
          <w:rFonts w:hint="default" w:ascii="Times New Roman" w:hAnsi="Times New Roman" w:eastAsia="方正仿宋_GB2312" w:cs="Times New Roman"/>
          <w:b w:val="0"/>
          <w:bCs w:val="0"/>
          <w:color w:val="auto"/>
          <w:sz w:val="32"/>
          <w:szCs w:val="32"/>
        </w:rPr>
        <w:t>2023年度一般公共预算财政拨款支出280.19万元，占本年支出合计的100%。与202</w:t>
      </w:r>
      <w:r>
        <w:rPr>
          <w:rFonts w:hint="default" w:ascii="Times New Roman" w:hAnsi="Times New Roman" w:eastAsia="方正仿宋_GB2312" w:cs="Times New Roman"/>
          <w:b w:val="0"/>
          <w:bCs w:val="0"/>
          <w:color w:val="auto"/>
          <w:sz w:val="32"/>
          <w:szCs w:val="32"/>
          <w:lang w:val="en-US" w:eastAsia="zh-CN"/>
        </w:rPr>
        <w:t>2</w:t>
      </w:r>
      <w:r>
        <w:rPr>
          <w:rFonts w:hint="default" w:ascii="Times New Roman" w:hAnsi="Times New Roman" w:eastAsia="方正仿宋_GB2312" w:cs="Times New Roman"/>
          <w:b w:val="0"/>
          <w:bCs w:val="0"/>
          <w:color w:val="auto"/>
          <w:sz w:val="32"/>
          <w:szCs w:val="32"/>
        </w:rPr>
        <w:t>年度相比，一般公共</w:t>
      </w:r>
      <w:r>
        <w:rPr>
          <w:rFonts w:hint="eastAsia" w:eastAsia="方正仿宋_GB2312" w:cs="Times New Roman"/>
          <w:b w:val="0"/>
          <w:bCs w:val="0"/>
          <w:color w:val="auto"/>
          <w:sz w:val="32"/>
          <w:szCs w:val="32"/>
          <w:lang w:eastAsia="zh-CN"/>
        </w:rPr>
        <w:t>预算</w:t>
      </w:r>
      <w:r>
        <w:rPr>
          <w:rFonts w:hint="default" w:ascii="Times New Roman" w:hAnsi="Times New Roman" w:eastAsia="方正仿宋_GB2312" w:cs="Times New Roman"/>
          <w:b w:val="0"/>
          <w:bCs w:val="0"/>
          <w:color w:val="auto"/>
          <w:sz w:val="32"/>
          <w:szCs w:val="32"/>
        </w:rPr>
        <w:t>财政拨款支</w:t>
      </w:r>
      <w:r>
        <w:rPr>
          <w:rFonts w:hint="eastAsia" w:eastAsia="方正仿宋_GB2312" w:cs="Times New Roman"/>
          <w:b w:val="0"/>
          <w:bCs w:val="0"/>
          <w:color w:val="auto"/>
          <w:sz w:val="32"/>
          <w:szCs w:val="32"/>
          <w:lang w:eastAsia="zh-CN"/>
        </w:rPr>
        <w:t>出</w:t>
      </w:r>
      <w:r>
        <w:rPr>
          <w:rFonts w:hint="default" w:ascii="Times New Roman" w:hAnsi="Times New Roman" w:eastAsia="方正仿宋_GB2312" w:cs="Times New Roman"/>
          <w:b w:val="0"/>
          <w:bCs w:val="0"/>
          <w:color w:val="auto"/>
          <w:sz w:val="32"/>
          <w:szCs w:val="32"/>
        </w:rPr>
        <w:t>增加</w:t>
      </w:r>
      <w:r>
        <w:rPr>
          <w:rFonts w:hint="default" w:ascii="Times New Roman" w:hAnsi="Times New Roman" w:eastAsia="方正仿宋_GB2312" w:cs="Times New Roman"/>
          <w:b w:val="0"/>
          <w:bCs w:val="0"/>
          <w:color w:val="auto"/>
          <w:sz w:val="32"/>
          <w:szCs w:val="32"/>
          <w:lang w:val="en-US" w:eastAsia="zh-CN"/>
        </w:rPr>
        <w:t>86.55</w:t>
      </w:r>
      <w:r>
        <w:rPr>
          <w:rFonts w:hint="default" w:ascii="Times New Roman" w:hAnsi="Times New Roman" w:eastAsia="方正仿宋_GB2312" w:cs="Times New Roman"/>
          <w:b w:val="0"/>
          <w:bCs w:val="0"/>
          <w:color w:val="auto"/>
          <w:sz w:val="32"/>
          <w:szCs w:val="32"/>
        </w:rPr>
        <w:t>万元，增长</w:t>
      </w:r>
      <w:r>
        <w:rPr>
          <w:rFonts w:hint="default" w:ascii="Times New Roman" w:hAnsi="Times New Roman" w:eastAsia="方正仿宋_GB2312" w:cs="Times New Roman"/>
          <w:b w:val="0"/>
          <w:bCs w:val="0"/>
          <w:color w:val="auto"/>
          <w:sz w:val="32"/>
          <w:szCs w:val="32"/>
          <w:lang w:val="en-US" w:eastAsia="zh-CN"/>
        </w:rPr>
        <w:t>44.70</w:t>
      </w:r>
      <w:r>
        <w:rPr>
          <w:rFonts w:hint="default" w:ascii="Times New Roman" w:hAnsi="Times New Roman" w:eastAsia="方正仿宋_GB2312" w:cs="Times New Roman"/>
          <w:b w:val="0"/>
          <w:bCs w:val="0"/>
          <w:color w:val="auto"/>
          <w:sz w:val="32"/>
          <w:szCs w:val="32"/>
        </w:rPr>
        <w:t>%。主要变动原因是</w:t>
      </w:r>
      <w:r>
        <w:rPr>
          <w:rFonts w:hint="default" w:ascii="Times New Roman" w:hAnsi="Times New Roman" w:eastAsia="方正仿宋_GB2312" w:cs="Times New Roman"/>
          <w:b w:val="0"/>
          <w:bCs w:val="0"/>
          <w:color w:val="auto"/>
          <w:sz w:val="32"/>
          <w:szCs w:val="32"/>
          <w:lang w:eastAsia="zh-CN"/>
        </w:rPr>
        <w:t>项目增加</w:t>
      </w:r>
      <w:r>
        <w:rPr>
          <w:rFonts w:hint="default" w:ascii="Times New Roman" w:hAnsi="Times New Roman" w:eastAsia="方正仿宋_GB2312"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（图5：一般公共预算财政拨款支出决算变动情况）（柱状图）</w:t>
      </w:r>
    </w:p>
    <w:p>
      <w:pPr>
        <w:pStyle w:val="2"/>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楷体_GB2312" w:cs="Times New Roman"/>
          <w:b/>
          <w:color w:val="auto"/>
          <w:kern w:val="2"/>
          <w:sz w:val="32"/>
          <w:szCs w:val="32"/>
          <w:lang w:val="en-US" w:eastAsia="zh-CN" w:bidi="ar-SA"/>
        </w:rPr>
      </w:pPr>
      <w:r>
        <w:rPr>
          <w:rFonts w:hint="default" w:ascii="Times New Roman" w:hAnsi="Times New Roman" w:eastAsia="方正楷体_GB2312" w:cs="Times New Roman"/>
          <w:b/>
          <w:color w:val="auto"/>
          <w:kern w:val="2"/>
          <w:sz w:val="32"/>
          <w:szCs w:val="32"/>
          <w:lang w:val="en-US" w:eastAsia="zh-CN" w:bidi="ar-SA"/>
        </w:rPr>
        <w:drawing>
          <wp:anchor distT="0" distB="0" distL="114300" distR="114300" simplePos="0" relativeHeight="251661312" behindDoc="0" locked="0" layoutInCell="1" allowOverlap="1">
            <wp:simplePos x="0" y="0"/>
            <wp:positionH relativeFrom="column">
              <wp:posOffset>21590</wp:posOffset>
            </wp:positionH>
            <wp:positionV relativeFrom="paragraph">
              <wp:posOffset>48895</wp:posOffset>
            </wp:positionV>
            <wp:extent cx="5274310" cy="3076575"/>
            <wp:effectExtent l="5080" t="4445" r="8890" b="1270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9" w:name="_Toc15377211"/>
      <w:r>
        <w:rPr>
          <w:rFonts w:hint="default" w:ascii="Times New Roman" w:hAnsi="Times New Roman" w:eastAsia="方正楷体_GB2312" w:cs="Times New Roman"/>
          <w:b/>
          <w:color w:val="auto"/>
          <w:kern w:val="2"/>
          <w:sz w:val="32"/>
          <w:szCs w:val="32"/>
          <w:lang w:val="en-US" w:eastAsia="zh-CN" w:bidi="ar-SA"/>
        </w:rPr>
        <w:t>（二）一般公共预算财政拨款支出决算结构情况</w:t>
      </w:r>
      <w:bookmarkEnd w:id="29"/>
      <w:r>
        <w:rPr>
          <w:rFonts w:hint="default" w:ascii="Times New Roman" w:hAnsi="Times New Roman" w:eastAsia="方正楷体_GB2312" w:cs="Times New Roman"/>
          <w:b/>
          <w:color w:val="auto"/>
          <w:kern w:val="2"/>
          <w:sz w:val="32"/>
          <w:szCs w:val="32"/>
          <w:lang w:val="en-US" w:eastAsia="zh-CN" w:bidi="ar-SA"/>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val="0"/>
          <w:color w:val="auto"/>
          <w:kern w:val="2"/>
          <w:sz w:val="32"/>
          <w:szCs w:val="32"/>
          <w:lang w:val="en-US" w:eastAsia="zh-CN" w:bidi="ar-SA"/>
        </w:rPr>
      </w:pPr>
      <w:r>
        <w:rPr>
          <w:rFonts w:hint="default" w:ascii="Times New Roman" w:hAnsi="Times New Roman" w:eastAsia="方正仿宋_GB2312" w:cs="Times New Roman"/>
          <w:b w:val="0"/>
          <w:bCs w:val="0"/>
          <w:color w:val="auto"/>
          <w:kern w:val="2"/>
          <w:sz w:val="32"/>
          <w:szCs w:val="32"/>
          <w:lang w:val="en-US" w:eastAsia="zh-CN" w:bidi="ar-SA"/>
        </w:rPr>
        <w:t>2023年度一般公共预算财政拨款支出280.19万元，主要用于以下方面</w:t>
      </w:r>
      <w:r>
        <w:rPr>
          <w:rFonts w:hint="eastAsia" w:eastAsia="方正仿宋_GB2312" w:cs="Times New Roman"/>
          <w:b w:val="0"/>
          <w:bCs w:val="0"/>
          <w:color w:val="auto"/>
          <w:kern w:val="2"/>
          <w:sz w:val="32"/>
          <w:szCs w:val="32"/>
          <w:lang w:val="en-US" w:eastAsia="zh-CN" w:bidi="ar-SA"/>
        </w:rPr>
        <w:t>：</w:t>
      </w:r>
      <w:r>
        <w:rPr>
          <w:rFonts w:hint="default" w:ascii="Times New Roman" w:hAnsi="Times New Roman" w:eastAsia="方正仿宋_GB2312" w:cs="Times New Roman"/>
          <w:b w:val="0"/>
          <w:bCs w:val="0"/>
          <w:color w:val="auto"/>
          <w:kern w:val="2"/>
          <w:sz w:val="32"/>
          <w:szCs w:val="32"/>
          <w:lang w:val="en-US" w:eastAsia="zh-CN" w:bidi="ar-SA"/>
        </w:rPr>
        <w:t>一般公共服务支出0万元，占0%；教育支出0万元，占0%；科学技术支出0万元，占0%；文化旅游体育与传媒支出237.72万元，占84.84%；社会保障和就业支出27.05万元，占9.65%；卫生健康支出8.48万元，占3.03%；住房保障支出6.94万元，占2.48%。</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val="0"/>
          <w:color w:val="auto"/>
          <w:kern w:val="2"/>
          <w:sz w:val="32"/>
          <w:szCs w:val="32"/>
          <w:lang w:val="en-US" w:eastAsia="zh-CN" w:bidi="ar-SA"/>
        </w:rPr>
      </w:pPr>
      <w:r>
        <w:rPr>
          <w:rFonts w:hint="default" w:ascii="Times New Roman" w:hAnsi="Times New Roman" w:eastAsia="方正仿宋_GB2312" w:cs="Times New Roman"/>
          <w:b w:val="0"/>
          <w:bCs w:val="0"/>
          <w:color w:val="auto"/>
          <w:kern w:val="2"/>
          <w:sz w:val="32"/>
          <w:szCs w:val="32"/>
          <w:lang w:val="en-US" w:eastAsia="zh-CN" w:bidi="ar-SA"/>
        </w:rPr>
        <w:drawing>
          <wp:anchor distT="0" distB="0" distL="114300" distR="114300" simplePos="0" relativeHeight="251662336" behindDoc="0" locked="0" layoutInCell="1" allowOverlap="1">
            <wp:simplePos x="0" y="0"/>
            <wp:positionH relativeFrom="margin">
              <wp:posOffset>172085</wp:posOffset>
            </wp:positionH>
            <wp:positionV relativeFrom="paragraph">
              <wp:posOffset>570230</wp:posOffset>
            </wp:positionV>
            <wp:extent cx="5013960" cy="1921510"/>
            <wp:effectExtent l="4445" t="4445" r="10795" b="952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default" w:ascii="Times New Roman" w:hAnsi="Times New Roman" w:eastAsia="方正仿宋_GB2312" w:cs="Times New Roman"/>
          <w:b w:val="0"/>
          <w:bCs w:val="0"/>
          <w:color w:val="auto"/>
          <w:kern w:val="2"/>
          <w:sz w:val="32"/>
          <w:szCs w:val="32"/>
          <w:lang w:val="en-US" w:eastAsia="zh-CN" w:bidi="ar-SA"/>
        </w:rPr>
        <w:t>（图6：一般公共预算财政拨款支出决算结构）（饼状图）</w:t>
      </w:r>
    </w:p>
    <w:p>
      <w:pPr>
        <w:keepNext w:val="0"/>
        <w:keepLines w:val="0"/>
        <w:pageBreakBefore w:val="0"/>
        <w:widowControl w:val="0"/>
        <w:kinsoku/>
        <w:wordWrap/>
        <w:overflowPunct/>
        <w:topLinePunct w:val="0"/>
        <w:bidi w:val="0"/>
        <w:snapToGrid/>
        <w:spacing w:line="240" w:lineRule="auto"/>
        <w:ind w:firstLine="643" w:firstLineChars="200"/>
        <w:textAlignment w:val="auto"/>
        <w:outlineLvl w:val="2"/>
        <w:rPr>
          <w:rFonts w:hint="default" w:ascii="Times New Roman" w:hAnsi="Times New Roman" w:eastAsia="方正楷体_GB2312" w:cs="Times New Roman"/>
          <w:b/>
          <w:color w:val="auto"/>
          <w:kern w:val="2"/>
          <w:sz w:val="32"/>
          <w:szCs w:val="32"/>
          <w:lang w:val="en-US" w:eastAsia="zh-CN" w:bidi="ar-SA"/>
        </w:rPr>
      </w:pPr>
      <w:bookmarkStart w:id="30" w:name="_Toc15377212"/>
      <w:r>
        <w:rPr>
          <w:rFonts w:hint="default" w:ascii="Times New Roman" w:hAnsi="Times New Roman" w:eastAsia="方正楷体_GB2312" w:cs="Times New Roman"/>
          <w:b/>
          <w:color w:val="auto"/>
          <w:kern w:val="2"/>
          <w:sz w:val="32"/>
          <w:szCs w:val="32"/>
          <w:lang w:val="en-US" w:eastAsia="zh-CN" w:bidi="ar-SA"/>
        </w:rPr>
        <w:t>（三）一般公共预算财政拨款支出决算具体情况</w:t>
      </w:r>
      <w:bookmarkEnd w:id="30"/>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240" w:lineRule="auto"/>
        <w:ind w:firstLine="640" w:firstLineChars="200"/>
        <w:textAlignment w:val="auto"/>
        <w:outlineLvl w:val="2"/>
        <w:rPr>
          <w:rFonts w:hint="default" w:ascii="Times New Roman" w:hAnsi="Times New Roman" w:eastAsia="方正仿宋_GB2312" w:cs="Times New Roman"/>
          <w:b w:val="0"/>
          <w:bCs/>
          <w:color w:val="auto"/>
          <w:sz w:val="32"/>
          <w:szCs w:val="32"/>
        </w:rPr>
      </w:pPr>
      <w:bookmarkStart w:id="31" w:name="_Toc15377213"/>
      <w:bookmarkStart w:id="32" w:name="_Toc15378460"/>
      <w:bookmarkStart w:id="33" w:name="_Toc15377444"/>
      <w:r>
        <w:rPr>
          <w:rFonts w:hint="default" w:ascii="Times New Roman" w:hAnsi="Times New Roman" w:eastAsia="方正仿宋_GB2312" w:cs="Times New Roman"/>
          <w:b w:val="0"/>
          <w:bCs/>
          <w:color w:val="auto"/>
          <w:sz w:val="32"/>
          <w:szCs w:val="32"/>
        </w:rPr>
        <w:t>2023年度一般公共预算支出决算数为280.19，</w:t>
      </w:r>
      <w:r>
        <w:rPr>
          <w:rStyle w:val="18"/>
          <w:rFonts w:hint="default" w:ascii="Times New Roman" w:hAnsi="Times New Roman" w:eastAsia="方正仿宋_GB2312" w:cs="Times New Roman"/>
          <w:b w:val="0"/>
          <w:bCs/>
          <w:color w:val="auto"/>
          <w:sz w:val="32"/>
          <w:szCs w:val="32"/>
        </w:rPr>
        <w:t>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%。其中：</w:t>
      </w:r>
      <w:bookmarkEnd w:id="31"/>
      <w:bookmarkEnd w:id="32"/>
      <w:bookmarkEnd w:id="33"/>
    </w:p>
    <w:p>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2312" w:cs="Times New Roman"/>
          <w:b/>
          <w:color w:val="auto"/>
          <w:sz w:val="32"/>
          <w:szCs w:val="32"/>
        </w:rPr>
      </w:pPr>
      <w:r>
        <w:rPr>
          <w:rStyle w:val="18"/>
          <w:rFonts w:hint="default" w:ascii="Times New Roman" w:hAnsi="Times New Roman" w:eastAsia="方正仿宋_GB2312" w:cs="Times New Roman"/>
          <w:bCs/>
          <w:color w:val="auto"/>
          <w:sz w:val="32"/>
          <w:szCs w:val="32"/>
        </w:rPr>
        <w:t>1.文化旅游体育与传媒（类）</w:t>
      </w:r>
      <w:r>
        <w:rPr>
          <w:rStyle w:val="18"/>
          <w:rFonts w:hint="default" w:ascii="Times New Roman" w:hAnsi="Times New Roman" w:eastAsia="方正仿宋_GB2312" w:cs="Times New Roman"/>
          <w:bCs/>
          <w:color w:val="auto"/>
          <w:sz w:val="32"/>
          <w:szCs w:val="32"/>
          <w:lang w:eastAsia="zh-CN"/>
        </w:rPr>
        <w:t>文化和旅游</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文化活动</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11.51</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2312" w:cs="Times New Roman"/>
          <w:b/>
          <w:color w:val="auto"/>
          <w:sz w:val="32"/>
          <w:szCs w:val="32"/>
        </w:rPr>
      </w:pPr>
      <w:r>
        <w:rPr>
          <w:rStyle w:val="18"/>
          <w:rFonts w:hint="default" w:ascii="Times New Roman" w:hAnsi="Times New Roman" w:eastAsia="方正仿宋_GB2312" w:cs="Times New Roman"/>
          <w:bCs/>
          <w:color w:val="auto"/>
          <w:sz w:val="32"/>
          <w:szCs w:val="32"/>
        </w:rPr>
        <w:t>2.文化旅游体育与传媒（类）</w:t>
      </w:r>
      <w:r>
        <w:rPr>
          <w:rStyle w:val="18"/>
          <w:rFonts w:hint="default" w:ascii="Times New Roman" w:hAnsi="Times New Roman" w:eastAsia="方正仿宋_GB2312" w:cs="Times New Roman"/>
          <w:bCs/>
          <w:color w:val="auto"/>
          <w:sz w:val="32"/>
          <w:szCs w:val="32"/>
          <w:lang w:eastAsia="zh-CN"/>
        </w:rPr>
        <w:t>文化和旅游</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群众文化</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118.96</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Style w:val="18"/>
          <w:rFonts w:hint="default" w:ascii="Times New Roman" w:hAnsi="Times New Roman" w:eastAsia="方正仿宋_GB2312" w:cs="Times New Roman"/>
          <w:b w:val="0"/>
          <w:bCs/>
          <w:color w:val="auto"/>
          <w:sz w:val="32"/>
          <w:szCs w:val="32"/>
        </w:rPr>
      </w:pPr>
      <w:r>
        <w:rPr>
          <w:rStyle w:val="18"/>
          <w:rFonts w:hint="default" w:ascii="Times New Roman" w:hAnsi="Times New Roman" w:eastAsia="方正仿宋_GB2312" w:cs="Times New Roman"/>
          <w:bCs/>
          <w:color w:val="auto"/>
          <w:sz w:val="32"/>
          <w:szCs w:val="32"/>
        </w:rPr>
        <w:t>3.文化旅游体育与传媒（类）</w:t>
      </w:r>
      <w:r>
        <w:rPr>
          <w:rStyle w:val="18"/>
          <w:rFonts w:hint="default" w:ascii="Times New Roman" w:hAnsi="Times New Roman" w:eastAsia="方正仿宋_GB2312" w:cs="Times New Roman"/>
          <w:bCs/>
          <w:color w:val="auto"/>
          <w:sz w:val="32"/>
          <w:szCs w:val="32"/>
          <w:lang w:eastAsia="zh-CN"/>
        </w:rPr>
        <w:t>文化和旅游</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其他文化和旅游支出</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107.25</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Style w:val="18"/>
          <w:rFonts w:hint="default" w:ascii="Times New Roman" w:hAnsi="Times New Roman" w:eastAsia="方正仿宋_GB2312" w:cs="Times New Roman"/>
          <w:b w:val="0"/>
          <w:bCs/>
          <w:color w:val="auto"/>
          <w:sz w:val="32"/>
          <w:szCs w:val="32"/>
        </w:rPr>
      </w:pPr>
      <w:r>
        <w:rPr>
          <w:rStyle w:val="18"/>
          <w:rFonts w:hint="default" w:ascii="Times New Roman" w:hAnsi="Times New Roman" w:eastAsia="方正仿宋_GB2312" w:cs="Times New Roman"/>
          <w:bCs/>
          <w:color w:val="auto"/>
          <w:sz w:val="32"/>
          <w:szCs w:val="32"/>
        </w:rPr>
        <w:t>4.社会保障和就业（类）</w:t>
      </w:r>
      <w:r>
        <w:rPr>
          <w:rStyle w:val="18"/>
          <w:rFonts w:hint="default" w:ascii="Times New Roman" w:hAnsi="Times New Roman" w:eastAsia="方正仿宋_GB2312" w:cs="Times New Roman"/>
          <w:bCs/>
          <w:color w:val="auto"/>
          <w:sz w:val="32"/>
          <w:szCs w:val="32"/>
          <w:lang w:eastAsia="zh-CN"/>
        </w:rPr>
        <w:t>行政事业单位养老支出</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事业单位离退休</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16.8</w:t>
      </w:r>
      <w:r>
        <w:rPr>
          <w:rStyle w:val="18"/>
          <w:rFonts w:hint="eastAsia" w:eastAsia="方正仿宋_GB2312" w:cs="Times New Roman"/>
          <w:b w:val="0"/>
          <w:bCs/>
          <w:color w:val="auto"/>
          <w:sz w:val="32"/>
          <w:szCs w:val="32"/>
          <w:lang w:val="en-US" w:eastAsia="zh-CN"/>
        </w:rPr>
        <w:t>3</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Style w:val="18"/>
          <w:rFonts w:hint="default" w:ascii="Times New Roman" w:hAnsi="Times New Roman" w:eastAsia="方正仿宋_GB2312" w:cs="Times New Roman"/>
          <w:b w:val="0"/>
          <w:bCs/>
          <w:color w:val="auto"/>
          <w:sz w:val="32"/>
          <w:szCs w:val="32"/>
        </w:rPr>
      </w:pPr>
      <w:r>
        <w:rPr>
          <w:rStyle w:val="18"/>
          <w:rFonts w:hint="default" w:ascii="Times New Roman" w:hAnsi="Times New Roman" w:eastAsia="方正仿宋_GB2312" w:cs="Times New Roman"/>
          <w:bCs/>
          <w:color w:val="auto"/>
          <w:sz w:val="32"/>
          <w:szCs w:val="32"/>
          <w:lang w:val="en-US" w:eastAsia="zh-CN"/>
        </w:rPr>
        <w:t>5</w:t>
      </w:r>
      <w:r>
        <w:rPr>
          <w:rStyle w:val="18"/>
          <w:rFonts w:hint="default" w:ascii="Times New Roman" w:hAnsi="Times New Roman" w:eastAsia="方正仿宋_GB2312" w:cs="Times New Roman"/>
          <w:bCs/>
          <w:color w:val="auto"/>
          <w:sz w:val="32"/>
          <w:szCs w:val="32"/>
        </w:rPr>
        <w:t>.社会保障和就业（类）</w:t>
      </w:r>
      <w:r>
        <w:rPr>
          <w:rStyle w:val="18"/>
          <w:rFonts w:hint="default" w:ascii="Times New Roman" w:hAnsi="Times New Roman" w:eastAsia="方正仿宋_GB2312" w:cs="Times New Roman"/>
          <w:bCs/>
          <w:color w:val="auto"/>
          <w:sz w:val="32"/>
          <w:szCs w:val="32"/>
          <w:lang w:eastAsia="zh-CN"/>
        </w:rPr>
        <w:t>行政事业单位养老支出</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机关事业单位基本养老保险缴费支出</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10.17</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2312" w:cs="Times New Roman"/>
          <w:b/>
          <w:color w:val="auto"/>
          <w:sz w:val="32"/>
          <w:szCs w:val="32"/>
        </w:rPr>
      </w:pPr>
      <w:r>
        <w:rPr>
          <w:rStyle w:val="18"/>
          <w:rFonts w:hint="default" w:ascii="Times New Roman" w:hAnsi="Times New Roman" w:eastAsia="方正仿宋_GB2312" w:cs="Times New Roman"/>
          <w:bCs/>
          <w:color w:val="auto"/>
          <w:sz w:val="32"/>
          <w:szCs w:val="32"/>
          <w:lang w:val="en-US" w:eastAsia="zh-CN"/>
        </w:rPr>
        <w:t>6</w:t>
      </w:r>
      <w:r>
        <w:rPr>
          <w:rStyle w:val="18"/>
          <w:rFonts w:hint="default" w:ascii="Times New Roman" w:hAnsi="Times New Roman" w:eastAsia="方正仿宋_GB2312" w:cs="Times New Roman"/>
          <w:bCs/>
          <w:color w:val="auto"/>
          <w:sz w:val="32"/>
          <w:szCs w:val="32"/>
        </w:rPr>
        <w:t>.社会保障和就业（类）</w:t>
      </w:r>
      <w:r>
        <w:rPr>
          <w:rStyle w:val="18"/>
          <w:rFonts w:hint="default" w:ascii="Times New Roman" w:hAnsi="Times New Roman" w:eastAsia="方正仿宋_GB2312" w:cs="Times New Roman"/>
          <w:bCs/>
          <w:color w:val="auto"/>
          <w:sz w:val="32"/>
          <w:szCs w:val="32"/>
          <w:lang w:eastAsia="zh-CN"/>
        </w:rPr>
        <w:t>行政事业单位养老支出</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机关事业单位职业年金缴费支出</w:t>
      </w:r>
      <w:r>
        <w:rPr>
          <w:rStyle w:val="18"/>
          <w:rFonts w:hint="default" w:ascii="Times New Roman" w:hAnsi="Times New Roman" w:eastAsia="方正仿宋_GB2312" w:cs="Times New Roman"/>
          <w:bCs/>
          <w:color w:val="auto"/>
          <w:sz w:val="32"/>
          <w:szCs w:val="32"/>
        </w:rPr>
        <w:t>（项）:</w:t>
      </w:r>
      <w:r>
        <w:rPr>
          <w:rStyle w:val="18"/>
          <w:rFonts w:hint="default" w:ascii="Times New Roman" w:hAnsi="Times New Roman" w:eastAsia="方正仿宋_GB2312" w:cs="Times New Roman"/>
          <w:b w:val="0"/>
          <w:bCs/>
          <w:color w:val="auto"/>
          <w:sz w:val="32"/>
          <w:szCs w:val="32"/>
        </w:rPr>
        <w:t xml:space="preserve"> 支出决算为</w:t>
      </w:r>
      <w:r>
        <w:rPr>
          <w:rStyle w:val="18"/>
          <w:rFonts w:hint="default" w:ascii="Times New Roman" w:hAnsi="Times New Roman" w:eastAsia="方正仿宋_GB2312" w:cs="Times New Roman"/>
          <w:b w:val="0"/>
          <w:bCs/>
          <w:color w:val="auto"/>
          <w:sz w:val="32"/>
          <w:szCs w:val="32"/>
          <w:lang w:val="en-US" w:eastAsia="zh-CN"/>
        </w:rPr>
        <w:t>0.05</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2312" w:cs="Times New Roman"/>
          <w:b/>
          <w:color w:val="auto"/>
          <w:sz w:val="32"/>
          <w:szCs w:val="32"/>
        </w:rPr>
      </w:pPr>
      <w:r>
        <w:rPr>
          <w:rStyle w:val="18"/>
          <w:rFonts w:hint="default" w:ascii="Times New Roman" w:hAnsi="Times New Roman" w:eastAsia="方正仿宋_GB2312" w:cs="Times New Roman"/>
          <w:bCs/>
          <w:color w:val="auto"/>
          <w:sz w:val="32"/>
          <w:szCs w:val="32"/>
          <w:lang w:val="en-US" w:eastAsia="zh-CN"/>
        </w:rPr>
        <w:t>7</w:t>
      </w:r>
      <w:r>
        <w:rPr>
          <w:rStyle w:val="18"/>
          <w:rFonts w:hint="default" w:ascii="Times New Roman" w:hAnsi="Times New Roman" w:eastAsia="方正仿宋_GB2312" w:cs="Times New Roman"/>
          <w:bCs/>
          <w:color w:val="auto"/>
          <w:sz w:val="32"/>
          <w:szCs w:val="32"/>
        </w:rPr>
        <w:t>.</w:t>
      </w:r>
      <w:r>
        <w:rPr>
          <w:rFonts w:hint="default" w:ascii="Times New Roman" w:hAnsi="Times New Roman" w:eastAsia="方正仿宋_GB2312" w:cs="Times New Roman"/>
          <w:b/>
          <w:bCs/>
          <w:color w:val="auto"/>
          <w:sz w:val="32"/>
          <w:szCs w:val="32"/>
        </w:rPr>
        <w:t>卫生健康</w:t>
      </w:r>
      <w:r>
        <w:rPr>
          <w:rStyle w:val="18"/>
          <w:rFonts w:hint="default" w:ascii="Times New Roman" w:hAnsi="Times New Roman" w:eastAsia="方正仿宋_GB2312" w:cs="Times New Roman"/>
          <w:bCs/>
          <w:color w:val="auto"/>
          <w:sz w:val="32"/>
          <w:szCs w:val="32"/>
        </w:rPr>
        <w:t>（类）</w:t>
      </w:r>
      <w:r>
        <w:rPr>
          <w:rStyle w:val="18"/>
          <w:rFonts w:hint="default" w:ascii="Times New Roman" w:hAnsi="Times New Roman" w:eastAsia="方正仿宋_GB2312" w:cs="Times New Roman"/>
          <w:bCs/>
          <w:color w:val="auto"/>
          <w:sz w:val="32"/>
          <w:szCs w:val="32"/>
          <w:lang w:eastAsia="zh-CN"/>
        </w:rPr>
        <w:t>行政事业单位医疗</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事业单位医疗</w:t>
      </w:r>
      <w:r>
        <w:rPr>
          <w:rStyle w:val="18"/>
          <w:rFonts w:hint="default" w:ascii="Times New Roman" w:hAnsi="Times New Roman" w:eastAsia="方正仿宋_GB2312" w:cs="Times New Roman"/>
          <w:bCs/>
          <w:color w:val="auto"/>
          <w:sz w:val="32"/>
          <w:szCs w:val="32"/>
        </w:rPr>
        <w:t>（项）</w:t>
      </w:r>
      <w:r>
        <w:rPr>
          <w:rStyle w:val="18"/>
          <w:rFonts w:hint="eastAsia" w:eastAsia="方正仿宋_GB2312" w:cs="Times New Roman"/>
          <w:bCs/>
          <w:color w:val="auto"/>
          <w:sz w:val="32"/>
          <w:szCs w:val="32"/>
          <w:lang w:eastAsia="zh-CN"/>
        </w:rPr>
        <w:t>：</w:t>
      </w:r>
      <w:r>
        <w:rPr>
          <w:rStyle w:val="18"/>
          <w:rFonts w:hint="default" w:ascii="Times New Roman" w:hAnsi="Times New Roman" w:eastAsia="方正仿宋_GB2312" w:cs="Times New Roman"/>
          <w:b w:val="0"/>
          <w:bCs/>
          <w:color w:val="auto"/>
          <w:sz w:val="32"/>
          <w:szCs w:val="32"/>
        </w:rPr>
        <w:t>支出决算为</w:t>
      </w:r>
      <w:r>
        <w:rPr>
          <w:rStyle w:val="18"/>
          <w:rFonts w:hint="default" w:ascii="Times New Roman" w:hAnsi="Times New Roman" w:eastAsia="方正仿宋_GB2312" w:cs="Times New Roman"/>
          <w:b w:val="0"/>
          <w:bCs/>
          <w:color w:val="auto"/>
          <w:sz w:val="32"/>
          <w:szCs w:val="32"/>
          <w:lang w:val="en-US" w:eastAsia="zh-CN"/>
        </w:rPr>
        <w:t>5.28</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Style w:val="18"/>
          <w:rFonts w:hint="default" w:ascii="Times New Roman" w:hAnsi="Times New Roman" w:eastAsia="方正仿宋_GB2312" w:cs="Times New Roman"/>
          <w:b w:val="0"/>
          <w:bCs/>
          <w:color w:val="auto"/>
          <w:sz w:val="32"/>
          <w:szCs w:val="32"/>
        </w:rPr>
      </w:pPr>
      <w:r>
        <w:rPr>
          <w:rStyle w:val="18"/>
          <w:rFonts w:hint="default" w:ascii="Times New Roman" w:hAnsi="Times New Roman" w:eastAsia="方正仿宋_GB2312" w:cs="Times New Roman"/>
          <w:bCs/>
          <w:color w:val="auto"/>
          <w:sz w:val="32"/>
          <w:szCs w:val="32"/>
          <w:lang w:val="en-US" w:eastAsia="zh-CN"/>
        </w:rPr>
        <w:t>8</w:t>
      </w:r>
      <w:r>
        <w:rPr>
          <w:rStyle w:val="18"/>
          <w:rFonts w:hint="default" w:ascii="Times New Roman" w:hAnsi="Times New Roman" w:eastAsia="方正仿宋_GB2312" w:cs="Times New Roman"/>
          <w:bCs/>
          <w:color w:val="auto"/>
          <w:sz w:val="32"/>
          <w:szCs w:val="32"/>
        </w:rPr>
        <w:t>.</w:t>
      </w:r>
      <w:r>
        <w:rPr>
          <w:rFonts w:hint="default" w:ascii="Times New Roman" w:hAnsi="Times New Roman" w:eastAsia="方正仿宋_GB2312" w:cs="Times New Roman"/>
          <w:b/>
          <w:bCs/>
          <w:color w:val="auto"/>
          <w:sz w:val="32"/>
          <w:szCs w:val="32"/>
        </w:rPr>
        <w:t>卫生健康</w:t>
      </w:r>
      <w:r>
        <w:rPr>
          <w:rStyle w:val="18"/>
          <w:rFonts w:hint="default" w:ascii="Times New Roman" w:hAnsi="Times New Roman" w:eastAsia="方正仿宋_GB2312" w:cs="Times New Roman"/>
          <w:bCs/>
          <w:color w:val="auto"/>
          <w:sz w:val="32"/>
          <w:szCs w:val="32"/>
        </w:rPr>
        <w:t>（类）</w:t>
      </w:r>
      <w:r>
        <w:rPr>
          <w:rStyle w:val="18"/>
          <w:rFonts w:hint="default" w:ascii="Times New Roman" w:hAnsi="Times New Roman" w:eastAsia="方正仿宋_GB2312" w:cs="Times New Roman"/>
          <w:bCs/>
          <w:color w:val="auto"/>
          <w:sz w:val="32"/>
          <w:szCs w:val="32"/>
          <w:lang w:eastAsia="zh-CN"/>
        </w:rPr>
        <w:t>行政事业单位医疗</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其他行政事业单位医疗支出</w:t>
      </w:r>
      <w:r>
        <w:rPr>
          <w:rStyle w:val="18"/>
          <w:rFonts w:hint="default" w:ascii="Times New Roman" w:hAnsi="Times New Roman" w:eastAsia="方正仿宋_GB2312" w:cs="Times New Roman"/>
          <w:bCs/>
          <w:color w:val="auto"/>
          <w:sz w:val="32"/>
          <w:szCs w:val="32"/>
        </w:rPr>
        <w:t>（项）</w:t>
      </w:r>
      <w:r>
        <w:rPr>
          <w:rStyle w:val="18"/>
          <w:rFonts w:hint="eastAsia" w:eastAsia="方正仿宋_GB2312" w:cs="Times New Roman"/>
          <w:bCs/>
          <w:color w:val="auto"/>
          <w:sz w:val="32"/>
          <w:szCs w:val="32"/>
          <w:lang w:eastAsia="zh-CN"/>
        </w:rPr>
        <w:t>：</w:t>
      </w:r>
      <w:r>
        <w:rPr>
          <w:rStyle w:val="18"/>
          <w:rFonts w:hint="default" w:ascii="Times New Roman" w:hAnsi="Times New Roman" w:eastAsia="方正仿宋_GB2312" w:cs="Times New Roman"/>
          <w:b w:val="0"/>
          <w:bCs/>
          <w:color w:val="auto"/>
          <w:sz w:val="32"/>
          <w:szCs w:val="32"/>
        </w:rPr>
        <w:t>支出决算为</w:t>
      </w:r>
      <w:r>
        <w:rPr>
          <w:rStyle w:val="18"/>
          <w:rFonts w:hint="default" w:ascii="Times New Roman" w:hAnsi="Times New Roman" w:eastAsia="方正仿宋_GB2312" w:cs="Times New Roman"/>
          <w:b w:val="0"/>
          <w:bCs/>
          <w:color w:val="auto"/>
          <w:sz w:val="32"/>
          <w:szCs w:val="32"/>
          <w:lang w:val="en-US" w:eastAsia="zh-CN"/>
        </w:rPr>
        <w:t>3.2</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kinsoku/>
        <w:wordWrap/>
        <w:overflowPunct/>
        <w:topLinePunct w:val="0"/>
        <w:bidi w:val="0"/>
        <w:snapToGrid/>
        <w:spacing w:line="240" w:lineRule="auto"/>
        <w:ind w:firstLine="643" w:firstLineChars="200"/>
        <w:textAlignment w:val="auto"/>
        <w:rPr>
          <w:rFonts w:hint="default" w:ascii="Times New Roman" w:hAnsi="Times New Roman" w:eastAsia="方正仿宋_GB2312" w:cs="Times New Roman"/>
          <w:b/>
          <w:color w:val="auto"/>
          <w:sz w:val="32"/>
          <w:szCs w:val="32"/>
        </w:rPr>
      </w:pPr>
      <w:r>
        <w:rPr>
          <w:rStyle w:val="18"/>
          <w:rFonts w:hint="default" w:ascii="Times New Roman" w:hAnsi="Times New Roman" w:eastAsia="方正仿宋_GB2312" w:cs="Times New Roman"/>
          <w:bCs/>
          <w:color w:val="auto"/>
          <w:sz w:val="32"/>
          <w:szCs w:val="32"/>
          <w:lang w:val="en-US" w:eastAsia="zh-CN"/>
        </w:rPr>
        <w:t>9</w:t>
      </w:r>
      <w:r>
        <w:rPr>
          <w:rStyle w:val="18"/>
          <w:rFonts w:hint="default" w:ascii="Times New Roman" w:hAnsi="Times New Roman" w:eastAsia="方正仿宋_GB2312" w:cs="Times New Roman"/>
          <w:bCs/>
          <w:color w:val="auto"/>
          <w:sz w:val="32"/>
          <w:szCs w:val="32"/>
        </w:rPr>
        <w:t>.</w:t>
      </w:r>
      <w:r>
        <w:rPr>
          <w:rFonts w:hint="default" w:ascii="Times New Roman" w:hAnsi="Times New Roman" w:eastAsia="方正仿宋_GB2312" w:cs="Times New Roman"/>
          <w:b/>
          <w:bCs/>
          <w:color w:val="auto"/>
          <w:sz w:val="32"/>
          <w:szCs w:val="32"/>
          <w:lang w:eastAsia="zh-CN"/>
        </w:rPr>
        <w:t>住房保障支出</w:t>
      </w:r>
      <w:r>
        <w:rPr>
          <w:rStyle w:val="18"/>
          <w:rFonts w:hint="default" w:ascii="Times New Roman" w:hAnsi="Times New Roman" w:eastAsia="方正仿宋_GB2312" w:cs="Times New Roman"/>
          <w:bCs/>
          <w:color w:val="auto"/>
          <w:sz w:val="32"/>
          <w:szCs w:val="32"/>
        </w:rPr>
        <w:t>（类）</w:t>
      </w:r>
      <w:r>
        <w:rPr>
          <w:rStyle w:val="18"/>
          <w:rFonts w:hint="default" w:ascii="Times New Roman" w:hAnsi="Times New Roman" w:eastAsia="方正仿宋_GB2312" w:cs="Times New Roman"/>
          <w:bCs/>
          <w:color w:val="auto"/>
          <w:sz w:val="32"/>
          <w:szCs w:val="32"/>
          <w:lang w:eastAsia="zh-CN"/>
        </w:rPr>
        <w:t>住房改革支出</w:t>
      </w:r>
      <w:r>
        <w:rPr>
          <w:rStyle w:val="18"/>
          <w:rFonts w:hint="default" w:ascii="Times New Roman" w:hAnsi="Times New Roman" w:eastAsia="方正仿宋_GB2312" w:cs="Times New Roman"/>
          <w:bCs/>
          <w:color w:val="auto"/>
          <w:sz w:val="32"/>
          <w:szCs w:val="32"/>
        </w:rPr>
        <w:t>（款）</w:t>
      </w:r>
      <w:r>
        <w:rPr>
          <w:rStyle w:val="18"/>
          <w:rFonts w:hint="default" w:ascii="Times New Roman" w:hAnsi="Times New Roman" w:eastAsia="方正仿宋_GB2312" w:cs="Times New Roman"/>
          <w:bCs/>
          <w:color w:val="auto"/>
          <w:sz w:val="32"/>
          <w:szCs w:val="32"/>
          <w:lang w:eastAsia="zh-CN"/>
        </w:rPr>
        <w:t>住房公积金</w:t>
      </w:r>
      <w:r>
        <w:rPr>
          <w:rStyle w:val="18"/>
          <w:rFonts w:hint="default" w:ascii="Times New Roman" w:hAnsi="Times New Roman" w:eastAsia="方正仿宋_GB2312" w:cs="Times New Roman"/>
          <w:bCs/>
          <w:color w:val="auto"/>
          <w:sz w:val="32"/>
          <w:szCs w:val="32"/>
        </w:rPr>
        <w:t>（项）</w:t>
      </w:r>
      <w:r>
        <w:rPr>
          <w:rStyle w:val="18"/>
          <w:rFonts w:hint="eastAsia" w:eastAsia="方正仿宋_GB2312" w:cs="Times New Roman"/>
          <w:bCs/>
          <w:color w:val="auto"/>
          <w:sz w:val="32"/>
          <w:szCs w:val="32"/>
          <w:lang w:eastAsia="zh-CN"/>
        </w:rPr>
        <w:t>：</w:t>
      </w:r>
      <w:r>
        <w:rPr>
          <w:rStyle w:val="18"/>
          <w:rFonts w:hint="default" w:ascii="Times New Roman" w:hAnsi="Times New Roman" w:eastAsia="方正仿宋_GB2312" w:cs="Times New Roman"/>
          <w:b w:val="0"/>
          <w:bCs/>
          <w:color w:val="auto"/>
          <w:sz w:val="32"/>
          <w:szCs w:val="32"/>
        </w:rPr>
        <w:t>支出决算为</w:t>
      </w:r>
      <w:r>
        <w:rPr>
          <w:rStyle w:val="18"/>
          <w:rFonts w:hint="default" w:ascii="Times New Roman" w:hAnsi="Times New Roman" w:eastAsia="方正仿宋_GB2312" w:cs="Times New Roman"/>
          <w:b w:val="0"/>
          <w:bCs/>
          <w:color w:val="auto"/>
          <w:sz w:val="32"/>
          <w:szCs w:val="32"/>
          <w:lang w:val="en-US" w:eastAsia="zh-CN"/>
        </w:rPr>
        <w:t>6.94</w:t>
      </w:r>
      <w:r>
        <w:rPr>
          <w:rStyle w:val="18"/>
          <w:rFonts w:hint="default" w:ascii="Times New Roman" w:hAnsi="Times New Roman" w:eastAsia="方正仿宋_GB2312" w:cs="Times New Roman"/>
          <w:b w:val="0"/>
          <w:bCs/>
          <w:color w:val="auto"/>
          <w:sz w:val="32"/>
          <w:szCs w:val="32"/>
        </w:rPr>
        <w:t>万元，完成预算</w:t>
      </w:r>
      <w:r>
        <w:rPr>
          <w:rStyle w:val="18"/>
          <w:rFonts w:hint="default" w:ascii="Times New Roman" w:hAnsi="Times New Roman" w:eastAsia="方正仿宋_GB2312" w:cs="Times New Roman"/>
          <w:b w:val="0"/>
          <w:bCs/>
          <w:color w:val="auto"/>
          <w:sz w:val="32"/>
          <w:szCs w:val="32"/>
          <w:lang w:val="en-US" w:eastAsia="zh-CN"/>
        </w:rPr>
        <w:t>100</w:t>
      </w:r>
      <w:r>
        <w:rPr>
          <w:rStyle w:val="18"/>
          <w:rFonts w:hint="default" w:ascii="Times New Roman" w:hAnsi="Times New Roman" w:eastAsia="方正仿宋_GB2312" w:cs="Times New Roman"/>
          <w:b w:val="0"/>
          <w:bCs/>
          <w:color w:val="auto"/>
          <w:sz w:val="32"/>
          <w:szCs w:val="32"/>
        </w:rPr>
        <w:t>%，决算数等于预算数。</w:t>
      </w:r>
    </w:p>
    <w:p>
      <w:pPr>
        <w:keepNext w:val="0"/>
        <w:keepLines w:val="0"/>
        <w:pageBreakBefore w:val="0"/>
        <w:widowControl w:val="0"/>
        <w:tabs>
          <w:tab w:val="right" w:pos="8306"/>
        </w:tabs>
        <w:kinsoku/>
        <w:wordWrap/>
        <w:overflowPunct/>
        <w:topLinePunct w:val="0"/>
        <w:bidi w:val="0"/>
        <w:snapToGrid/>
        <w:spacing w:line="240" w:lineRule="auto"/>
        <w:ind w:firstLine="640"/>
        <w:textAlignment w:val="auto"/>
        <w:outlineLvl w:val="1"/>
        <w:rPr>
          <w:rStyle w:val="30"/>
          <w:rFonts w:hint="default" w:ascii="Times New Roman" w:hAnsi="Times New Roman" w:cs="Times New Roman"/>
          <w:color w:val="auto"/>
        </w:rPr>
      </w:pPr>
      <w:bookmarkStart w:id="34" w:name="_Toc15396608"/>
      <w:bookmarkStart w:id="35" w:name="_Toc15377214"/>
      <w:r>
        <w:rPr>
          <w:rFonts w:hint="default" w:ascii="Times New Roman" w:hAnsi="Times New Roman" w:eastAsia="黑体" w:cs="Times New Roman"/>
          <w:color w:val="auto"/>
          <w:sz w:val="32"/>
          <w:szCs w:val="32"/>
        </w:rPr>
        <w:t>六</w:t>
      </w:r>
      <w:r>
        <w:rPr>
          <w:rFonts w:hint="default" w:ascii="Times New Roman" w:hAnsi="Times New Roman" w:eastAsia="黑体" w:cs="Times New Roman"/>
          <w:b/>
          <w:color w:val="auto"/>
          <w:sz w:val="32"/>
          <w:szCs w:val="32"/>
        </w:rPr>
        <w:t>、一</w:t>
      </w:r>
      <w:r>
        <w:rPr>
          <w:rStyle w:val="30"/>
          <w:rFonts w:hint="default" w:ascii="Times New Roman" w:hAnsi="Times New Roman" w:eastAsia="黑体" w:cs="Times New Roman"/>
          <w:b w:val="0"/>
          <w:color w:val="auto"/>
        </w:rPr>
        <w:t>般公共预算财政拨款基本支出决算情况说明</w:t>
      </w:r>
      <w:bookmarkEnd w:id="34"/>
      <w:bookmarkEnd w:id="35"/>
      <w:r>
        <w:rPr>
          <w:rStyle w:val="30"/>
          <w:rFonts w:hint="default" w:ascii="Times New Roman" w:hAnsi="Times New Roman" w:eastAsia="黑体" w:cs="Times New Roman"/>
          <w:b w:val="0"/>
          <w:color w:val="auto"/>
        </w:rPr>
        <w:tab/>
      </w:r>
    </w:p>
    <w:p>
      <w:pPr>
        <w:keepNext w:val="0"/>
        <w:keepLines w:val="0"/>
        <w:pageBreakBefore w:val="0"/>
        <w:widowControl w:val="0"/>
        <w:kinsoku/>
        <w:wordWrap/>
        <w:overflowPunct/>
        <w:topLinePunct w:val="0"/>
        <w:bidi w:val="0"/>
        <w:snapToGrid/>
        <w:spacing w:line="240" w:lineRule="auto"/>
        <w:ind w:firstLine="645"/>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2023年度一般公共预算财政拨款基本支出124.04万元，其中：</w:t>
      </w:r>
    </w:p>
    <w:p>
      <w:pPr>
        <w:keepNext w:val="0"/>
        <w:keepLines w:val="0"/>
        <w:pageBreakBefore w:val="0"/>
        <w:widowControl w:val="0"/>
        <w:kinsoku/>
        <w:wordWrap/>
        <w:overflowPunct/>
        <w:topLinePunct w:val="0"/>
        <w:bidi w:val="0"/>
        <w:snapToGrid/>
        <w:spacing w:line="240" w:lineRule="auto"/>
        <w:ind w:firstLine="645"/>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人员经费116.</w:t>
      </w:r>
      <w:r>
        <w:rPr>
          <w:rFonts w:hint="eastAsia" w:eastAsia="方正仿宋_GB2312" w:cs="Times New Roman"/>
          <w:color w:val="auto"/>
          <w:sz w:val="32"/>
          <w:szCs w:val="32"/>
          <w:lang w:val="en-US" w:eastAsia="zh-CN"/>
        </w:rPr>
        <w:t>90</w:t>
      </w:r>
      <w:r>
        <w:rPr>
          <w:rFonts w:hint="default" w:ascii="Times New Roman" w:hAnsi="Times New Roman" w:eastAsia="方正仿宋_GB2312" w:cs="Times New Roman"/>
          <w:color w:val="auto"/>
          <w:sz w:val="32"/>
          <w:szCs w:val="32"/>
        </w:rPr>
        <w:t>万元，主要包括：基本工资、津贴补贴</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绩效工资、机关事业单位基本养老保险缴费、职业年金缴费、其他社会保障缴费、其他工资福利支出、退休费、生活补助、医疗费补助、住房公积金、其他对个人和家庭的补助支出等。</w:t>
      </w:r>
      <w:r>
        <w:rPr>
          <w:rFonts w:hint="default" w:ascii="Times New Roman" w:hAnsi="Times New Roman" w:eastAsia="方正仿宋_GB2312" w:cs="Times New Roman"/>
          <w:color w:val="auto"/>
          <w:sz w:val="32"/>
          <w:szCs w:val="32"/>
        </w:rPr>
        <w:br w:type="textWrapping"/>
      </w:r>
      <w:r>
        <w:rPr>
          <w:rFonts w:hint="default" w:ascii="Times New Roman" w:hAnsi="Times New Roman" w:eastAsia="方正仿宋_GB2312" w:cs="Times New Roman"/>
          <w:color w:val="auto"/>
          <w:sz w:val="32"/>
          <w:szCs w:val="32"/>
        </w:rPr>
        <w:t>　　公用经费7.1</w:t>
      </w:r>
      <w:r>
        <w:rPr>
          <w:rFonts w:hint="eastAsia" w:eastAsia="方正仿宋_GB2312" w:cs="Times New Roman"/>
          <w:color w:val="auto"/>
          <w:sz w:val="32"/>
          <w:szCs w:val="32"/>
          <w:lang w:val="en-US" w:eastAsia="zh-CN"/>
        </w:rPr>
        <w:t>4</w:t>
      </w:r>
      <w:r>
        <w:rPr>
          <w:rFonts w:hint="default" w:ascii="Times New Roman" w:hAnsi="Times New Roman" w:eastAsia="方正仿宋_GB2312" w:cs="Times New Roman"/>
          <w:color w:val="auto"/>
          <w:sz w:val="32"/>
          <w:szCs w:val="32"/>
        </w:rPr>
        <w:t>万元，主要包括：办公费、水费、电费、邮电费、差旅费、维修（护）费、工会经费、福利费、其他商品和服务支出等。</w:t>
      </w:r>
    </w:p>
    <w:p>
      <w:pPr>
        <w:keepNext w:val="0"/>
        <w:keepLines w:val="0"/>
        <w:pageBreakBefore w:val="0"/>
        <w:widowControl w:val="0"/>
        <w:kinsoku/>
        <w:wordWrap/>
        <w:overflowPunct/>
        <w:topLinePunct w:val="0"/>
        <w:bidi w:val="0"/>
        <w:snapToGrid/>
        <w:spacing w:line="240" w:lineRule="auto"/>
        <w:ind w:firstLine="640"/>
        <w:textAlignment w:val="auto"/>
        <w:outlineLvl w:val="1"/>
        <w:rPr>
          <w:rStyle w:val="30"/>
          <w:rFonts w:hint="default" w:ascii="Times New Roman" w:hAnsi="Times New Roman" w:eastAsia="黑体" w:cs="Times New Roman"/>
          <w:b w:val="0"/>
          <w:color w:val="auto"/>
        </w:rPr>
      </w:pPr>
      <w:bookmarkStart w:id="36" w:name="_Toc15396609"/>
      <w:bookmarkStart w:id="37" w:name="_Toc15377215"/>
      <w:r>
        <w:rPr>
          <w:rFonts w:hint="default" w:ascii="Times New Roman" w:hAnsi="Times New Roman" w:eastAsia="黑体" w:cs="Times New Roman"/>
          <w:color w:val="auto"/>
          <w:sz w:val="32"/>
          <w:szCs w:val="32"/>
        </w:rPr>
        <w:t>七、</w:t>
      </w:r>
      <w:r>
        <w:rPr>
          <w:rStyle w:val="30"/>
          <w:rFonts w:hint="default" w:ascii="Times New Roman" w:hAnsi="Times New Roman" w:eastAsia="黑体" w:cs="Times New Roman"/>
          <w:b w:val="0"/>
          <w:color w:val="auto"/>
        </w:rPr>
        <w:t>财政拨款</w:t>
      </w:r>
      <w:r>
        <w:rPr>
          <w:rStyle w:val="30"/>
          <w:rFonts w:hint="default" w:ascii="Times New Roman" w:hAnsi="Times New Roman" w:eastAsia="黑体" w:cs="Times New Roman"/>
          <w:color w:val="auto"/>
        </w:rPr>
        <w:t>“</w:t>
      </w:r>
      <w:r>
        <w:rPr>
          <w:rStyle w:val="30"/>
          <w:rFonts w:hint="default" w:ascii="Times New Roman" w:hAnsi="Times New Roman" w:eastAsia="黑体" w:cs="Times New Roman"/>
          <w:b w:val="0"/>
          <w:color w:val="auto"/>
        </w:rPr>
        <w:t>三公”经费支出决算情况说明</w:t>
      </w:r>
      <w:bookmarkEnd w:id="36"/>
      <w:bookmarkEnd w:id="37"/>
    </w:p>
    <w:p>
      <w:pPr>
        <w:keepNext w:val="0"/>
        <w:keepLines w:val="0"/>
        <w:pageBreakBefore w:val="0"/>
        <w:widowControl w:val="0"/>
        <w:kinsoku/>
        <w:wordWrap/>
        <w:overflowPunct/>
        <w:topLinePunct w:val="0"/>
        <w:bidi w:val="0"/>
        <w:snapToGrid/>
        <w:spacing w:line="240" w:lineRule="auto"/>
        <w:ind w:firstLine="643" w:firstLineChars="200"/>
        <w:textAlignment w:val="auto"/>
        <w:outlineLvl w:val="2"/>
        <w:rPr>
          <w:rFonts w:hint="default" w:ascii="Times New Roman" w:hAnsi="Times New Roman" w:eastAsia="方正楷体_GB2312" w:cs="Times New Roman"/>
          <w:b/>
          <w:color w:val="auto"/>
          <w:kern w:val="2"/>
          <w:sz w:val="32"/>
          <w:szCs w:val="32"/>
          <w:lang w:val="en-US" w:eastAsia="zh-CN" w:bidi="ar-SA"/>
        </w:rPr>
      </w:pPr>
      <w:bookmarkStart w:id="38" w:name="_Toc15377216"/>
      <w:r>
        <w:rPr>
          <w:rFonts w:hint="default" w:ascii="Times New Roman" w:hAnsi="Times New Roman" w:eastAsia="方正楷体_GB2312" w:cs="Times New Roman"/>
          <w:b/>
          <w:color w:val="auto"/>
          <w:kern w:val="2"/>
          <w:sz w:val="32"/>
          <w:szCs w:val="32"/>
          <w:lang w:val="en-US" w:eastAsia="zh-CN" w:bidi="ar-SA"/>
        </w:rPr>
        <w:t>（一）“三公”经费财政拨款支出决算总体情况说明</w:t>
      </w:r>
      <w:bookmarkEnd w:id="38"/>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b/>
          <w:color w:val="auto"/>
          <w:sz w:val="32"/>
          <w:szCs w:val="32"/>
        </w:rPr>
      </w:pPr>
      <w:r>
        <w:rPr>
          <w:rFonts w:hint="default" w:ascii="Times New Roman" w:hAnsi="Times New Roman" w:eastAsia="方正仿宋_GB2312" w:cs="Times New Roman"/>
          <w:b w:val="0"/>
          <w:bCs w:val="0"/>
          <w:color w:val="auto"/>
          <w:sz w:val="32"/>
          <w:szCs w:val="32"/>
        </w:rPr>
        <w:t>2023年度“三公”经费财政拨款支出决算为0万元，完成预算0%，较上年度</w:t>
      </w:r>
      <w:r>
        <w:rPr>
          <w:rFonts w:hint="default" w:ascii="Times New Roman" w:hAnsi="Times New Roman" w:eastAsia="方正仿宋_GB2312" w:cs="Times New Roman"/>
          <w:b w:val="0"/>
          <w:bCs w:val="0"/>
          <w:color w:val="auto"/>
          <w:sz w:val="32"/>
          <w:szCs w:val="32"/>
          <w:lang w:eastAsia="zh-CN"/>
        </w:rPr>
        <w:t>持平</w:t>
      </w:r>
      <w:r>
        <w:rPr>
          <w:rFonts w:hint="default" w:ascii="Times New Roman" w:hAnsi="Times New Roman" w:eastAsia="方正仿宋_GB2312" w:cs="Times New Roman"/>
          <w:b w:val="0"/>
          <w:bCs w:val="0"/>
          <w:color w:val="auto"/>
          <w:sz w:val="32"/>
          <w:szCs w:val="32"/>
        </w:rPr>
        <w:t>。决算数</w:t>
      </w:r>
      <w:r>
        <w:rPr>
          <w:rFonts w:hint="default" w:ascii="Times New Roman" w:hAnsi="Times New Roman" w:eastAsia="方正仿宋_GB2312" w:cs="Times New Roman"/>
          <w:b w:val="0"/>
          <w:bCs w:val="0"/>
          <w:color w:val="auto"/>
          <w:sz w:val="32"/>
          <w:szCs w:val="32"/>
          <w:lang w:eastAsia="zh-CN"/>
        </w:rPr>
        <w:t>等于</w:t>
      </w:r>
      <w:r>
        <w:rPr>
          <w:rFonts w:hint="default" w:ascii="Times New Roman" w:hAnsi="Times New Roman" w:eastAsia="方正仿宋_GB2312" w:cs="Times New Roman"/>
          <w:b w:val="0"/>
          <w:bCs w:val="0"/>
          <w:color w:val="auto"/>
          <w:sz w:val="32"/>
          <w:szCs w:val="32"/>
        </w:rPr>
        <w:t>预算数。</w:t>
      </w:r>
    </w:p>
    <w:p>
      <w:pPr>
        <w:keepNext w:val="0"/>
        <w:keepLines w:val="0"/>
        <w:pageBreakBefore w:val="0"/>
        <w:widowControl w:val="0"/>
        <w:kinsoku/>
        <w:wordWrap/>
        <w:overflowPunct/>
        <w:topLinePunct w:val="0"/>
        <w:bidi w:val="0"/>
        <w:snapToGrid/>
        <w:spacing w:line="240" w:lineRule="auto"/>
        <w:ind w:firstLine="640"/>
        <w:textAlignment w:val="auto"/>
        <w:outlineLvl w:val="2"/>
        <w:rPr>
          <w:rFonts w:hint="default" w:ascii="Times New Roman" w:hAnsi="Times New Roman" w:eastAsia="方正仿宋_GB2312" w:cs="Times New Roman"/>
          <w:b/>
          <w:color w:val="auto"/>
          <w:sz w:val="32"/>
          <w:szCs w:val="32"/>
        </w:rPr>
      </w:pPr>
      <w:bookmarkStart w:id="39" w:name="_Toc15377217"/>
      <w:bookmarkStart w:id="40" w:name="_Toc15377218"/>
      <w:bookmarkStart w:id="41" w:name="_Toc15396610"/>
      <w:r>
        <w:rPr>
          <w:rFonts w:hint="default" w:ascii="Times New Roman" w:hAnsi="Times New Roman" w:eastAsia="方正楷体_GB2312" w:cs="Times New Roman"/>
          <w:b/>
          <w:color w:val="auto"/>
          <w:kern w:val="2"/>
          <w:sz w:val="32"/>
          <w:szCs w:val="32"/>
          <w:lang w:val="en-US" w:eastAsia="zh-CN" w:bidi="ar-SA"/>
        </w:rPr>
        <w:t>（二）“三公”经费财政拨款支出决算具体情况说明</w:t>
      </w:r>
      <w:bookmarkEnd w:id="39"/>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val="0"/>
          <w:color w:val="auto"/>
          <w:sz w:val="32"/>
          <w:szCs w:val="32"/>
        </w:rPr>
      </w:pPr>
      <w:r>
        <w:rPr>
          <w:rFonts w:hint="default" w:ascii="Times New Roman" w:hAnsi="Times New Roman" w:eastAsia="方正仿宋_GB2312" w:cs="Times New Roman"/>
          <w:b w:val="0"/>
          <w:bCs w:val="0"/>
          <w:color w:val="auto"/>
          <w:sz w:val="32"/>
          <w:szCs w:val="32"/>
        </w:rPr>
        <w:t>2023年度“三公”经费财政拨款支出决算中，因公出国（境）费支出决算0万元，占0%；公务用车购置及运行维护费支出决算0万元，占0%；公务接待费支出决算0万元，占0%。具体情况如下：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b/>
          <w:color w:val="auto"/>
          <w:sz w:val="32"/>
          <w:szCs w:val="32"/>
        </w:rPr>
        <w:t>1.</w:t>
      </w:r>
      <w:r>
        <w:rPr>
          <w:rFonts w:hint="default" w:ascii="Times New Roman" w:hAnsi="Times New Roman" w:eastAsia="方正仿宋_GB2312" w:cs="Times New Roman"/>
          <w:b/>
          <w:bCs w:val="0"/>
          <w:color w:val="auto"/>
          <w:sz w:val="32"/>
          <w:szCs w:val="32"/>
        </w:rPr>
        <w:t>因公出国（境）经费支出</w:t>
      </w:r>
      <w:r>
        <w:rPr>
          <w:rFonts w:hint="default" w:ascii="Times New Roman" w:hAnsi="Times New Roman" w:eastAsia="方正仿宋_GB2312" w:cs="Times New Roman"/>
          <w:b w:val="0"/>
          <w:bCs/>
          <w:color w:val="auto"/>
          <w:sz w:val="32"/>
          <w:szCs w:val="32"/>
        </w:rPr>
        <w:t>0万元，</w:t>
      </w:r>
      <w:r>
        <w:rPr>
          <w:rStyle w:val="18"/>
          <w:rFonts w:hint="default" w:ascii="Times New Roman" w:hAnsi="Times New Roman" w:eastAsia="方正仿宋_GB2312" w:cs="Times New Roman"/>
          <w:b w:val="0"/>
          <w:bCs/>
          <w:color w:val="auto"/>
          <w:sz w:val="32"/>
          <w:szCs w:val="32"/>
        </w:rPr>
        <w:t>完成预算0%。</w:t>
      </w:r>
      <w:r>
        <w:rPr>
          <w:rFonts w:hint="default" w:ascii="Times New Roman" w:hAnsi="Times New Roman" w:eastAsia="方正仿宋_GB2312" w:cs="Times New Roman"/>
          <w:b w:val="0"/>
          <w:bCs/>
          <w:color w:val="auto"/>
          <w:sz w:val="32"/>
          <w:szCs w:val="32"/>
        </w:rPr>
        <w:t>全年安排因公出国（境）团组0次，出国（境）0人。因公出国（境）支出决算</w:t>
      </w:r>
      <w:r>
        <w:rPr>
          <w:rFonts w:hint="eastAsia" w:eastAsia="方正仿宋_GB2312" w:cs="Times New Roman"/>
          <w:b w:val="0"/>
          <w:bCs/>
          <w:color w:val="auto"/>
          <w:sz w:val="32"/>
          <w:szCs w:val="32"/>
          <w:lang w:eastAsia="zh-CN"/>
        </w:rPr>
        <w:t>与</w:t>
      </w:r>
      <w:r>
        <w:rPr>
          <w:rFonts w:hint="default" w:ascii="Times New Roman" w:hAnsi="Times New Roman" w:eastAsia="方正仿宋_GB2312" w:cs="Times New Roman"/>
          <w:b w:val="0"/>
          <w:bCs/>
          <w:color w:val="auto"/>
          <w:sz w:val="32"/>
          <w:szCs w:val="32"/>
        </w:rPr>
        <w:t>2022年</w:t>
      </w:r>
      <w:r>
        <w:rPr>
          <w:rFonts w:hint="default" w:ascii="Times New Roman" w:hAnsi="Times New Roman" w:eastAsia="方正仿宋_GB2312" w:cs="Times New Roman"/>
          <w:b w:val="0"/>
          <w:bCs/>
          <w:color w:val="auto"/>
          <w:sz w:val="32"/>
          <w:szCs w:val="32"/>
          <w:lang w:eastAsia="zh-CN"/>
        </w:rPr>
        <w:t>持平，均为</w:t>
      </w:r>
      <w:r>
        <w:rPr>
          <w:rFonts w:hint="default" w:ascii="Times New Roman" w:hAnsi="Times New Roman" w:eastAsia="方正仿宋_GB2312" w:cs="Times New Roman"/>
          <w:b w:val="0"/>
          <w:bCs/>
          <w:color w:val="auto"/>
          <w:sz w:val="32"/>
          <w:szCs w:val="32"/>
          <w:lang w:val="en-US" w:eastAsia="zh-CN"/>
        </w:rPr>
        <w:t>0元</w:t>
      </w:r>
      <w:r>
        <w:rPr>
          <w:rFonts w:hint="default" w:ascii="Times New Roman" w:hAnsi="Times New Roman" w:eastAsia="方正仿宋_GB2312" w:cs="Times New Roman"/>
          <w:b w:val="0"/>
          <w:bCs/>
          <w:color w:val="auto"/>
          <w:sz w:val="32"/>
          <w:szCs w:val="32"/>
        </w:rPr>
        <w:t>，主要原因是</w:t>
      </w:r>
      <w:r>
        <w:rPr>
          <w:rFonts w:hint="default" w:ascii="Times New Roman" w:hAnsi="Times New Roman" w:eastAsia="方正仿宋_GB2312" w:cs="Times New Roman"/>
          <w:b w:val="0"/>
          <w:bCs/>
          <w:color w:val="auto"/>
          <w:sz w:val="32"/>
          <w:szCs w:val="32"/>
          <w:lang w:eastAsia="zh-CN"/>
        </w:rPr>
        <w:t>未安排因公出国（境）经费</w:t>
      </w:r>
      <w:r>
        <w:rPr>
          <w:rFonts w:hint="default" w:ascii="Times New Roman" w:hAnsi="Times New Roman" w:eastAsia="方正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b/>
          <w:color w:val="auto"/>
          <w:sz w:val="32"/>
          <w:szCs w:val="32"/>
        </w:rPr>
        <w:t>2.</w:t>
      </w:r>
      <w:r>
        <w:rPr>
          <w:rFonts w:hint="default" w:ascii="Times New Roman" w:hAnsi="Times New Roman" w:eastAsia="方正仿宋_GB2312" w:cs="Times New Roman"/>
          <w:b/>
          <w:bCs w:val="0"/>
          <w:color w:val="auto"/>
          <w:sz w:val="32"/>
          <w:szCs w:val="32"/>
        </w:rPr>
        <w:t>公务用车购置及运行维护费支出</w:t>
      </w:r>
      <w:r>
        <w:rPr>
          <w:rFonts w:hint="default" w:ascii="Times New Roman" w:hAnsi="Times New Roman" w:eastAsia="方正仿宋_GB2312" w:cs="Times New Roman"/>
          <w:b w:val="0"/>
          <w:bCs/>
          <w:color w:val="auto"/>
          <w:sz w:val="32"/>
          <w:szCs w:val="32"/>
        </w:rPr>
        <w:t>0万元,</w:t>
      </w:r>
      <w:r>
        <w:rPr>
          <w:rStyle w:val="18"/>
          <w:rFonts w:hint="default" w:ascii="Times New Roman" w:hAnsi="Times New Roman" w:eastAsia="方正仿宋_GB2312" w:cs="Times New Roman"/>
          <w:b w:val="0"/>
          <w:bCs/>
          <w:color w:val="auto"/>
          <w:sz w:val="32"/>
          <w:szCs w:val="32"/>
        </w:rPr>
        <w:t>完成预算0%。</w:t>
      </w:r>
      <w:r>
        <w:rPr>
          <w:rFonts w:hint="default" w:ascii="Times New Roman" w:hAnsi="Times New Roman" w:eastAsia="方正仿宋_GB2312" w:cs="Times New Roman"/>
          <w:b w:val="0"/>
          <w:bCs/>
          <w:color w:val="auto"/>
          <w:sz w:val="32"/>
          <w:szCs w:val="32"/>
        </w:rPr>
        <w:t>公务用车购置及运行维护费支出决算</w:t>
      </w:r>
      <w:r>
        <w:rPr>
          <w:rFonts w:hint="eastAsia" w:eastAsia="方正仿宋_GB2312" w:cs="Times New Roman"/>
          <w:b w:val="0"/>
          <w:bCs/>
          <w:color w:val="auto"/>
          <w:sz w:val="32"/>
          <w:szCs w:val="32"/>
          <w:lang w:eastAsia="zh-CN"/>
        </w:rPr>
        <w:t>与</w:t>
      </w:r>
      <w:r>
        <w:rPr>
          <w:rFonts w:hint="default" w:ascii="Times New Roman" w:hAnsi="Times New Roman" w:eastAsia="方正仿宋_GB2312" w:cs="Times New Roman"/>
          <w:b w:val="0"/>
          <w:bCs/>
          <w:color w:val="auto"/>
          <w:sz w:val="32"/>
          <w:szCs w:val="32"/>
        </w:rPr>
        <w:t>2022年</w:t>
      </w:r>
      <w:r>
        <w:rPr>
          <w:rFonts w:hint="default" w:ascii="Times New Roman" w:hAnsi="Times New Roman" w:eastAsia="方正仿宋_GB2312" w:cs="Times New Roman"/>
          <w:b w:val="0"/>
          <w:bCs/>
          <w:color w:val="auto"/>
          <w:sz w:val="32"/>
          <w:szCs w:val="32"/>
          <w:lang w:eastAsia="zh-CN"/>
        </w:rPr>
        <w:t>持平</w:t>
      </w:r>
      <w:r>
        <w:rPr>
          <w:rFonts w:hint="default" w:ascii="Times New Roman" w:hAnsi="Times New Roman" w:eastAsia="方正仿宋_GB2312" w:cs="Times New Roman"/>
          <w:b w:val="0"/>
          <w:bCs/>
          <w:color w:val="auto"/>
          <w:sz w:val="32"/>
          <w:szCs w:val="32"/>
        </w:rPr>
        <w:t>，主要原因是</w:t>
      </w:r>
      <w:r>
        <w:rPr>
          <w:rFonts w:hint="default" w:ascii="Times New Roman" w:hAnsi="Times New Roman" w:eastAsia="方正仿宋_GB2312" w:cs="Times New Roman"/>
          <w:b w:val="0"/>
          <w:bCs/>
          <w:color w:val="auto"/>
          <w:sz w:val="32"/>
          <w:szCs w:val="32"/>
          <w:lang w:val="en-US" w:eastAsia="zh-CN"/>
        </w:rPr>
        <w:t>2023年</w:t>
      </w:r>
      <w:r>
        <w:rPr>
          <w:rFonts w:hint="eastAsia" w:eastAsia="方正仿宋_GB2312" w:cs="Times New Roman"/>
          <w:b w:val="0"/>
          <w:bCs/>
          <w:color w:val="auto"/>
          <w:sz w:val="32"/>
          <w:szCs w:val="32"/>
          <w:lang w:val="en-US" w:eastAsia="zh-CN"/>
        </w:rPr>
        <w:t>新购置1辆公务用车，经费由县文广旅局支出，</w:t>
      </w:r>
      <w:r>
        <w:rPr>
          <w:rFonts w:hint="default" w:ascii="Times New Roman" w:hAnsi="Times New Roman" w:eastAsia="方正仿宋_GB2312" w:cs="Times New Roman"/>
          <w:b w:val="0"/>
          <w:bCs/>
          <w:color w:val="auto"/>
          <w:sz w:val="32"/>
          <w:szCs w:val="32"/>
          <w:lang w:val="en-US" w:eastAsia="zh-CN"/>
        </w:rPr>
        <w:t>无公务用车运行维护费</w:t>
      </w:r>
      <w:r>
        <w:rPr>
          <w:rFonts w:hint="default" w:ascii="Times New Roman" w:hAnsi="Times New Roman" w:eastAsia="方正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color w:val="auto"/>
          <w:sz w:val="32"/>
          <w:szCs w:val="32"/>
        </w:rPr>
        <w:t>其中：</w:t>
      </w:r>
      <w:r>
        <w:rPr>
          <w:rFonts w:hint="default" w:ascii="Times New Roman" w:hAnsi="Times New Roman" w:eastAsia="方正仿宋_GB2312" w:cs="Times New Roman"/>
          <w:b w:val="0"/>
          <w:bCs/>
          <w:color w:val="auto"/>
          <w:sz w:val="32"/>
          <w:szCs w:val="32"/>
        </w:rPr>
        <w:t>公务用车购置支出0万元。全年按规定更新购置公务用车</w:t>
      </w:r>
      <w:r>
        <w:rPr>
          <w:rFonts w:hint="eastAsia" w:eastAsia="方正仿宋_GB2312" w:cs="Times New Roman"/>
          <w:b w:val="0"/>
          <w:bCs/>
          <w:color w:val="auto"/>
          <w:sz w:val="32"/>
          <w:szCs w:val="32"/>
          <w:lang w:val="en-US" w:eastAsia="zh-CN"/>
        </w:rPr>
        <w:t>1</w:t>
      </w:r>
      <w:r>
        <w:rPr>
          <w:rFonts w:hint="default" w:ascii="Times New Roman" w:hAnsi="Times New Roman" w:eastAsia="方正仿宋_GB2312" w:cs="Times New Roman"/>
          <w:b w:val="0"/>
          <w:bCs/>
          <w:color w:val="auto"/>
          <w:sz w:val="32"/>
          <w:szCs w:val="32"/>
        </w:rPr>
        <w:t>辆，其中：轿车</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辆、金额</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万元，越野车</w:t>
      </w:r>
      <w:r>
        <w:rPr>
          <w:rFonts w:hint="default" w:ascii="Times New Roman" w:hAnsi="Times New Roman" w:eastAsia="方正仿宋_GB2312" w:cs="Times New Roman"/>
          <w:b w:val="0"/>
          <w:bCs/>
          <w:color w:val="auto"/>
          <w:sz w:val="32"/>
          <w:szCs w:val="32"/>
          <w:lang w:val="en-US" w:eastAsia="zh-CN"/>
        </w:rPr>
        <w:t>1</w:t>
      </w:r>
      <w:r>
        <w:rPr>
          <w:rFonts w:hint="default" w:ascii="Times New Roman" w:hAnsi="Times New Roman" w:eastAsia="方正仿宋_GB2312" w:cs="Times New Roman"/>
          <w:b w:val="0"/>
          <w:bCs/>
          <w:color w:val="auto"/>
          <w:sz w:val="32"/>
          <w:szCs w:val="32"/>
        </w:rPr>
        <w:t>辆、金额</w:t>
      </w:r>
      <w:r>
        <w:rPr>
          <w:rFonts w:hint="default" w:ascii="Times New Roman" w:hAnsi="Times New Roman" w:eastAsia="方正仿宋_GB2312" w:cs="Times New Roman"/>
          <w:b w:val="0"/>
          <w:bCs/>
          <w:color w:val="auto"/>
          <w:sz w:val="32"/>
          <w:szCs w:val="32"/>
          <w:lang w:val="en-US" w:eastAsia="zh-CN"/>
        </w:rPr>
        <w:t>26.90</w:t>
      </w:r>
      <w:r>
        <w:rPr>
          <w:rFonts w:hint="default" w:ascii="Times New Roman" w:hAnsi="Times New Roman" w:eastAsia="方正仿宋_GB2312" w:cs="Times New Roman"/>
          <w:b w:val="0"/>
          <w:bCs/>
          <w:color w:val="auto"/>
          <w:sz w:val="32"/>
          <w:szCs w:val="32"/>
        </w:rPr>
        <w:t>万元</w:t>
      </w:r>
      <w:r>
        <w:rPr>
          <w:rFonts w:hint="eastAsia" w:eastAsia="方正仿宋_GB2312" w:cs="Times New Roman"/>
          <w:b w:val="0"/>
          <w:bCs/>
          <w:color w:val="auto"/>
          <w:sz w:val="32"/>
          <w:szCs w:val="32"/>
          <w:lang w:eastAsia="zh-CN"/>
        </w:rPr>
        <w:t>（由县文广旅局支付）</w:t>
      </w:r>
      <w:r>
        <w:rPr>
          <w:rFonts w:hint="default" w:ascii="Times New Roman" w:hAnsi="Times New Roman" w:eastAsia="方正仿宋_GB2312" w:cs="Times New Roman"/>
          <w:b w:val="0"/>
          <w:bCs/>
          <w:color w:val="auto"/>
          <w:sz w:val="32"/>
          <w:szCs w:val="32"/>
        </w:rPr>
        <w:t>，载客汽车</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辆、金额</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万元。截至2023年12月31日，单位共有公务用车</w:t>
      </w:r>
      <w:r>
        <w:rPr>
          <w:rFonts w:hint="eastAsia" w:eastAsia="方正仿宋_GB2312" w:cs="Times New Roman"/>
          <w:b w:val="0"/>
          <w:bCs/>
          <w:color w:val="auto"/>
          <w:sz w:val="32"/>
          <w:szCs w:val="32"/>
          <w:lang w:val="en-US" w:eastAsia="zh-CN"/>
        </w:rPr>
        <w:t>1</w:t>
      </w:r>
      <w:r>
        <w:rPr>
          <w:rFonts w:hint="default" w:ascii="Times New Roman" w:hAnsi="Times New Roman" w:eastAsia="方正仿宋_GB2312" w:cs="Times New Roman"/>
          <w:b w:val="0"/>
          <w:bCs/>
          <w:color w:val="auto"/>
          <w:sz w:val="32"/>
          <w:szCs w:val="32"/>
        </w:rPr>
        <w:t>辆，其中：轿车</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辆、越野车</w:t>
      </w:r>
      <w:r>
        <w:rPr>
          <w:rFonts w:hint="eastAsia" w:eastAsia="方正仿宋_GB2312" w:cs="Times New Roman"/>
          <w:b w:val="0"/>
          <w:bCs/>
          <w:color w:val="auto"/>
          <w:sz w:val="32"/>
          <w:szCs w:val="32"/>
          <w:lang w:val="en-US" w:eastAsia="zh-CN"/>
        </w:rPr>
        <w:t>1</w:t>
      </w:r>
      <w:r>
        <w:rPr>
          <w:rFonts w:hint="default" w:ascii="Times New Roman" w:hAnsi="Times New Roman" w:eastAsia="方正仿宋_GB2312" w:cs="Times New Roman"/>
          <w:b w:val="0"/>
          <w:bCs/>
          <w:color w:val="auto"/>
          <w:sz w:val="32"/>
          <w:szCs w:val="32"/>
        </w:rPr>
        <w:t>辆、载客汽车</w:t>
      </w:r>
      <w:r>
        <w:rPr>
          <w:rFonts w:hint="default" w:ascii="Times New Roman" w:hAnsi="Times New Roman" w:eastAsia="方正仿宋_GB2312" w:cs="Times New Roman"/>
          <w:b w:val="0"/>
          <w:bCs/>
          <w:color w:val="auto"/>
          <w:sz w:val="32"/>
          <w:szCs w:val="32"/>
          <w:lang w:val="en-US" w:eastAsia="zh-CN"/>
        </w:rPr>
        <w:t>0</w:t>
      </w:r>
      <w:r>
        <w:rPr>
          <w:rFonts w:hint="default" w:ascii="Times New Roman" w:hAnsi="Times New Roman" w:eastAsia="方正仿宋_GB2312" w:cs="Times New Roman"/>
          <w:b w:val="0"/>
          <w:bCs/>
          <w:color w:val="auto"/>
          <w:sz w:val="32"/>
          <w:szCs w:val="32"/>
        </w:rPr>
        <w:t>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b w:val="0"/>
          <w:bCs/>
          <w:color w:val="auto"/>
          <w:sz w:val="32"/>
          <w:szCs w:val="32"/>
        </w:rPr>
        <w:t>公务用车运行维护费支出0万元。</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
          <w:color w:val="auto"/>
          <w:sz w:val="32"/>
          <w:szCs w:val="32"/>
        </w:rPr>
        <w:t>3.</w:t>
      </w:r>
      <w:r>
        <w:rPr>
          <w:rFonts w:hint="default" w:ascii="Times New Roman" w:hAnsi="Times New Roman" w:eastAsia="方正仿宋_GB2312" w:cs="Times New Roman"/>
          <w:b/>
          <w:bCs w:val="0"/>
          <w:color w:val="auto"/>
          <w:sz w:val="32"/>
          <w:szCs w:val="32"/>
        </w:rPr>
        <w:t>公务接待费支出</w:t>
      </w:r>
      <w:r>
        <w:rPr>
          <w:rFonts w:hint="default" w:ascii="Times New Roman" w:hAnsi="Times New Roman" w:eastAsia="方正仿宋_GB2312" w:cs="Times New Roman"/>
          <w:b w:val="0"/>
          <w:bCs/>
          <w:color w:val="auto"/>
          <w:sz w:val="32"/>
          <w:szCs w:val="32"/>
        </w:rPr>
        <w:t>0万元，</w:t>
      </w:r>
      <w:r>
        <w:rPr>
          <w:rStyle w:val="18"/>
          <w:rFonts w:hint="default" w:ascii="Times New Roman" w:hAnsi="Times New Roman" w:eastAsia="方正仿宋_GB2312" w:cs="Times New Roman"/>
          <w:b w:val="0"/>
          <w:bCs/>
          <w:color w:val="auto"/>
          <w:sz w:val="32"/>
          <w:szCs w:val="32"/>
        </w:rPr>
        <w:t>完成预算0%。</w:t>
      </w:r>
      <w:r>
        <w:rPr>
          <w:rFonts w:hint="default" w:ascii="Times New Roman" w:hAnsi="Times New Roman" w:eastAsia="方正仿宋_GB2312" w:cs="Times New Roman"/>
          <w:color w:val="auto"/>
          <w:sz w:val="32"/>
          <w:szCs w:val="32"/>
        </w:rPr>
        <w:t>公务接待费支出决算</w:t>
      </w:r>
      <w:r>
        <w:rPr>
          <w:rFonts w:hint="eastAsia" w:eastAsia="方正仿宋_GB2312" w:cs="Times New Roman"/>
          <w:color w:val="auto"/>
          <w:sz w:val="32"/>
          <w:szCs w:val="32"/>
          <w:lang w:eastAsia="zh-CN"/>
        </w:rPr>
        <w:t>与</w:t>
      </w:r>
      <w:r>
        <w:rPr>
          <w:rFonts w:hint="default" w:ascii="Times New Roman" w:hAnsi="Times New Roman" w:eastAsia="方正仿宋_GB2312" w:cs="Times New Roman"/>
          <w:color w:val="auto"/>
          <w:sz w:val="32"/>
          <w:szCs w:val="32"/>
        </w:rPr>
        <w:t>2022年度</w:t>
      </w:r>
      <w:r>
        <w:rPr>
          <w:rFonts w:hint="default" w:ascii="Times New Roman" w:hAnsi="Times New Roman" w:eastAsia="方正仿宋_GB2312" w:cs="Times New Roman"/>
          <w:color w:val="auto"/>
          <w:sz w:val="32"/>
          <w:szCs w:val="32"/>
          <w:lang w:eastAsia="zh-CN"/>
        </w:rPr>
        <w:t>持平</w:t>
      </w:r>
      <w:r>
        <w:rPr>
          <w:rFonts w:hint="default" w:ascii="Times New Roman" w:hAnsi="Times New Roman" w:eastAsia="方正仿宋_GB2312" w:cs="Times New Roman"/>
          <w:color w:val="auto"/>
          <w:sz w:val="32"/>
          <w:szCs w:val="32"/>
        </w:rPr>
        <w:t>。主要原因是</w:t>
      </w:r>
      <w:r>
        <w:rPr>
          <w:rFonts w:hint="default" w:ascii="Times New Roman" w:hAnsi="Times New Roman" w:eastAsia="方正仿宋_GB2312" w:cs="Times New Roman"/>
          <w:color w:val="auto"/>
          <w:sz w:val="32"/>
          <w:szCs w:val="32"/>
          <w:lang w:eastAsia="zh-CN"/>
        </w:rPr>
        <w:t>未发生公务接待费支出</w:t>
      </w:r>
      <w:r>
        <w:rPr>
          <w:rFonts w:hint="default" w:ascii="Times New Roman" w:hAnsi="Times New Roman" w:eastAsia="方正仿宋_GB2312" w:cs="Times New Roman"/>
          <w:color w:val="auto"/>
          <w:sz w:val="32"/>
          <w:szCs w:val="32"/>
        </w:rPr>
        <w:t>。其中：</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b w:val="0"/>
          <w:bCs/>
          <w:color w:val="auto"/>
          <w:sz w:val="32"/>
          <w:szCs w:val="32"/>
        </w:rPr>
        <w:t>国内公务接待支出0万元。</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b w:val="0"/>
          <w:bCs/>
          <w:color w:val="auto"/>
          <w:sz w:val="32"/>
          <w:szCs w:val="32"/>
        </w:rPr>
      </w:pPr>
      <w:r>
        <w:rPr>
          <w:rFonts w:hint="default" w:ascii="Times New Roman" w:hAnsi="Times New Roman" w:eastAsia="方正仿宋_GB2312" w:cs="Times New Roman"/>
          <w:b w:val="0"/>
          <w:bCs/>
          <w:color w:val="auto"/>
          <w:sz w:val="32"/>
          <w:szCs w:val="32"/>
        </w:rPr>
        <w:t>外事接待支出0万元。</w:t>
      </w:r>
    </w:p>
    <w:p>
      <w:pPr>
        <w:keepNext w:val="0"/>
        <w:keepLines w:val="0"/>
        <w:pageBreakBefore w:val="0"/>
        <w:widowControl w:val="0"/>
        <w:kinsoku/>
        <w:wordWrap/>
        <w:overflowPunct/>
        <w:topLinePunct w:val="0"/>
        <w:bidi w:val="0"/>
        <w:snapToGrid/>
        <w:spacing w:line="240" w:lineRule="auto"/>
        <w:ind w:firstLine="640"/>
        <w:textAlignment w:val="auto"/>
        <w:outlineLvl w:val="1"/>
        <w:rPr>
          <w:rStyle w:val="30"/>
          <w:rFonts w:hint="default" w:ascii="Times New Roman" w:hAnsi="Times New Roman" w:eastAsia="黑体" w:cs="Times New Roman"/>
          <w:color w:val="auto"/>
        </w:rPr>
      </w:pPr>
      <w:r>
        <w:rPr>
          <w:rFonts w:hint="default" w:ascii="Times New Roman" w:hAnsi="Times New Roman" w:eastAsia="黑体" w:cs="Times New Roman"/>
          <w:color w:val="auto"/>
          <w:sz w:val="32"/>
          <w:szCs w:val="32"/>
        </w:rPr>
        <w:t>八、</w:t>
      </w:r>
      <w:r>
        <w:rPr>
          <w:rStyle w:val="30"/>
          <w:rFonts w:hint="default" w:ascii="Times New Roman" w:hAnsi="Times New Roman" w:eastAsia="黑体" w:cs="Times New Roman"/>
          <w:b w:val="0"/>
          <w:color w:val="auto"/>
        </w:rPr>
        <w:t>政府性基金预算支出决算情况说明</w:t>
      </w:r>
      <w:bookmarkEnd w:id="40"/>
      <w:bookmarkEnd w:id="41"/>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方正仿宋_GB2312" w:cs="Times New Roman"/>
          <w:color w:val="auto"/>
          <w:sz w:val="32"/>
          <w:szCs w:val="32"/>
        </w:rPr>
        <w:t>2023年度政府性基金预算财政拨款支出0万元。</w:t>
      </w:r>
    </w:p>
    <w:p>
      <w:pPr>
        <w:keepNext w:val="0"/>
        <w:keepLines w:val="0"/>
        <w:pageBreakBefore w:val="0"/>
        <w:widowControl w:val="0"/>
        <w:numPr>
          <w:ilvl w:val="0"/>
          <w:numId w:val="1"/>
        </w:numPr>
        <w:kinsoku/>
        <w:wordWrap/>
        <w:overflowPunct/>
        <w:topLinePunct w:val="0"/>
        <w:bidi w:val="0"/>
        <w:snapToGrid/>
        <w:spacing w:line="240" w:lineRule="auto"/>
        <w:ind w:firstLine="640"/>
        <w:textAlignment w:val="auto"/>
        <w:outlineLvl w:val="1"/>
        <w:rPr>
          <w:rStyle w:val="30"/>
          <w:rFonts w:hint="default" w:ascii="Times New Roman" w:hAnsi="Times New Roman" w:eastAsia="黑体" w:cs="Times New Roman"/>
          <w:b w:val="0"/>
          <w:color w:val="auto"/>
        </w:rPr>
      </w:pPr>
      <w:bookmarkStart w:id="42" w:name="_Toc15377219"/>
      <w:bookmarkStart w:id="43" w:name="_Toc15396611"/>
      <w:r>
        <w:rPr>
          <w:rStyle w:val="30"/>
          <w:rFonts w:hint="default" w:ascii="Times New Roman" w:hAnsi="Times New Roman" w:eastAsia="黑体" w:cs="Times New Roman"/>
          <w:b w:val="0"/>
          <w:color w:val="auto"/>
        </w:rPr>
        <w:t>国有资本经营预算支出决算情况说明</w:t>
      </w:r>
      <w:bookmarkEnd w:id="42"/>
      <w:bookmarkEnd w:id="43"/>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2023年度国有资本经营预算财政拨款支出0万元。</w:t>
      </w:r>
    </w:p>
    <w:p>
      <w:pPr>
        <w:keepNext w:val="0"/>
        <w:keepLines w:val="0"/>
        <w:pageBreakBefore w:val="0"/>
        <w:widowControl w:val="0"/>
        <w:numPr>
          <w:ilvl w:val="0"/>
          <w:numId w:val="1"/>
        </w:numPr>
        <w:kinsoku/>
        <w:wordWrap/>
        <w:overflowPunct/>
        <w:topLinePunct w:val="0"/>
        <w:bidi w:val="0"/>
        <w:snapToGrid/>
        <w:spacing w:line="240" w:lineRule="auto"/>
        <w:ind w:firstLine="640"/>
        <w:textAlignment w:val="auto"/>
        <w:outlineLvl w:val="1"/>
        <w:rPr>
          <w:rStyle w:val="30"/>
          <w:rFonts w:hint="default" w:ascii="Times New Roman" w:hAnsi="Times New Roman" w:eastAsia="黑体" w:cs="Times New Roman"/>
          <w:b w:val="0"/>
          <w:color w:val="auto"/>
        </w:rPr>
      </w:pPr>
      <w:bookmarkStart w:id="44" w:name="_Toc15396612"/>
      <w:bookmarkStart w:id="45" w:name="_Toc15377221"/>
      <w:r>
        <w:rPr>
          <w:rStyle w:val="30"/>
          <w:rFonts w:hint="default" w:ascii="Times New Roman" w:hAnsi="Times New Roman" w:eastAsia="黑体" w:cs="Times New Roman"/>
          <w:b w:val="0"/>
          <w:color w:val="auto"/>
        </w:rPr>
        <w:t>其他重要事项的情况说明</w:t>
      </w:r>
      <w:bookmarkEnd w:id="44"/>
      <w:bookmarkEnd w:id="45"/>
    </w:p>
    <w:p>
      <w:pPr>
        <w:keepNext w:val="0"/>
        <w:keepLines w:val="0"/>
        <w:pageBreakBefore w:val="0"/>
        <w:widowControl w:val="0"/>
        <w:kinsoku/>
        <w:wordWrap/>
        <w:overflowPunct/>
        <w:topLinePunct w:val="0"/>
        <w:bidi w:val="0"/>
        <w:snapToGrid/>
        <w:spacing w:line="240" w:lineRule="auto"/>
        <w:ind w:firstLine="640"/>
        <w:textAlignment w:val="auto"/>
        <w:outlineLvl w:val="2"/>
        <w:rPr>
          <w:rFonts w:hint="default" w:ascii="Times New Roman" w:hAnsi="Times New Roman" w:eastAsia="方正楷体_GB2312" w:cs="Times New Roman"/>
          <w:b/>
          <w:color w:val="auto"/>
          <w:kern w:val="2"/>
          <w:sz w:val="32"/>
          <w:szCs w:val="32"/>
          <w:lang w:val="en-US" w:eastAsia="zh-CN" w:bidi="ar-SA"/>
        </w:rPr>
      </w:pPr>
      <w:bookmarkStart w:id="46" w:name="_Toc15377222"/>
      <w:r>
        <w:rPr>
          <w:rFonts w:hint="default" w:ascii="Times New Roman" w:hAnsi="Times New Roman" w:eastAsia="方正楷体_GB2312" w:cs="Times New Roman"/>
          <w:b/>
          <w:color w:val="auto"/>
          <w:kern w:val="2"/>
          <w:sz w:val="32"/>
          <w:szCs w:val="32"/>
          <w:lang w:val="en-US" w:eastAsia="zh-CN" w:bidi="ar-SA"/>
        </w:rPr>
        <w:t>（一）机关运行经费支出情况</w:t>
      </w:r>
      <w:bookmarkEnd w:id="46"/>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2023年度，盐边县文化馆机关运行经费支出0万元，</w:t>
      </w:r>
      <w:r>
        <w:rPr>
          <w:rFonts w:hint="eastAsia" w:eastAsia="方正仿宋_GB2312" w:cs="Times New Roman"/>
          <w:color w:val="auto"/>
          <w:sz w:val="32"/>
          <w:szCs w:val="32"/>
          <w:lang w:eastAsia="zh-CN"/>
        </w:rPr>
        <w:t>与</w:t>
      </w:r>
      <w:r>
        <w:rPr>
          <w:rFonts w:hint="default" w:ascii="Times New Roman" w:hAnsi="Times New Roman" w:eastAsia="方正仿宋_GB2312" w:cs="Times New Roman"/>
          <w:color w:val="auto"/>
          <w:sz w:val="32"/>
          <w:szCs w:val="32"/>
        </w:rPr>
        <w:t>2022年度</w:t>
      </w:r>
      <w:r>
        <w:rPr>
          <w:rFonts w:hint="default" w:ascii="Times New Roman" w:hAnsi="Times New Roman" w:eastAsia="方正仿宋_GB2312" w:cs="Times New Roman"/>
          <w:color w:val="auto"/>
          <w:sz w:val="32"/>
          <w:szCs w:val="32"/>
          <w:lang w:eastAsia="zh-CN"/>
        </w:rPr>
        <w:t>持平</w:t>
      </w:r>
      <w:r>
        <w:rPr>
          <w:rFonts w:hint="default" w:ascii="Times New Roman" w:hAnsi="Times New Roman" w:eastAsia="方正仿宋_GB2312" w:cs="Times New Roman"/>
          <w:color w:val="auto"/>
          <w:sz w:val="32"/>
          <w:szCs w:val="32"/>
        </w:rPr>
        <w:t>，</w:t>
      </w:r>
      <w:r>
        <w:rPr>
          <w:rFonts w:hint="default" w:ascii="Times New Roman" w:hAnsi="Times New Roman" w:eastAsia="方正仿宋_GB2312" w:cs="Times New Roman"/>
          <w:color w:val="auto"/>
          <w:sz w:val="32"/>
          <w:szCs w:val="32"/>
          <w:lang w:eastAsia="zh-CN"/>
        </w:rPr>
        <w:t>主要原因是本单位</w:t>
      </w:r>
      <w:r>
        <w:rPr>
          <w:rFonts w:hint="eastAsia" w:eastAsia="方正仿宋_GB2312" w:cs="Times New Roman"/>
          <w:color w:val="auto"/>
          <w:sz w:val="32"/>
          <w:szCs w:val="32"/>
          <w:lang w:eastAsia="zh-CN"/>
        </w:rPr>
        <w:t>属于</w:t>
      </w:r>
      <w:r>
        <w:rPr>
          <w:rFonts w:hint="default" w:ascii="Times New Roman" w:hAnsi="Times New Roman" w:eastAsia="方正仿宋_GB2312" w:cs="Times New Roman"/>
          <w:color w:val="auto"/>
          <w:sz w:val="32"/>
          <w:szCs w:val="32"/>
          <w:lang w:eastAsia="zh-CN"/>
        </w:rPr>
        <w:t>事业单位，无机关运行经费</w:t>
      </w:r>
      <w:r>
        <w:rPr>
          <w:rFonts w:hint="default" w:ascii="Times New Roman" w:hAnsi="Times New Roman" w:eastAsia="方正仿宋_GB2312" w:cs="Times New Roman"/>
          <w:color w:val="auto"/>
          <w:sz w:val="32"/>
          <w:szCs w:val="32"/>
        </w:rPr>
        <w:t>。</w:t>
      </w:r>
    </w:p>
    <w:p>
      <w:pPr>
        <w:keepNext w:val="0"/>
        <w:keepLines w:val="0"/>
        <w:pageBreakBefore w:val="0"/>
        <w:widowControl w:val="0"/>
        <w:kinsoku/>
        <w:wordWrap/>
        <w:overflowPunct/>
        <w:topLinePunct w:val="0"/>
        <w:bidi w:val="0"/>
        <w:snapToGrid/>
        <w:spacing w:line="240" w:lineRule="auto"/>
        <w:ind w:firstLine="640"/>
        <w:textAlignment w:val="auto"/>
        <w:outlineLvl w:val="2"/>
        <w:rPr>
          <w:rFonts w:hint="default" w:ascii="Times New Roman" w:hAnsi="Times New Roman" w:eastAsia="方正楷体_GB2312" w:cs="Times New Roman"/>
          <w:b/>
          <w:color w:val="auto"/>
          <w:kern w:val="2"/>
          <w:sz w:val="32"/>
          <w:szCs w:val="32"/>
          <w:lang w:val="en-US" w:eastAsia="zh-CN" w:bidi="ar-SA"/>
        </w:rPr>
      </w:pPr>
      <w:bookmarkStart w:id="47" w:name="_Toc15377223"/>
      <w:r>
        <w:rPr>
          <w:rFonts w:hint="default" w:ascii="Times New Roman" w:hAnsi="Times New Roman" w:eastAsia="方正楷体_GB2312" w:cs="Times New Roman"/>
          <w:b/>
          <w:color w:val="auto"/>
          <w:kern w:val="2"/>
          <w:sz w:val="32"/>
          <w:szCs w:val="32"/>
          <w:lang w:val="en-US" w:eastAsia="zh-CN" w:bidi="ar-SA"/>
        </w:rPr>
        <w:t>（二）政府采购支出情况</w:t>
      </w:r>
      <w:bookmarkEnd w:id="47"/>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2023年度，盐边县文化馆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bidi w:val="0"/>
        <w:snapToGrid/>
        <w:spacing w:line="240" w:lineRule="auto"/>
        <w:ind w:firstLine="640"/>
        <w:textAlignment w:val="auto"/>
        <w:outlineLvl w:val="2"/>
        <w:rPr>
          <w:rFonts w:hint="default" w:ascii="Times New Roman" w:hAnsi="Times New Roman" w:eastAsia="方正楷体_GB2312" w:cs="Times New Roman"/>
          <w:b/>
          <w:color w:val="auto"/>
          <w:kern w:val="2"/>
          <w:sz w:val="32"/>
          <w:szCs w:val="32"/>
          <w:lang w:val="en-US" w:eastAsia="zh-CN" w:bidi="ar-SA"/>
        </w:rPr>
      </w:pPr>
      <w:bookmarkStart w:id="48" w:name="_Toc15377224"/>
      <w:r>
        <w:rPr>
          <w:rFonts w:hint="default" w:ascii="Times New Roman" w:hAnsi="Times New Roman" w:eastAsia="方正楷体_GB2312" w:cs="Times New Roman"/>
          <w:b/>
          <w:color w:val="auto"/>
          <w:kern w:val="2"/>
          <w:sz w:val="32"/>
          <w:szCs w:val="32"/>
          <w:lang w:val="en-US" w:eastAsia="zh-CN" w:bidi="ar-SA"/>
        </w:rPr>
        <w:t>（三）国有资产占有使用情况</w:t>
      </w:r>
      <w:bookmarkEnd w:id="48"/>
      <w:r>
        <w:rPr>
          <w:rFonts w:hint="default" w:ascii="Times New Roman" w:hAnsi="Times New Roman" w:eastAsia="方正楷体_GB2312" w:cs="Times New Roman"/>
          <w:b/>
          <w:color w:val="auto"/>
          <w:kern w:val="2"/>
          <w:sz w:val="32"/>
          <w:szCs w:val="32"/>
          <w:lang w:val="en-US" w:eastAsia="zh-CN" w:bidi="ar-SA"/>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截至2023年12月31日，盐边县文化馆共有车辆1辆，其中：主要领导干部用车</w:t>
      </w:r>
      <w:r>
        <w:rPr>
          <w:rFonts w:hint="default" w:ascii="Times New Roman" w:hAnsi="Times New Roman" w:eastAsia="方正仿宋_GB2312" w:cs="Times New Roman"/>
          <w:color w:val="auto"/>
          <w:sz w:val="32"/>
          <w:szCs w:val="32"/>
          <w:lang w:val="en-US" w:eastAsia="zh-CN"/>
        </w:rPr>
        <w:t>0</w:t>
      </w:r>
      <w:r>
        <w:rPr>
          <w:rFonts w:hint="default" w:ascii="Times New Roman" w:hAnsi="Times New Roman" w:eastAsia="方正仿宋_GB2312" w:cs="Times New Roman"/>
          <w:color w:val="auto"/>
          <w:sz w:val="32"/>
          <w:szCs w:val="32"/>
        </w:rPr>
        <w:t>辆、机要通信用车</w:t>
      </w:r>
      <w:r>
        <w:rPr>
          <w:rFonts w:hint="default" w:ascii="Times New Roman" w:hAnsi="Times New Roman" w:eastAsia="方正仿宋_GB2312" w:cs="Times New Roman"/>
          <w:color w:val="auto"/>
          <w:sz w:val="32"/>
          <w:szCs w:val="32"/>
          <w:lang w:val="en-US" w:eastAsia="zh-CN"/>
        </w:rPr>
        <w:t>0</w:t>
      </w:r>
      <w:r>
        <w:rPr>
          <w:rFonts w:hint="default" w:ascii="Times New Roman" w:hAnsi="Times New Roman" w:eastAsia="方正仿宋_GB2312" w:cs="Times New Roman"/>
          <w:color w:val="auto"/>
          <w:sz w:val="32"/>
          <w:szCs w:val="32"/>
        </w:rPr>
        <w:t>辆、应急保障用车</w:t>
      </w:r>
      <w:r>
        <w:rPr>
          <w:rFonts w:hint="default" w:ascii="Times New Roman" w:hAnsi="Times New Roman" w:eastAsia="方正仿宋_GB2312" w:cs="Times New Roman"/>
          <w:color w:val="auto"/>
          <w:sz w:val="32"/>
          <w:szCs w:val="32"/>
          <w:lang w:val="en-US" w:eastAsia="zh-CN"/>
        </w:rPr>
        <w:t>0</w:t>
      </w:r>
      <w:r>
        <w:rPr>
          <w:rFonts w:hint="default" w:ascii="Times New Roman" w:hAnsi="Times New Roman" w:eastAsia="方正仿宋_GB2312" w:cs="Times New Roman"/>
          <w:color w:val="auto"/>
          <w:sz w:val="32"/>
          <w:szCs w:val="32"/>
        </w:rPr>
        <w:t>辆、其他用车</w:t>
      </w:r>
      <w:r>
        <w:rPr>
          <w:rFonts w:hint="default" w:ascii="Times New Roman" w:hAnsi="Times New Roman"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rPr>
        <w:t>辆，其他用车主要是用于</w:t>
      </w:r>
      <w:r>
        <w:rPr>
          <w:rFonts w:hint="default" w:ascii="Times New Roman" w:hAnsi="Times New Roman" w:eastAsia="方正仿宋_GB2312" w:cs="Times New Roman"/>
          <w:color w:val="auto"/>
          <w:sz w:val="32"/>
          <w:szCs w:val="32"/>
          <w:lang w:eastAsia="zh-CN"/>
        </w:rPr>
        <w:t>开展送文化下乡、流动服务、文化遗产保护等工作</w:t>
      </w:r>
      <w:r>
        <w:rPr>
          <w:rFonts w:hint="default" w:ascii="Times New Roman" w:hAnsi="Times New Roman" w:eastAsia="方正仿宋_GB2312" w:cs="Times New Roman"/>
          <w:color w:val="auto"/>
          <w:sz w:val="32"/>
          <w:szCs w:val="32"/>
        </w:rPr>
        <w:t>。单价100万元以上设备（不含车辆）0台（套）。</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3" w:firstLineChars="200"/>
        <w:jc w:val="left"/>
        <w:textAlignment w:val="auto"/>
        <w:outlineLvl w:val="2"/>
        <w:rPr>
          <w:rFonts w:hint="default" w:ascii="Times New Roman" w:hAnsi="Times New Roman" w:eastAsia="方正楷体简体" w:cs="Times New Roman"/>
          <w:b/>
          <w:bCs w:val="0"/>
          <w:color w:val="auto"/>
          <w:sz w:val="32"/>
          <w:szCs w:val="32"/>
          <w:lang w:eastAsia="zh-CN"/>
        </w:rPr>
      </w:pPr>
      <w:r>
        <w:rPr>
          <w:rFonts w:hint="default" w:ascii="Times New Roman" w:hAnsi="Times New Roman" w:eastAsia="方正楷体简体" w:cs="Times New Roman"/>
          <w:b/>
          <w:bCs w:val="0"/>
          <w:color w:val="auto"/>
          <w:sz w:val="32"/>
          <w:szCs w:val="32"/>
        </w:rPr>
        <w:t>（四）预算绩效管理情况</w:t>
      </w:r>
      <w:r>
        <w:rPr>
          <w:rFonts w:hint="default" w:ascii="Times New Roman" w:hAnsi="Times New Roman" w:eastAsia="方正楷体简体" w:cs="Times New Roman"/>
          <w:b/>
          <w:bCs w:val="0"/>
          <w:color w:val="auto"/>
          <w:sz w:val="32"/>
          <w:szCs w:val="32"/>
          <w:lang w:eastAsia="zh-CN"/>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lang w:eastAsia="zh-CN"/>
        </w:rPr>
      </w:pPr>
      <w:r>
        <w:rPr>
          <w:rFonts w:hint="default" w:ascii="Times New Roman" w:hAnsi="Times New Roman" w:eastAsia="方正仿宋_GB2312" w:cs="Times New Roman"/>
          <w:color w:val="auto"/>
          <w:sz w:val="32"/>
          <w:szCs w:val="32"/>
          <w:lang w:eastAsia="zh-CN"/>
        </w:rPr>
        <w:t>根据</w:t>
      </w:r>
      <w:r>
        <w:rPr>
          <w:rFonts w:hint="default" w:ascii="Times New Roman" w:hAnsi="Times New Roman" w:eastAsia="方正仿宋_GB2312" w:cs="Times New Roman"/>
          <w:color w:val="auto"/>
          <w:sz w:val="32"/>
          <w:szCs w:val="32"/>
        </w:rPr>
        <w:t>预算绩效管理要求</w:t>
      </w:r>
      <w:r>
        <w:rPr>
          <w:rFonts w:hint="default" w:ascii="Times New Roman" w:hAnsi="Times New Roman" w:eastAsia="方正仿宋_GB2312" w:cs="Times New Roman"/>
          <w:color w:val="auto"/>
          <w:sz w:val="32"/>
          <w:szCs w:val="32"/>
          <w:lang w:eastAsia="zh-CN"/>
        </w:rPr>
        <w:t>，本部门在</w:t>
      </w:r>
      <w:r>
        <w:rPr>
          <w:rFonts w:hint="default" w:ascii="Times New Roman" w:hAnsi="Times New Roman" w:eastAsia="方正仿宋_GB2312" w:cs="Times New Roman"/>
          <w:color w:val="auto"/>
          <w:sz w:val="32"/>
          <w:szCs w:val="32"/>
          <w:lang w:val="en-US" w:eastAsia="zh-CN"/>
        </w:rPr>
        <w:t>2023年度预算编制阶段，组织对公共图书馆、文化馆免费开放项目、公共文化服务体系建设</w:t>
      </w:r>
      <w:r>
        <w:rPr>
          <w:rFonts w:hint="eastAsia" w:eastAsia="方正仿宋_GB2312" w:cs="Times New Roman"/>
          <w:color w:val="auto"/>
          <w:sz w:val="32"/>
          <w:szCs w:val="32"/>
          <w:lang w:val="en-US" w:eastAsia="zh-CN"/>
        </w:rPr>
        <w:t>项目</w:t>
      </w:r>
      <w:r>
        <w:rPr>
          <w:rFonts w:hint="default" w:ascii="Times New Roman" w:hAnsi="Times New Roman" w:eastAsia="方正仿宋_GB2312" w:cs="Times New Roman"/>
          <w:color w:val="auto"/>
          <w:sz w:val="32"/>
          <w:szCs w:val="32"/>
          <w:lang w:val="en-US" w:eastAsia="zh-CN"/>
        </w:rPr>
        <w:t>、参加四川省第十六届少数民族体育运动会展演</w:t>
      </w:r>
      <w:r>
        <w:rPr>
          <w:rFonts w:hint="eastAsia" w:eastAsia="方正仿宋_GB2312" w:cs="Times New Roman"/>
          <w:color w:val="auto"/>
          <w:sz w:val="32"/>
          <w:szCs w:val="32"/>
          <w:lang w:val="en-US" w:eastAsia="zh-CN"/>
        </w:rPr>
        <w:t>项目</w:t>
      </w:r>
      <w:r>
        <w:rPr>
          <w:rFonts w:hint="default" w:ascii="Times New Roman" w:hAnsi="Times New Roman" w:eastAsia="方正仿宋_GB2312" w:cs="Times New Roman"/>
          <w:color w:val="auto"/>
          <w:sz w:val="32"/>
          <w:szCs w:val="32"/>
          <w:lang w:val="en-US" w:eastAsia="zh-CN"/>
        </w:rPr>
        <w:t>、2021年度总结表彰表扬大会</w:t>
      </w:r>
      <w:r>
        <w:rPr>
          <w:rFonts w:hint="eastAsia" w:eastAsia="方正仿宋_GB2312" w:cs="Times New Roman"/>
          <w:color w:val="auto"/>
          <w:sz w:val="32"/>
          <w:szCs w:val="32"/>
          <w:lang w:val="en-US" w:eastAsia="zh-CN"/>
        </w:rPr>
        <w:t>暨</w:t>
      </w:r>
      <w:r>
        <w:rPr>
          <w:rFonts w:hint="default" w:ascii="Times New Roman" w:hAnsi="Times New Roman" w:eastAsia="方正仿宋_GB2312" w:cs="Times New Roman"/>
          <w:color w:val="auto"/>
          <w:sz w:val="32"/>
          <w:szCs w:val="32"/>
          <w:lang w:val="en-US" w:eastAsia="zh-CN"/>
        </w:rPr>
        <w:t>2022年新春慰问演出</w:t>
      </w:r>
      <w:r>
        <w:rPr>
          <w:rFonts w:hint="eastAsia" w:eastAsia="方正仿宋_GB2312" w:cs="Times New Roman"/>
          <w:color w:val="auto"/>
          <w:sz w:val="32"/>
          <w:szCs w:val="32"/>
          <w:lang w:val="en-US" w:eastAsia="zh-CN"/>
        </w:rPr>
        <w:t>项目</w:t>
      </w:r>
      <w:r>
        <w:rPr>
          <w:rFonts w:hint="default" w:ascii="Times New Roman" w:hAnsi="Times New Roman" w:eastAsia="方正仿宋_GB2312" w:cs="Times New Roman"/>
          <w:color w:val="auto"/>
          <w:sz w:val="32"/>
          <w:szCs w:val="32"/>
          <w:lang w:val="en-US" w:eastAsia="zh-CN"/>
        </w:rPr>
        <w:t>、省级非物质文化遗产保护项目、傈僳族非物质文化遗产保护传承及创新发展</w:t>
      </w:r>
      <w:r>
        <w:rPr>
          <w:rFonts w:hint="eastAsia" w:eastAsia="方正仿宋_GB2312" w:cs="Times New Roman"/>
          <w:color w:val="auto"/>
          <w:sz w:val="32"/>
          <w:szCs w:val="32"/>
          <w:lang w:val="en-US" w:eastAsia="zh-CN"/>
        </w:rPr>
        <w:t>项目</w:t>
      </w:r>
      <w:r>
        <w:rPr>
          <w:rFonts w:hint="default" w:ascii="Times New Roman" w:hAnsi="Times New Roman" w:eastAsia="方正仿宋_GB2312" w:cs="Times New Roman"/>
          <w:color w:val="auto"/>
          <w:sz w:val="32"/>
          <w:szCs w:val="32"/>
          <w:lang w:val="en-US" w:eastAsia="zh-CN"/>
        </w:rPr>
        <w:t>共6个</w:t>
      </w:r>
      <w:r>
        <w:rPr>
          <w:rFonts w:hint="default" w:ascii="Times New Roman" w:hAnsi="Times New Roman" w:eastAsia="方正仿宋_GB2312" w:cs="Times New Roman"/>
          <w:color w:val="auto"/>
          <w:sz w:val="32"/>
          <w:szCs w:val="32"/>
        </w:rPr>
        <w:t>项目</w:t>
      </w:r>
      <w:r>
        <w:rPr>
          <w:rFonts w:hint="default" w:ascii="Times New Roman" w:hAnsi="Times New Roman" w:eastAsia="方正仿宋_GB2312" w:cs="Times New Roman"/>
          <w:color w:val="auto"/>
          <w:sz w:val="32"/>
          <w:szCs w:val="32"/>
          <w:lang w:eastAsia="zh-CN"/>
        </w:rPr>
        <w:t>开展了预算事前绩效评估，对</w:t>
      </w:r>
      <w:r>
        <w:rPr>
          <w:rFonts w:hint="default" w:ascii="Times New Roman" w:hAnsi="Times New Roman" w:eastAsia="方正仿宋_GB2312" w:cs="Times New Roman"/>
          <w:color w:val="auto"/>
          <w:sz w:val="32"/>
          <w:szCs w:val="32"/>
          <w:lang w:val="en-US" w:eastAsia="zh-CN"/>
        </w:rPr>
        <w:t>6个项目编制了绩效目标，</w:t>
      </w:r>
      <w:r>
        <w:rPr>
          <w:rFonts w:hint="default" w:ascii="Times New Roman" w:hAnsi="Times New Roman" w:eastAsia="方正仿宋_GB2312" w:cs="Times New Roman"/>
          <w:color w:val="auto"/>
          <w:sz w:val="32"/>
          <w:szCs w:val="32"/>
        </w:rPr>
        <w:t>预算执行过程中，</w:t>
      </w:r>
      <w:r>
        <w:rPr>
          <w:rFonts w:hint="eastAsia" w:eastAsia="方正仿宋_GB2312" w:cs="Times New Roman"/>
          <w:color w:val="auto"/>
          <w:sz w:val="32"/>
          <w:szCs w:val="32"/>
          <w:lang w:eastAsia="zh-CN"/>
        </w:rPr>
        <w:t>对</w:t>
      </w:r>
      <w:r>
        <w:rPr>
          <w:rFonts w:hint="default" w:ascii="Times New Roman" w:hAnsi="Times New Roman" w:eastAsia="方正仿宋_GB2312" w:cs="Times New Roman"/>
          <w:color w:val="auto"/>
          <w:sz w:val="32"/>
          <w:szCs w:val="32"/>
          <w:lang w:val="en-US" w:eastAsia="zh-CN"/>
        </w:rPr>
        <w:t>6</w:t>
      </w:r>
      <w:r>
        <w:rPr>
          <w:rFonts w:hint="default" w:ascii="Times New Roman" w:hAnsi="Times New Roman" w:eastAsia="方正仿宋_GB2312" w:cs="Times New Roman"/>
          <w:color w:val="auto"/>
          <w:sz w:val="32"/>
          <w:szCs w:val="32"/>
        </w:rPr>
        <w:t>个项目开展绩效监控</w:t>
      </w:r>
      <w:r>
        <w:rPr>
          <w:rFonts w:hint="default" w:ascii="Times New Roman" w:hAnsi="Times New Roman" w:eastAsia="方正仿宋_GB2312" w:cs="Times New Roman"/>
          <w:color w:val="auto"/>
          <w:sz w:val="32"/>
          <w:szCs w:val="32"/>
          <w:lang w:eastAsia="zh-CN"/>
        </w:rPr>
        <w:t>。</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组织对2023年度一般公共预算、政府性基金预算、国有资本经营预算、社会保险基金预算以及资本资产、债券资金等全面开展绩效自评，形成</w:t>
      </w:r>
      <w:r>
        <w:rPr>
          <w:rFonts w:hint="default" w:ascii="Times New Roman" w:hAnsi="Times New Roman" w:eastAsia="方正仿宋_GB2312" w:cs="Times New Roman"/>
          <w:color w:val="auto"/>
          <w:sz w:val="32"/>
          <w:szCs w:val="32"/>
          <w:lang w:eastAsia="zh-CN"/>
        </w:rPr>
        <w:t>盐边县文化馆</w:t>
      </w:r>
      <w:r>
        <w:rPr>
          <w:rFonts w:hint="default" w:ascii="Times New Roman" w:hAnsi="Times New Roman" w:eastAsia="方正仿宋_GB2312" w:cs="Times New Roman"/>
          <w:color w:val="auto"/>
          <w:sz w:val="32"/>
          <w:szCs w:val="32"/>
        </w:rPr>
        <w:t>部门整体（含部门预算项目）绩效自评报告、</w:t>
      </w:r>
      <w:r>
        <w:rPr>
          <w:rFonts w:hint="default" w:ascii="Times New Roman" w:hAnsi="Times New Roman" w:eastAsia="方正仿宋_GB2312" w:cs="Times New Roman"/>
          <w:color w:val="auto"/>
          <w:sz w:val="32"/>
          <w:szCs w:val="32"/>
          <w:lang w:val="en-US" w:eastAsia="zh-CN"/>
        </w:rPr>
        <w:t>公共图书馆、文化馆免费开放项目等专项预算项目绩效自评报告，</w:t>
      </w:r>
      <w:r>
        <w:rPr>
          <w:rFonts w:hint="default" w:ascii="Times New Roman" w:hAnsi="Times New Roman" w:eastAsia="方正仿宋_GB2312" w:cs="Times New Roman"/>
          <w:color w:val="auto"/>
          <w:sz w:val="32"/>
          <w:szCs w:val="32"/>
        </w:rPr>
        <w:t>其中，</w:t>
      </w:r>
      <w:r>
        <w:rPr>
          <w:rFonts w:hint="default" w:ascii="Times New Roman" w:hAnsi="Times New Roman" w:eastAsia="方正仿宋_GB2312" w:cs="Times New Roman"/>
          <w:color w:val="auto"/>
          <w:sz w:val="32"/>
          <w:szCs w:val="32"/>
          <w:lang w:eastAsia="zh-CN"/>
        </w:rPr>
        <w:t>盐边县文化馆</w:t>
      </w:r>
      <w:r>
        <w:rPr>
          <w:rFonts w:hint="default" w:ascii="Times New Roman" w:hAnsi="Times New Roman" w:eastAsia="方正仿宋_GB2312" w:cs="Times New Roman"/>
          <w:color w:val="auto"/>
          <w:sz w:val="32"/>
          <w:szCs w:val="32"/>
        </w:rPr>
        <w:t>部门整体（含部门预算项目）绩效自评得分为</w:t>
      </w:r>
      <w:r>
        <w:rPr>
          <w:rFonts w:hint="default" w:ascii="Times New Roman" w:hAnsi="Times New Roman" w:eastAsia="方正仿宋_GB2312" w:cs="Times New Roman"/>
          <w:color w:val="auto"/>
          <w:sz w:val="32"/>
          <w:szCs w:val="32"/>
          <w:lang w:val="en-US" w:eastAsia="zh-CN"/>
        </w:rPr>
        <w:t>96</w:t>
      </w:r>
      <w:r>
        <w:rPr>
          <w:rFonts w:hint="default" w:ascii="Times New Roman" w:hAnsi="Times New Roman" w:eastAsia="方正仿宋_GB2312" w:cs="Times New Roman"/>
          <w:color w:val="auto"/>
          <w:sz w:val="32"/>
          <w:szCs w:val="32"/>
        </w:rPr>
        <w:t>分，绩效自评综述：</w:t>
      </w:r>
      <w:r>
        <w:rPr>
          <w:rFonts w:hint="default" w:ascii="Times New Roman" w:hAnsi="Times New Roman" w:eastAsia="方正仿宋_GB2312" w:cs="Times New Roman"/>
          <w:color w:val="auto"/>
          <w:sz w:val="32"/>
          <w:szCs w:val="32"/>
          <w:lang w:eastAsia="zh-CN"/>
        </w:rPr>
        <w:t>盐边县文化馆</w:t>
      </w:r>
      <w:r>
        <w:rPr>
          <w:rFonts w:hint="default" w:ascii="Times New Roman" w:hAnsi="Times New Roman" w:eastAsia="方正仿宋_GB2312" w:cs="Times New Roman"/>
          <w:color w:val="auto"/>
          <w:sz w:val="32"/>
          <w:szCs w:val="32"/>
        </w:rPr>
        <w:t>部门结合部门自身特点、评价重点及管理办法等要求，围绕预算编制、预算执行、支出绩效等方面进行总体评价，整体支出自评准确、及时，部门支出绩效指标达到了预期设定的目标值，总体绩效目标完成较好</w:t>
      </w:r>
      <w:r>
        <w:rPr>
          <w:rFonts w:hint="eastAsia"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公共图书馆、文化馆免费开放专项预算项目绩效自评得分为9</w:t>
      </w:r>
      <w:r>
        <w:rPr>
          <w:rFonts w:hint="eastAsia" w:eastAsia="方正仿宋_GB2312" w:cs="Times New Roman"/>
          <w:color w:val="auto"/>
          <w:sz w:val="32"/>
          <w:szCs w:val="32"/>
          <w:lang w:val="en-US" w:eastAsia="zh-CN"/>
        </w:rPr>
        <w:t>6</w:t>
      </w:r>
      <w:r>
        <w:rPr>
          <w:rFonts w:hint="default" w:ascii="Times New Roman" w:hAnsi="Times New Roman" w:eastAsia="方正仿宋_GB2312" w:cs="Times New Roman"/>
          <w:color w:val="auto"/>
          <w:sz w:val="32"/>
          <w:szCs w:val="32"/>
          <w:lang w:val="en-US" w:eastAsia="zh-CN"/>
        </w:rPr>
        <w:t>分；公共文化服务体系建设专项预算项目绩效自评得分为93分，资金支付率96.77%，原因是有部分活动已开展，未及时报账；参加四川省第十六届少数民族体育运动会展演专项预算项目绩效自评得分为96分；2021年度总结表彰表扬大会和2022年新春慰问演出专项预算项目绩效自评得分为96分；省级非物质文化遗产保护项目</w:t>
      </w:r>
      <w:r>
        <w:rPr>
          <w:rFonts w:hint="eastAsia" w:eastAsia="方正仿宋_GB2312" w:cs="Times New Roman"/>
          <w:color w:val="auto"/>
          <w:sz w:val="32"/>
          <w:szCs w:val="32"/>
          <w:lang w:val="en-US" w:eastAsia="zh-CN"/>
        </w:rPr>
        <w:t>传承</w:t>
      </w:r>
      <w:r>
        <w:rPr>
          <w:rFonts w:hint="default" w:ascii="Times New Roman" w:hAnsi="Times New Roman" w:eastAsia="方正仿宋_GB2312" w:cs="Times New Roman"/>
          <w:color w:val="auto"/>
          <w:sz w:val="32"/>
          <w:szCs w:val="32"/>
          <w:lang w:val="en-US" w:eastAsia="zh-CN"/>
        </w:rPr>
        <w:t>专项预算项目绩效自评得分为94分；傈僳族非物质文化遗产保护传承及创新发展专项预算项目绩效自评得分为73分，原因是</w:t>
      </w:r>
      <w:r>
        <w:rPr>
          <w:rFonts w:hint="eastAsia" w:eastAsia="方正仿宋_GB2312" w:cs="Times New Roman"/>
          <w:color w:val="auto"/>
          <w:sz w:val="32"/>
          <w:szCs w:val="32"/>
          <w:lang w:val="en-US" w:eastAsia="zh-CN"/>
        </w:rPr>
        <w:t>有部分项目于2024年完成</w:t>
      </w:r>
      <w:r>
        <w:rPr>
          <w:rFonts w:hint="default" w:ascii="Times New Roman" w:hAnsi="Times New Roman" w:eastAsia="方正仿宋_GB2312" w:cs="Times New Roman"/>
          <w:color w:val="auto"/>
          <w:sz w:val="32"/>
          <w:szCs w:val="32"/>
          <w:lang w:val="en-US" w:eastAsia="zh-CN"/>
        </w:rPr>
        <w:t>，资金</w:t>
      </w:r>
      <w:r>
        <w:rPr>
          <w:rFonts w:hint="eastAsia" w:eastAsia="方正仿宋_GB2312" w:cs="Times New Roman"/>
          <w:color w:val="auto"/>
          <w:sz w:val="32"/>
          <w:szCs w:val="32"/>
          <w:lang w:val="en-US" w:eastAsia="zh-CN"/>
        </w:rPr>
        <w:t>于2023年12月下达，计划于2024年</w:t>
      </w:r>
      <w:r>
        <w:rPr>
          <w:rFonts w:hint="default" w:ascii="Times New Roman" w:hAnsi="Times New Roman" w:eastAsia="方正仿宋_GB2312" w:cs="Times New Roman"/>
          <w:color w:val="auto"/>
          <w:sz w:val="32"/>
          <w:szCs w:val="32"/>
          <w:lang w:val="en-US" w:eastAsia="zh-CN"/>
        </w:rPr>
        <w:t>支付</w:t>
      </w:r>
      <w:r>
        <w:rPr>
          <w:rFonts w:hint="eastAsia"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rPr>
        <w:t>绩效自评综述：项目绩效指标达到了预期设定的目标值，资金使用规范，绩效目标完成较好。绩效自评报告详见附件。</w:t>
      </w: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rPr>
      </w:pP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lang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lang w:eastAsia="zh-CN"/>
        </w:rPr>
      </w:pPr>
    </w:p>
    <w:p>
      <w:pPr>
        <w:keepNext w:val="0"/>
        <w:keepLines w:val="0"/>
        <w:pageBreakBefore w:val="0"/>
        <w:widowControl w:val="0"/>
        <w:kinsoku/>
        <w:wordWrap/>
        <w:overflowPunct/>
        <w:topLinePunct w:val="0"/>
        <w:bidi w:val="0"/>
        <w:snapToGrid/>
        <w:spacing w:line="240" w:lineRule="auto"/>
        <w:ind w:firstLine="640"/>
        <w:textAlignment w:val="auto"/>
        <w:rPr>
          <w:rFonts w:hint="default" w:ascii="Times New Roman" w:hAnsi="Times New Roman" w:eastAsia="方正仿宋_GB2312" w:cs="Times New Roman"/>
          <w:color w:val="auto"/>
          <w:sz w:val="32"/>
          <w:szCs w:val="32"/>
          <w:lang w:eastAsia="zh-CN"/>
        </w:rPr>
      </w:pPr>
    </w:p>
    <w:p>
      <w:pPr>
        <w:spacing w:line="600" w:lineRule="exact"/>
        <w:ind w:firstLine="640"/>
        <w:rPr>
          <w:rFonts w:hint="default" w:ascii="Times New Roman" w:hAnsi="Times New Roman" w:eastAsia="方正仿宋_GB2312" w:cs="Times New Roman"/>
          <w:color w:val="auto"/>
          <w:sz w:val="32"/>
          <w:szCs w:val="32"/>
          <w:lang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numPr>
          <w:ilvl w:val="0"/>
          <w:numId w:val="0"/>
        </w:numPr>
        <w:kinsoku/>
        <w:wordWrap/>
        <w:overflowPunct/>
        <w:topLinePunct w:val="0"/>
        <w:bidi w:val="0"/>
        <w:snapToGrid/>
        <w:spacing w:line="240" w:lineRule="auto"/>
        <w:jc w:val="center"/>
        <w:textAlignment w:val="auto"/>
        <w:rPr>
          <w:rFonts w:hint="default" w:ascii="Times New Roman" w:hAnsi="Times New Roman" w:cs="Times New Roman" w:eastAsiaTheme="minorEastAsia"/>
          <w:b/>
          <w:bCs/>
          <w:color w:val="auto"/>
          <w:sz w:val="44"/>
          <w:szCs w:val="44"/>
          <w:lang w:val="en-US" w:eastAsia="zh-CN"/>
        </w:rPr>
      </w:pPr>
      <w:r>
        <w:rPr>
          <w:rFonts w:hint="default" w:ascii="Times New Roman" w:hAnsi="Times New Roman" w:cs="Times New Roman" w:eastAsiaTheme="minorEastAsia"/>
          <w:b/>
          <w:bCs/>
          <w:color w:val="auto"/>
          <w:sz w:val="44"/>
          <w:szCs w:val="44"/>
          <w:lang w:val="en-US" w:eastAsia="zh-CN"/>
        </w:rPr>
        <w:t>第三部分  名词解释</w:t>
      </w:r>
    </w:p>
    <w:p>
      <w:pPr>
        <w:pStyle w:val="27"/>
        <w:keepNext w:val="0"/>
        <w:keepLines w:val="0"/>
        <w:pageBreakBefore w:val="0"/>
        <w:numPr>
          <w:ilvl w:val="0"/>
          <w:numId w:val="0"/>
        </w:numPr>
        <w:kinsoku/>
        <w:wordWrap/>
        <w:overflowPunct/>
        <w:topLinePunct w:val="0"/>
        <w:bidi w:val="0"/>
        <w:snapToGrid/>
        <w:spacing w:line="240" w:lineRule="auto"/>
        <w:jc w:val="both"/>
        <w:textAlignment w:val="auto"/>
        <w:rPr>
          <w:rFonts w:hint="default" w:ascii="Times New Roman" w:hAnsi="Times New Roman" w:cs="Times New Roman" w:eastAsiaTheme="minorEastAsia"/>
          <w:b/>
          <w:bCs/>
          <w:color w:val="auto"/>
          <w:sz w:val="44"/>
          <w:szCs w:val="44"/>
          <w:lang w:val="en-US" w:eastAsia="zh-CN"/>
        </w:rPr>
      </w:pP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1.财政拨款收入：指单位从同级财政部门取得的财政预算资金。</w:t>
      </w: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2.年初结转和结余：指以前年度尚未完成、结转到本年按有关规定继续使用的资金。</w:t>
      </w: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3.结余分配：指事业单位按照会计制度规定缴纳的所得税、提取的专用结余以及转入非财政拨款结余的金额等。</w:t>
      </w: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shd w:val="clear" w:color="auto" w:fill="auto"/>
          <w:lang w:val="en-US" w:eastAsia="zh-CN" w:bidi="ar-SA"/>
        </w:rPr>
      </w:pPr>
      <w:r>
        <w:rPr>
          <w:rFonts w:hint="default" w:ascii="Times New Roman" w:hAnsi="Times New Roman" w:eastAsia="方正仿宋_GB2312" w:cs="Times New Roman"/>
          <w:color w:val="auto"/>
          <w:kern w:val="2"/>
          <w:sz w:val="32"/>
          <w:szCs w:val="32"/>
          <w:lang w:val="en-US" w:eastAsia="zh-CN" w:bidi="ar-SA"/>
        </w:rPr>
        <w:t>4.年末结转和结余：指单位按有关规定结转到下年或以</w:t>
      </w:r>
      <w:r>
        <w:rPr>
          <w:rFonts w:hint="default" w:ascii="Times New Roman" w:hAnsi="Times New Roman" w:eastAsia="方正仿宋_GB2312" w:cs="Times New Roman"/>
          <w:color w:val="auto"/>
          <w:kern w:val="2"/>
          <w:sz w:val="32"/>
          <w:szCs w:val="32"/>
          <w:shd w:val="clear" w:color="auto" w:fill="auto"/>
          <w:lang w:val="en-US" w:eastAsia="zh-CN" w:bidi="ar-SA"/>
        </w:rPr>
        <w:t>后年度继续使用的资金。</w:t>
      </w:r>
    </w:p>
    <w:p>
      <w:pPr>
        <w:keepNext w:val="0"/>
        <w:keepLines w:val="0"/>
        <w:pageBreakBefore w:val="0"/>
        <w:widowControl/>
        <w:shd w:val="clear" w:color="auto" w:fill="FFFFFF"/>
        <w:kinsoku/>
        <w:wordWrap/>
        <w:overflowPunct/>
        <w:topLinePunct w:val="0"/>
        <w:bidi w:val="0"/>
        <w:snapToGrid/>
        <w:spacing w:line="240" w:lineRule="auto"/>
        <w:ind w:firstLine="643"/>
        <w:jc w:val="left"/>
        <w:textAlignment w:val="auto"/>
        <w:rPr>
          <w:rFonts w:hint="default" w:ascii="Times New Roman" w:hAnsi="Times New Roman" w:eastAsia="方正仿宋_GB2312" w:cs="Times New Roman"/>
          <w:color w:val="auto"/>
          <w:kern w:val="2"/>
          <w:sz w:val="32"/>
          <w:szCs w:val="32"/>
          <w:shd w:val="clear" w:color="auto" w:fill="auto"/>
          <w:lang w:val="en-US" w:eastAsia="zh-CN" w:bidi="ar-SA"/>
        </w:rPr>
      </w:pPr>
      <w:r>
        <w:rPr>
          <w:rFonts w:hint="default" w:ascii="Times New Roman" w:hAnsi="Times New Roman" w:eastAsia="方正仿宋_GB2312" w:cs="Times New Roman"/>
          <w:color w:val="auto"/>
          <w:kern w:val="2"/>
          <w:sz w:val="32"/>
          <w:szCs w:val="32"/>
          <w:shd w:val="clear" w:color="auto" w:fill="auto"/>
          <w:lang w:val="en-US" w:eastAsia="zh-CN" w:bidi="ar-SA"/>
        </w:rPr>
        <w:t>5.文化旅游体育与传媒支出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shd w:val="clear" w:color="auto" w:fill="auto"/>
          <w:lang w:val="en-US" w:eastAsia="zh-CN" w:bidi="ar-SA"/>
        </w:rPr>
        <w:t>文化和旅游</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shd w:val="clear" w:color="auto" w:fill="auto"/>
          <w:lang w:val="en-US" w:eastAsia="zh-CN" w:bidi="ar-SA"/>
        </w:rPr>
        <w:t>群众文化</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shd w:val="clear" w:color="auto" w:fill="auto"/>
          <w:lang w:val="en-US" w:eastAsia="zh-CN" w:bidi="ar-SA"/>
        </w:rPr>
        <w:t>：</w:t>
      </w:r>
      <w:r>
        <w:rPr>
          <w:rFonts w:hint="eastAsia" w:eastAsia="方正仿宋_GB2312" w:cs="Times New Roman"/>
          <w:color w:val="auto"/>
          <w:kern w:val="2"/>
          <w:sz w:val="32"/>
          <w:szCs w:val="32"/>
          <w:shd w:val="clear" w:color="auto" w:fill="auto"/>
          <w:lang w:val="en-US" w:eastAsia="zh-CN" w:bidi="ar-SA"/>
        </w:rPr>
        <w:t>指</w:t>
      </w:r>
      <w:r>
        <w:rPr>
          <w:rFonts w:hint="default" w:ascii="Times New Roman" w:hAnsi="Times New Roman" w:eastAsia="方正仿宋_GB2312" w:cs="Times New Roman"/>
          <w:color w:val="auto"/>
          <w:kern w:val="2"/>
          <w:sz w:val="32"/>
          <w:szCs w:val="32"/>
          <w:shd w:val="clear" w:color="auto" w:fill="auto"/>
          <w:lang w:val="en-US" w:eastAsia="zh-CN" w:bidi="ar-SA"/>
        </w:rPr>
        <w:t>反映群众文化方面的支出，包括基层文化馆（站）、群众艺术馆支出等。</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6.文化旅游体育与传媒支出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文化和旅游</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文化创作与保护</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lang w:val="en-US" w:eastAsia="zh-CN" w:bidi="ar-SA"/>
        </w:rPr>
        <w:t>：</w:t>
      </w:r>
      <w:r>
        <w:rPr>
          <w:rFonts w:hint="eastAsia" w:eastAsia="方正仿宋_GB2312" w:cs="Times New Roman"/>
          <w:color w:val="auto"/>
          <w:kern w:val="2"/>
          <w:sz w:val="32"/>
          <w:szCs w:val="32"/>
          <w:lang w:val="en-US" w:eastAsia="zh-CN" w:bidi="ar-SA"/>
        </w:rPr>
        <w:t>指</w:t>
      </w:r>
      <w:r>
        <w:rPr>
          <w:rFonts w:hint="default" w:ascii="Times New Roman" w:hAnsi="Times New Roman" w:eastAsia="方正仿宋_GB2312" w:cs="Times New Roman"/>
          <w:color w:val="auto"/>
          <w:kern w:val="2"/>
          <w:sz w:val="32"/>
          <w:szCs w:val="32"/>
          <w:lang w:val="en-US" w:eastAsia="zh-CN" w:bidi="ar-SA"/>
        </w:rPr>
        <w:t>反映鼓励文学、艺术创作和优秀传统文化保护方面的支出。</w:t>
      </w:r>
    </w:p>
    <w:p>
      <w:pPr>
        <w:pStyle w:val="6"/>
        <w:keepNext w:val="0"/>
        <w:keepLines w:val="0"/>
        <w:pageBreakBefore w:val="0"/>
        <w:kinsoku/>
        <w:wordWrap/>
        <w:overflowPunct/>
        <w:topLinePunct w:val="0"/>
        <w:bidi w:val="0"/>
        <w:snapToGrid/>
        <w:spacing w:before="93"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7.文化旅游体育与传媒支出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文化和旅游</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其他文化和旅游支出</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lang w:val="en-US" w:eastAsia="zh-CN" w:bidi="ar-SA"/>
        </w:rPr>
        <w:t>：</w:t>
      </w:r>
      <w:r>
        <w:rPr>
          <w:rFonts w:hint="eastAsia" w:ascii="Times New Roman" w:eastAsia="方正仿宋_GB2312" w:cs="Times New Roman"/>
          <w:color w:val="auto"/>
          <w:kern w:val="2"/>
          <w:sz w:val="32"/>
          <w:szCs w:val="32"/>
          <w:lang w:val="en-US" w:eastAsia="zh-CN" w:bidi="ar-SA"/>
        </w:rPr>
        <w:t>指</w:t>
      </w:r>
      <w:r>
        <w:rPr>
          <w:rFonts w:hint="default" w:ascii="Times New Roman" w:hAnsi="Times New Roman" w:eastAsia="方正仿宋_GB2312" w:cs="Times New Roman"/>
          <w:color w:val="auto"/>
          <w:kern w:val="2"/>
          <w:sz w:val="32"/>
          <w:szCs w:val="32"/>
          <w:lang w:val="en-US" w:eastAsia="zh-CN" w:bidi="ar-SA"/>
        </w:rPr>
        <w:t>反映其他用于文化和旅游方面的支出。</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8.社会保障和就业支出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行政事业单位养老支出</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事业单位离退休</w:t>
      </w:r>
      <w:r>
        <w:rPr>
          <w:rFonts w:hint="eastAsia" w:eastAsia="方正仿宋_GB2312" w:cs="Times New Roman"/>
          <w:color w:val="auto"/>
          <w:kern w:val="2"/>
          <w:sz w:val="32"/>
          <w:szCs w:val="32"/>
          <w:shd w:val="clear" w:color="auto" w:fill="auto"/>
          <w:lang w:val="en-US" w:eastAsia="zh-CN" w:bidi="ar-SA"/>
        </w:rPr>
        <w:t>（项）：指</w:t>
      </w:r>
      <w:r>
        <w:rPr>
          <w:rFonts w:hint="default" w:ascii="Times New Roman" w:hAnsi="Times New Roman" w:eastAsia="方正仿宋_GB2312" w:cs="Times New Roman"/>
          <w:color w:val="auto"/>
          <w:kern w:val="2"/>
          <w:sz w:val="32"/>
          <w:szCs w:val="32"/>
          <w:lang w:val="en-US" w:eastAsia="zh-CN" w:bidi="ar-SA"/>
        </w:rPr>
        <w:t>反映事业单位开支的离退休经费。</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9.社会保障和就业支出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行政事业单位养老支出</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机关事业单位基本养老保险缴费支出</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lang w:val="en-US" w:eastAsia="zh-CN" w:bidi="ar-SA"/>
        </w:rPr>
        <w:t>：</w:t>
      </w:r>
      <w:r>
        <w:rPr>
          <w:rFonts w:hint="eastAsia" w:eastAsia="方正仿宋_GB2312" w:cs="Times New Roman"/>
          <w:color w:val="auto"/>
          <w:kern w:val="2"/>
          <w:sz w:val="32"/>
          <w:szCs w:val="32"/>
          <w:lang w:val="en-US" w:eastAsia="zh-CN" w:bidi="ar-SA"/>
        </w:rPr>
        <w:t>指</w:t>
      </w:r>
      <w:r>
        <w:rPr>
          <w:rFonts w:hint="default" w:ascii="Times New Roman" w:hAnsi="Times New Roman" w:eastAsia="方正仿宋_GB2312" w:cs="Times New Roman"/>
          <w:color w:val="auto"/>
          <w:kern w:val="2"/>
          <w:sz w:val="32"/>
          <w:szCs w:val="32"/>
          <w:lang w:val="en-US" w:eastAsia="zh-CN" w:bidi="ar-SA"/>
        </w:rPr>
        <w:t>反映机关事业单位实施养老保险制度由单位缴纳的基本养老保险费支出。</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10.卫生健康支出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行政事业单位医疗</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事业单位医疗</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lang w:val="en-US" w:eastAsia="zh-CN" w:bidi="ar-SA"/>
        </w:rPr>
        <w:t>：</w:t>
      </w:r>
      <w:r>
        <w:rPr>
          <w:rFonts w:hint="eastAsia" w:eastAsia="方正仿宋_GB2312" w:cs="Times New Roman"/>
          <w:color w:val="auto"/>
          <w:kern w:val="2"/>
          <w:sz w:val="32"/>
          <w:szCs w:val="32"/>
          <w:lang w:val="en-US" w:eastAsia="zh-CN" w:bidi="ar-SA"/>
        </w:rPr>
        <w:t>指</w:t>
      </w:r>
      <w:r>
        <w:rPr>
          <w:rFonts w:hint="default" w:ascii="Times New Roman" w:hAnsi="Times New Roman" w:eastAsia="方正仿宋_GB2312" w:cs="Times New Roman"/>
          <w:color w:val="auto"/>
          <w:kern w:val="2"/>
          <w:sz w:val="32"/>
          <w:szCs w:val="32"/>
          <w:lang w:val="en-US" w:eastAsia="zh-CN" w:bidi="ar-SA"/>
        </w:rPr>
        <w:t>反映财政部门安排的事业单位基本医疗保险缴费经费。</w:t>
      </w:r>
    </w:p>
    <w:p>
      <w:pPr>
        <w:pStyle w:val="6"/>
        <w:keepNext w:val="0"/>
        <w:keepLines w:val="0"/>
        <w:pageBreakBefore w:val="0"/>
        <w:kinsoku/>
        <w:wordWrap/>
        <w:overflowPunct/>
        <w:topLinePunct w:val="0"/>
        <w:bidi w:val="0"/>
        <w:snapToGrid/>
        <w:spacing w:before="93" w:line="240" w:lineRule="auto"/>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 xml:space="preserve">    11.卫生健康支出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行政事业单位医疗</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其他行政事业单位医疗支出</w:t>
      </w:r>
      <w:r>
        <w:rPr>
          <w:rFonts w:hint="eastAsia" w:eastAsia="方正仿宋_GB2312" w:cs="Times New Roman"/>
          <w:color w:val="auto"/>
          <w:kern w:val="2"/>
          <w:sz w:val="32"/>
          <w:szCs w:val="32"/>
          <w:shd w:val="clear" w:color="auto" w:fill="auto"/>
          <w:lang w:val="en-US" w:eastAsia="zh-CN" w:bidi="ar-SA"/>
        </w:rPr>
        <w:t>（项）</w:t>
      </w:r>
      <w:r>
        <w:rPr>
          <w:rFonts w:hint="default" w:ascii="Times New Roman" w:hAnsi="Times New Roman" w:eastAsia="方正仿宋_GB2312" w:cs="Times New Roman"/>
          <w:color w:val="auto"/>
          <w:kern w:val="2"/>
          <w:sz w:val="32"/>
          <w:szCs w:val="32"/>
          <w:lang w:val="en-US" w:eastAsia="zh-CN" w:bidi="ar-SA"/>
        </w:rPr>
        <w:t>：</w:t>
      </w:r>
      <w:r>
        <w:rPr>
          <w:rFonts w:hint="eastAsia" w:ascii="Times New Roman" w:eastAsia="方正仿宋_GB2312" w:cs="Times New Roman"/>
          <w:color w:val="auto"/>
          <w:kern w:val="2"/>
          <w:sz w:val="32"/>
          <w:szCs w:val="32"/>
          <w:lang w:val="en-US" w:eastAsia="zh-CN" w:bidi="ar-SA"/>
        </w:rPr>
        <w:t>指</w:t>
      </w:r>
      <w:r>
        <w:rPr>
          <w:rFonts w:hint="default" w:ascii="Times New Roman" w:hAnsi="Times New Roman" w:eastAsia="方正仿宋_GB2312" w:cs="Times New Roman"/>
          <w:color w:val="auto"/>
          <w:kern w:val="2"/>
          <w:sz w:val="32"/>
          <w:szCs w:val="32"/>
          <w:lang w:val="en-US" w:eastAsia="zh-CN" w:bidi="ar-SA"/>
        </w:rPr>
        <w:t>反映其他用于行政事业单位医疗方面的支出。</w:t>
      </w:r>
    </w:p>
    <w:p>
      <w:pPr>
        <w:keepNext w:val="0"/>
        <w:keepLines w:val="0"/>
        <w:pageBreakBefore w:val="0"/>
        <w:widowControl/>
        <w:shd w:val="clear" w:color="auto" w:fill="FFFFFF"/>
        <w:kinsoku/>
        <w:wordWrap/>
        <w:overflowPunct/>
        <w:topLinePunct w:val="0"/>
        <w:bidi w:val="0"/>
        <w:snapToGrid/>
        <w:spacing w:line="240" w:lineRule="auto"/>
        <w:ind w:firstLine="640" w:firstLineChars="200"/>
        <w:jc w:val="left"/>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12.住房保障支出</w:t>
      </w:r>
      <w:r>
        <w:rPr>
          <w:rFonts w:hint="eastAsia" w:eastAsia="方正仿宋_GB2312" w:cs="Times New Roman"/>
          <w:color w:val="auto"/>
          <w:kern w:val="2"/>
          <w:sz w:val="32"/>
          <w:szCs w:val="32"/>
          <w:shd w:val="clear" w:color="auto" w:fill="auto"/>
          <w:lang w:val="en-US" w:eastAsia="zh-CN" w:bidi="ar-SA"/>
        </w:rPr>
        <w:t>（类）</w:t>
      </w:r>
      <w:r>
        <w:rPr>
          <w:rFonts w:hint="default" w:ascii="Times New Roman" w:hAnsi="Times New Roman" w:eastAsia="方正仿宋_GB2312" w:cs="Times New Roman"/>
          <w:color w:val="auto"/>
          <w:kern w:val="2"/>
          <w:sz w:val="32"/>
          <w:szCs w:val="32"/>
          <w:lang w:val="en-US" w:eastAsia="zh-CN" w:bidi="ar-SA"/>
        </w:rPr>
        <w:t>住房改革支出</w:t>
      </w:r>
      <w:r>
        <w:rPr>
          <w:rFonts w:hint="eastAsia" w:eastAsia="方正仿宋_GB2312" w:cs="Times New Roman"/>
          <w:color w:val="auto"/>
          <w:kern w:val="2"/>
          <w:sz w:val="32"/>
          <w:szCs w:val="32"/>
          <w:shd w:val="clear" w:color="auto" w:fill="auto"/>
          <w:lang w:val="en-US" w:eastAsia="zh-CN" w:bidi="ar-SA"/>
        </w:rPr>
        <w:t>（款）</w:t>
      </w:r>
      <w:r>
        <w:rPr>
          <w:rFonts w:hint="default" w:ascii="Times New Roman" w:hAnsi="Times New Roman" w:eastAsia="方正仿宋_GB2312" w:cs="Times New Roman"/>
          <w:color w:val="auto"/>
          <w:kern w:val="2"/>
          <w:sz w:val="32"/>
          <w:szCs w:val="32"/>
          <w:lang w:val="en-US" w:eastAsia="zh-CN" w:bidi="ar-SA"/>
        </w:rPr>
        <w:t>住房公积金</w:t>
      </w:r>
      <w:r>
        <w:rPr>
          <w:rFonts w:hint="eastAsia" w:eastAsia="方正仿宋_GB2312" w:cs="Times New Roman"/>
          <w:color w:val="auto"/>
          <w:kern w:val="2"/>
          <w:sz w:val="32"/>
          <w:szCs w:val="32"/>
          <w:shd w:val="clear" w:color="auto" w:fill="auto"/>
          <w:lang w:val="en-US" w:eastAsia="zh-CN" w:bidi="ar-SA"/>
        </w:rPr>
        <w:t>（项）：指</w:t>
      </w:r>
      <w:r>
        <w:rPr>
          <w:rFonts w:hint="default" w:ascii="Times New Roman" w:hAnsi="Times New Roman" w:eastAsia="方正仿宋_GB2312" w:cs="Times New Roman"/>
          <w:color w:val="auto"/>
          <w:kern w:val="2"/>
          <w:sz w:val="32"/>
          <w:szCs w:val="32"/>
          <w:lang w:val="en-US" w:eastAsia="zh-CN" w:bidi="ar-SA"/>
        </w:rPr>
        <w:t>反映行政事业单位按人力资源和社会保障部、财政部规定的基本工资和津贴补贴以及规定比例为职工缴纳的住房公积金。</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13.基本支出：指为保障机构正常运转、完成日常工作任务而发生的人员支出和公用支出。</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14.项目支出：指在基本支出之外为完成特定行政任务和事业发展目标所发生的支出。</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15.经营支出：指事业单位在专业业务活动及其辅助活动之外开展非独立核算经营活动发生的支出。</w:t>
      </w: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16.“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hint="eastAsia" w:ascii="Times New Roman" w:hAnsi="Times New Roman" w:eastAsia="方正仿宋_GB2312" w:cs="Times New Roman"/>
          <w:color w:val="auto"/>
          <w:kern w:val="2"/>
          <w:sz w:val="32"/>
          <w:szCs w:val="32"/>
          <w:lang w:val="en-US" w:eastAsia="zh-CN" w:bidi="ar-SA"/>
        </w:rPr>
        <w:t>、牌照费</w:t>
      </w:r>
      <w:r>
        <w:rPr>
          <w:rFonts w:hint="default" w:ascii="Times New Roman" w:hAnsi="Times New Roman" w:eastAsia="方正仿宋_GB2312" w:cs="Times New Roman"/>
          <w:color w:val="auto"/>
          <w:kern w:val="2"/>
          <w:sz w:val="32"/>
          <w:szCs w:val="32"/>
          <w:lang w:val="en-US" w:eastAsia="zh-CN" w:bidi="ar-SA"/>
        </w:rPr>
        <w:t>）、燃料费、维修费、过路过桥费、保险费</w:t>
      </w:r>
      <w:r>
        <w:rPr>
          <w:rFonts w:hint="eastAsia" w:ascii="Times New Roman" w:hAnsi="Times New Roman" w:eastAsia="方正仿宋_GB2312" w:cs="Times New Roman"/>
          <w:color w:val="auto"/>
          <w:kern w:val="2"/>
          <w:sz w:val="32"/>
          <w:szCs w:val="32"/>
          <w:lang w:val="en-US" w:eastAsia="zh-CN" w:bidi="ar-SA"/>
        </w:rPr>
        <w:t>、安全奖励费用</w:t>
      </w:r>
      <w:r>
        <w:rPr>
          <w:rFonts w:hint="default" w:ascii="Times New Roman" w:hAnsi="Times New Roman" w:eastAsia="方正仿宋_GB2312" w:cs="Times New Roman"/>
          <w:color w:val="auto"/>
          <w:kern w:val="2"/>
          <w:sz w:val="32"/>
          <w:szCs w:val="32"/>
          <w:lang w:val="en-US" w:eastAsia="zh-CN" w:bidi="ar-SA"/>
        </w:rPr>
        <w:t>等支出；公务接待费反映单位按规定开支的各类公务接待（含外宾接待）支出。</w:t>
      </w:r>
    </w:p>
    <w:p>
      <w:pPr>
        <w:pStyle w:val="27"/>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br w:type="page"/>
      </w:r>
    </w:p>
    <w:p>
      <w:pPr>
        <w:pStyle w:val="3"/>
        <w:jc w:val="center"/>
        <w:rPr>
          <w:rFonts w:hint="default" w:ascii="Times New Roman" w:hAnsi="Times New Roman" w:eastAsia="黑体" w:cs="Times New Roman"/>
          <w:b w:val="0"/>
          <w:color w:val="auto"/>
        </w:rPr>
      </w:pPr>
      <w:r>
        <w:rPr>
          <w:rFonts w:hint="default" w:ascii="Times New Roman" w:hAnsi="Times New Roman" w:eastAsia="黑体" w:cs="Times New Roman"/>
          <w:b w:val="0"/>
          <w:color w:val="auto"/>
        </w:rPr>
        <w:t>第四部分 附件</w:t>
      </w: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eastAsia="zh-CN"/>
        </w:rPr>
        <w:t>盐边县文化馆</w:t>
      </w:r>
      <w:r>
        <w:rPr>
          <w:rFonts w:hint="default" w:ascii="Times New Roman" w:hAnsi="Times New Roman" w:eastAsia="方正小标宋简体" w:cs="Times New Roman"/>
          <w:color w:val="auto"/>
          <w:sz w:val="44"/>
          <w:szCs w:val="44"/>
        </w:rPr>
        <w:t>部门预算绩效评价报告</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（一）机构组成。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盐边县文化馆属于盐边县文化广播电视和旅游局下属独立核算事业单位，内设办公室、图书馆综合业务室、文化馆综合业务室、书法美术室、文化遗产保护室、财务</w:t>
      </w:r>
      <w:r>
        <w:rPr>
          <w:rFonts w:hint="eastAsia" w:eastAsia="方正仿宋_GB2312" w:cs="Times New Roman"/>
          <w:color w:val="auto"/>
          <w:kern w:val="2"/>
          <w:sz w:val="32"/>
          <w:szCs w:val="32"/>
          <w:lang w:val="en-US" w:eastAsia="zh-CN" w:bidi="ar-SA"/>
        </w:rPr>
        <w:t>室</w:t>
      </w:r>
      <w:r>
        <w:rPr>
          <w:rFonts w:hint="default" w:ascii="Times New Roman" w:hAnsi="Times New Roman" w:eastAsia="方正仿宋_GB2312" w:cs="Times New Roman"/>
          <w:color w:val="auto"/>
          <w:kern w:val="2"/>
          <w:sz w:val="32"/>
          <w:szCs w:val="32"/>
          <w:lang w:val="en-US" w:eastAsia="zh-CN" w:bidi="ar-SA"/>
        </w:rPr>
        <w:t>，无下属单位。</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机构职能。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方正仿宋_GB2312" w:cs="Times New Roman"/>
          <w:color w:val="auto"/>
          <w:kern w:val="2"/>
          <w:sz w:val="32"/>
          <w:szCs w:val="32"/>
          <w:lang w:val="en-US" w:eastAsia="zh-CN" w:bidi="ar-SA"/>
        </w:rPr>
        <w:t>开展公益性文化艺术活动和社会公益培训，实行免费开放；组织指导和推广群众性文艺创作；对基层群众文化组织进行业务指导；组织开展群众文化理论研究和交流活动；收集、整理、研究非物质文化遗产，开展非物质文化遗产的普查、展示、宣传活动，指导传承人开展传习活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仿宋_GB2312" w:cs="Times New Roman"/>
          <w:color w:val="auto"/>
          <w:kern w:val="2"/>
          <w:sz w:val="32"/>
          <w:szCs w:val="32"/>
          <w:lang w:val="en-US" w:eastAsia="zh-CN" w:bidi="ar-SA"/>
        </w:rPr>
        <w:t>截至2023年末，盐边县文化馆年末在职人员5人，退休人员10人。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w:t>
      </w:r>
      <w:r>
        <w:rPr>
          <w:rFonts w:hint="eastAsia" w:eastAsia="黑体" w:cs="Times New Roman"/>
          <w:color w:val="auto"/>
          <w:sz w:val="32"/>
          <w:szCs w:val="32"/>
          <w:lang w:eastAsia="zh-CN"/>
        </w:rPr>
        <w:t>财政</w:t>
      </w:r>
      <w:r>
        <w:rPr>
          <w:rFonts w:hint="default" w:ascii="Times New Roman" w:hAnsi="Times New Roman" w:eastAsia="黑体" w:cs="Times New Roman"/>
          <w:color w:val="auto"/>
          <w:sz w:val="32"/>
          <w:szCs w:val="32"/>
        </w:rPr>
        <w:t>资金收支情况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w:t>
      </w:r>
      <w:r>
        <w:rPr>
          <w:rFonts w:hint="eastAsia" w:eastAsia="楷体_GB2312" w:cs="Times New Roman"/>
          <w:b/>
          <w:color w:val="auto"/>
          <w:sz w:val="32"/>
          <w:szCs w:val="32"/>
          <w:lang w:eastAsia="zh-CN"/>
        </w:rPr>
        <w:t>部门财政资金</w:t>
      </w:r>
      <w:r>
        <w:rPr>
          <w:rFonts w:hint="default" w:ascii="Times New Roman" w:hAnsi="Times New Roman" w:eastAsia="楷体_GB2312" w:cs="Times New Roman"/>
          <w:b/>
          <w:color w:val="auto"/>
          <w:sz w:val="32"/>
          <w:szCs w:val="32"/>
        </w:rPr>
        <w:t>收入情况。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盐边县文化馆部门2023年年初预算收入280.19万元，其中：一般公共预算财政拨款收入280.19万元，占100%。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2023年度决算报表收入合计280.19万元，其中：一般公共预算财政拨款收入280.19万元，占100 %；其他收入0万元，占0%。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盐边县文化馆部门决算收入较年初预算收入有所增加，主要为项目增加。</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eastAsia="zh-CN"/>
        </w:rPr>
        <w:t>）</w:t>
      </w:r>
      <w:r>
        <w:rPr>
          <w:rFonts w:hint="eastAsia" w:eastAsia="楷体_GB2312" w:cs="Times New Roman"/>
          <w:b/>
          <w:color w:val="auto"/>
          <w:sz w:val="32"/>
          <w:szCs w:val="32"/>
          <w:lang w:eastAsia="zh-CN"/>
        </w:rPr>
        <w:t>部门财政资金</w:t>
      </w:r>
      <w:r>
        <w:rPr>
          <w:rFonts w:hint="default" w:ascii="Times New Roman" w:hAnsi="Times New Roman" w:eastAsia="楷体_GB2312" w:cs="Times New Roman"/>
          <w:b/>
          <w:color w:val="auto"/>
          <w:sz w:val="32"/>
          <w:szCs w:val="32"/>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盐边县</w:t>
      </w:r>
      <w:r>
        <w:rPr>
          <w:rFonts w:hint="eastAsia" w:eastAsia="方正仿宋_GB2312" w:cs="Times New Roman"/>
          <w:color w:val="auto"/>
          <w:kern w:val="2"/>
          <w:sz w:val="32"/>
          <w:szCs w:val="32"/>
          <w:lang w:val="en-US" w:eastAsia="zh-CN" w:bidi="ar-SA"/>
        </w:rPr>
        <w:t>文化馆</w:t>
      </w:r>
      <w:r>
        <w:rPr>
          <w:rFonts w:hint="default" w:ascii="Times New Roman" w:hAnsi="Times New Roman" w:eastAsia="方正仿宋_GB2312" w:cs="Times New Roman"/>
          <w:color w:val="auto"/>
          <w:kern w:val="2"/>
          <w:sz w:val="32"/>
          <w:szCs w:val="32"/>
          <w:lang w:val="en-US" w:eastAsia="zh-CN" w:bidi="ar-SA"/>
        </w:rPr>
        <w:t>部门2023年年初预算支出280.19万元，基本支出124.04万元，占44.26%；项目支出156.15万元，占55.73%。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盐边县文化馆</w:t>
      </w:r>
      <w:r>
        <w:rPr>
          <w:rFonts w:hint="eastAsia" w:eastAsia="方正仿宋_GB2312" w:cs="Times New Roman"/>
          <w:color w:val="auto"/>
          <w:kern w:val="2"/>
          <w:sz w:val="32"/>
          <w:szCs w:val="32"/>
          <w:lang w:val="en-US" w:eastAsia="zh-CN" w:bidi="ar-SA"/>
        </w:rPr>
        <w:t>部门</w:t>
      </w:r>
      <w:r>
        <w:rPr>
          <w:rFonts w:hint="default" w:ascii="Times New Roman" w:hAnsi="Times New Roman" w:eastAsia="方正仿宋_GB2312" w:cs="Times New Roman"/>
          <w:color w:val="auto"/>
          <w:kern w:val="2"/>
          <w:sz w:val="32"/>
          <w:szCs w:val="32"/>
          <w:lang w:val="en-US" w:eastAsia="zh-CN" w:bidi="ar-SA"/>
        </w:rPr>
        <w:t>决算支出较年初预算支出有所增加，主要为项目增加。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三、部门</w:t>
      </w:r>
      <w:r>
        <w:rPr>
          <w:rFonts w:hint="eastAsia" w:eastAsia="黑体" w:cs="Times New Roman"/>
          <w:color w:val="auto"/>
          <w:sz w:val="32"/>
          <w:szCs w:val="32"/>
          <w:lang w:eastAsia="zh-CN"/>
        </w:rPr>
        <w:t>整体</w:t>
      </w:r>
      <w:r>
        <w:rPr>
          <w:rFonts w:hint="default" w:ascii="Times New Roman" w:hAnsi="Times New Roman" w:eastAsia="黑体" w:cs="Times New Roman"/>
          <w:color w:val="auto"/>
          <w:sz w:val="32"/>
          <w:szCs w:val="32"/>
        </w:rPr>
        <w:t>预算绩效</w:t>
      </w:r>
      <w:r>
        <w:rPr>
          <w:rFonts w:hint="eastAsia" w:eastAsia="黑体" w:cs="Times New Roman"/>
          <w:color w:val="auto"/>
          <w:sz w:val="32"/>
          <w:szCs w:val="32"/>
          <w:lang w:eastAsia="zh-CN"/>
        </w:rPr>
        <w:t>管理情况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color w:val="auto"/>
          <w:sz w:val="32"/>
          <w:szCs w:val="32"/>
        </w:rPr>
        <w:t>（一）部门预算</w:t>
      </w:r>
      <w:r>
        <w:rPr>
          <w:rFonts w:hint="eastAsia" w:eastAsia="楷体_GB2312" w:cs="Times New Roman"/>
          <w:b/>
          <w:color w:val="auto"/>
          <w:sz w:val="32"/>
          <w:szCs w:val="32"/>
          <w:lang w:eastAsia="zh-CN"/>
        </w:rPr>
        <w:t>项目绩效管理</w:t>
      </w:r>
      <w:r>
        <w:rPr>
          <w:rFonts w:hint="default" w:ascii="Times New Roman" w:hAnsi="Times New Roman" w:eastAsia="楷体_GB2312" w:cs="Times New Roman"/>
          <w:b/>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2312" w:cs="Times New Roman"/>
          <w:b/>
          <w:bCs/>
          <w:color w:val="auto"/>
          <w:kern w:val="2"/>
          <w:sz w:val="32"/>
          <w:szCs w:val="32"/>
          <w:lang w:val="en-US" w:eastAsia="zh-CN" w:bidi="ar-SA"/>
        </w:rPr>
      </w:pPr>
      <w:r>
        <w:rPr>
          <w:rFonts w:hint="eastAsia" w:ascii="方正仿宋_GB2312" w:hAnsi="方正仿宋_GB2312" w:eastAsia="方正仿宋_GB2312" w:cs="方正仿宋_GB2312"/>
          <w:sz w:val="32"/>
          <w:szCs w:val="32"/>
        </w:rPr>
        <w:t>部门绩效目标制定，按照年度项目开展情况，提出开展目标绩效的自评工作、目标实现全年资金拨付和使用均按计划进度完成，在资金的使用上，严守法律底线、纪律底线，无违反财务管理、财经纪律情况发生，会计核算真实完整，项目资金支出和原定用途、预算批复用途相符，财政资金使用效率进一步提高。在资金的管理方面，进一步强化资金统筹，优化资金结构，明确开支范围，细化资金用途，确保各项工作的顺利开展和财政资金的有效使用，无资金使用违规记录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仿宋_GB2312" w:cs="Times New Roman"/>
          <w:b/>
          <w:bCs/>
          <w:color w:val="auto"/>
          <w:kern w:val="2"/>
          <w:sz w:val="32"/>
          <w:szCs w:val="32"/>
          <w:lang w:val="en-US" w:eastAsia="zh-CN" w:bidi="ar-SA"/>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二</w:t>
      </w: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结果应用情况</w:t>
      </w:r>
      <w:r>
        <w:rPr>
          <w:rFonts w:hint="default" w:ascii="Times New Roman" w:hAnsi="Times New Roman" w:eastAsia="楷体_GB2312" w:cs="Times New Roman"/>
          <w:b/>
          <w:color w:val="auto"/>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eastAsia" w:ascii="方正仿宋_GB2312" w:hAnsi="方正仿宋_GB2312" w:eastAsia="方正仿宋_GB2312" w:cs="方正仿宋_GB2312"/>
          <w:sz w:val="32"/>
          <w:szCs w:val="32"/>
        </w:rPr>
        <w:t>根据绩效自评结果，改进管理措施，完善管理办法，调整和优化支出结构，对绩效自评中发现的问题及时制定整改措施。绩效自评结果将按照政府信息公开有关规定，在规定范围内公开。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三</w:t>
      </w:r>
      <w:r>
        <w:rPr>
          <w:rFonts w:hint="default" w:ascii="Times New Roman" w:hAnsi="Times New Roman" w:eastAsia="楷体_GB2312" w:cs="Times New Roman"/>
          <w:b/>
          <w:color w:val="auto"/>
          <w:sz w:val="32"/>
          <w:szCs w:val="32"/>
        </w:rPr>
        <w:t>）</w:t>
      </w:r>
      <w:r>
        <w:rPr>
          <w:rFonts w:hint="eastAsia" w:eastAsia="楷体_GB2312" w:cs="Times New Roman"/>
          <w:b/>
          <w:color w:val="auto"/>
          <w:sz w:val="32"/>
          <w:szCs w:val="32"/>
          <w:lang w:eastAsia="zh-CN"/>
        </w:rPr>
        <w:t>自评质量</w:t>
      </w:r>
      <w:r>
        <w:rPr>
          <w:rFonts w:hint="default" w:ascii="Times New Roman" w:hAnsi="Times New Roman" w:eastAsia="楷体_GB2312" w:cs="Times New Roman"/>
          <w:b/>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en-US" w:eastAsia="zh-CN" w:bidi="ar-SA"/>
        </w:rPr>
      </w:pPr>
      <w:r>
        <w:rPr>
          <w:rFonts w:hint="default" w:ascii="Times New Roman" w:hAnsi="Times New Roman" w:eastAsia="方正仿宋_GB2312" w:cs="Times New Roman"/>
          <w:color w:val="auto"/>
          <w:kern w:val="2"/>
          <w:sz w:val="32"/>
          <w:szCs w:val="32"/>
          <w:lang w:val="en-US" w:eastAsia="zh-CN" w:bidi="ar-SA"/>
        </w:rPr>
        <w:t>2023年</w:t>
      </w:r>
      <w:r>
        <w:rPr>
          <w:rFonts w:hint="eastAsia" w:eastAsia="方正仿宋_GB2312" w:cs="Times New Roman"/>
          <w:color w:val="auto"/>
          <w:kern w:val="2"/>
          <w:sz w:val="32"/>
          <w:szCs w:val="32"/>
          <w:lang w:val="en-US" w:eastAsia="zh-CN" w:bidi="ar-SA"/>
        </w:rPr>
        <w:t>度</w:t>
      </w:r>
      <w:r>
        <w:rPr>
          <w:rFonts w:hint="default" w:ascii="Times New Roman" w:hAnsi="Times New Roman" w:eastAsia="方正仿宋_GB2312" w:cs="Times New Roman"/>
          <w:color w:val="auto"/>
          <w:kern w:val="2"/>
          <w:sz w:val="32"/>
          <w:szCs w:val="32"/>
          <w:lang w:val="en-US" w:eastAsia="zh-CN" w:bidi="ar-SA"/>
        </w:rPr>
        <w:t>，盐边县文化馆在上级主管部门的指导下，全力推进国家公共文化服务体系示范区创新发展，展示盐边县在政治、经济、文化、社会、生态文明等方面取得的成就，进一步丰富群众文化生活，全面提升公共文化服务。2023年完成民生实事项目免费开放资金40万元，资金下达比例100%，圆满完成省级民生实事任务。组织开展22年表彰表扬大会暨23年新春慰问演、围湖音乐会、沸腾吧</w:t>
      </w:r>
      <w:r>
        <w:rPr>
          <w:rFonts w:hint="eastAsia" w:eastAsia="方正仿宋_GB2312" w:cs="Times New Roman"/>
          <w:color w:val="auto"/>
          <w:kern w:val="2"/>
          <w:sz w:val="32"/>
          <w:szCs w:val="32"/>
          <w:lang w:val="en-US" w:eastAsia="zh-CN" w:bidi="ar-SA"/>
        </w:rPr>
        <w:t>！</w:t>
      </w:r>
      <w:r>
        <w:rPr>
          <w:rFonts w:hint="default" w:ascii="Times New Roman" w:hAnsi="Times New Roman" w:eastAsia="方正仿宋_GB2312" w:cs="Times New Roman"/>
          <w:color w:val="auto"/>
          <w:kern w:val="2"/>
          <w:sz w:val="32"/>
          <w:szCs w:val="32"/>
          <w:lang w:val="en-US" w:eastAsia="zh-CN" w:bidi="ar-SA"/>
        </w:rPr>
        <w:t>乡村2023四川农民春晚、参加攀枝花市群众广场舞蹈暨街舞集中展演、参加第三届艺术节四川群星奖决赛，开展送文化下乡等公共文化服务创建活动，完成资金支付69.65万元，完成项目进度96.77%。参加四川省第十六届少数民统体育运动会展演、开展省级非物质文化遗产保护项目传承、</w:t>
      </w:r>
      <w:r>
        <w:rPr>
          <w:rFonts w:hint="eastAsia" w:eastAsia="方正仿宋_GB2312" w:cs="Times New Roman"/>
          <w:color w:val="auto"/>
          <w:kern w:val="2"/>
          <w:sz w:val="32"/>
          <w:szCs w:val="32"/>
          <w:lang w:val="en-US" w:eastAsia="zh-CN" w:bidi="ar-SA"/>
        </w:rPr>
        <w:t>完成</w:t>
      </w:r>
      <w:r>
        <w:rPr>
          <w:rFonts w:hint="default" w:ascii="Times New Roman" w:hAnsi="Times New Roman" w:eastAsia="方正仿宋_GB2312" w:cs="Times New Roman"/>
          <w:color w:val="auto"/>
          <w:kern w:val="2"/>
          <w:sz w:val="32"/>
          <w:szCs w:val="32"/>
          <w:lang w:val="en-US" w:eastAsia="zh-CN" w:bidi="ar-SA"/>
        </w:rPr>
        <w:t>2021年度总结表彰表扬大会和2022年新春慰问演出，完成率100%。开展傈僳族非物质文化遗产保护传承及创新发展，项目已全部完成，资金未支付。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color w:val="auto"/>
          <w:kern w:val="2"/>
          <w:sz w:val="32"/>
          <w:szCs w:val="32"/>
          <w:lang w:val="zh-CN" w:eastAsia="zh-CN" w:bidi="ar-SA"/>
        </w:rPr>
      </w:pPr>
      <w:r>
        <w:rPr>
          <w:rFonts w:hint="default" w:ascii="Times New Roman" w:hAnsi="Times New Roman" w:eastAsia="方正仿宋_GB2312" w:cs="Times New Roman"/>
          <w:color w:val="auto"/>
          <w:kern w:val="2"/>
          <w:sz w:val="32"/>
          <w:szCs w:val="32"/>
          <w:lang w:val="en-US" w:eastAsia="zh-CN" w:bidi="ar-SA"/>
        </w:rPr>
        <w:t>2023年</w:t>
      </w:r>
      <w:r>
        <w:rPr>
          <w:rFonts w:hint="eastAsia" w:eastAsia="方正仿宋_GB2312" w:cs="Times New Roman"/>
          <w:color w:val="auto"/>
          <w:kern w:val="2"/>
          <w:sz w:val="32"/>
          <w:szCs w:val="32"/>
          <w:lang w:val="en-US" w:eastAsia="zh-CN" w:bidi="ar-SA"/>
        </w:rPr>
        <w:t>度</w:t>
      </w:r>
      <w:r>
        <w:rPr>
          <w:rFonts w:hint="default" w:ascii="Times New Roman" w:hAnsi="Times New Roman" w:eastAsia="方正仿宋_GB2312" w:cs="Times New Roman"/>
          <w:color w:val="auto"/>
          <w:kern w:val="2"/>
          <w:sz w:val="32"/>
          <w:szCs w:val="32"/>
          <w:lang w:val="en-US" w:eastAsia="zh-CN" w:bidi="ar-SA"/>
        </w:rPr>
        <w:t>，盐边县文化馆实现正常运转，保障了日常工作任务而发生的人员支出和公用支出，更好地履行文化馆、图书馆、文化遗产保护等方面的职能职责，促进文化事业发展。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rPr>
        <w:t>（一）评价结论。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Style w:val="18"/>
          <w:rFonts w:hint="default" w:ascii="Times New Roman" w:hAnsi="Times New Roman" w:eastAsia="方正仿宋_GB2312" w:cs="Times New Roman"/>
          <w:b w:val="0"/>
          <w:bCs/>
          <w:color w:val="000000"/>
          <w:sz w:val="32"/>
          <w:szCs w:val="32"/>
          <w:lang w:eastAsia="zh-CN"/>
        </w:rPr>
      </w:pPr>
      <w:r>
        <w:rPr>
          <w:rStyle w:val="18"/>
          <w:rFonts w:hint="default" w:ascii="Times New Roman" w:hAnsi="Times New Roman" w:eastAsia="方正仿宋_GB2312" w:cs="Times New Roman"/>
          <w:b w:val="0"/>
          <w:bCs/>
          <w:color w:val="000000"/>
          <w:sz w:val="32"/>
          <w:szCs w:val="32"/>
          <w:lang w:eastAsia="zh-CN"/>
        </w:rPr>
        <w:t>2023年度，盐边县文化馆结合工作职能、评价重点及管理办法等要求，围绕预算编制、预算执行、支出绩效等方面进行总体评价，部门支出绩效指标达到了预期设定的目标值，总体绩效目标完成较好，绩效自评得分96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Style w:val="18"/>
          <w:rFonts w:hint="default" w:ascii="Times New Roman" w:hAnsi="Times New Roman" w:eastAsia="方正仿宋_GB2312" w:cs="Times New Roman"/>
          <w:b w:val="0"/>
          <w:bCs/>
          <w:color w:val="000000"/>
          <w:sz w:val="32"/>
          <w:szCs w:val="32"/>
          <w:lang w:eastAsia="zh-CN"/>
        </w:rPr>
      </w:pPr>
      <w:r>
        <w:rPr>
          <w:rStyle w:val="18"/>
          <w:rFonts w:hint="default" w:ascii="Times New Roman" w:hAnsi="Times New Roman" w:eastAsia="方正仿宋_GB2312" w:cs="Times New Roman"/>
          <w:b w:val="0"/>
          <w:bCs/>
          <w:color w:val="000000"/>
          <w:sz w:val="32"/>
          <w:szCs w:val="32"/>
          <w:lang w:eastAsia="zh-CN"/>
        </w:rPr>
        <w:t>存在的问题主要是专项资金预算不足。一方面部门专项资金预算下达时间较晚，导致后期集中报账，造成支出不够严谨；另一方面预算的严重压缩及库款紧张导致公用经费及项目经费未能按进度支付，导致预算执行率不高，严重影响项目进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sz w:val="32"/>
          <w:szCs w:val="32"/>
          <w:lang w:eastAsia="zh-CN"/>
        </w:rPr>
        <w:t>）</w:t>
      </w:r>
      <w:r>
        <w:rPr>
          <w:rFonts w:hint="default" w:ascii="Times New Roman" w:hAnsi="Times New Roman" w:eastAsia="楷体_GB2312" w:cs="Times New Roman"/>
          <w:b/>
          <w:color w:val="auto"/>
          <w:sz w:val="32"/>
          <w:szCs w:val="32"/>
        </w:rPr>
        <w:t>改进建议。</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auto"/>
          <w:kern w:val="0"/>
          <w:sz w:val="32"/>
          <w:szCs w:val="32"/>
          <w:shd w:val="clear" w:color="auto" w:fill="FFFFFF"/>
          <w:lang w:val="en-US" w:eastAsia="zh-CN" w:bidi="ar-SA"/>
        </w:rPr>
        <w:t>1.科学编制预算。</w:t>
      </w:r>
      <w:r>
        <w:rPr>
          <w:rFonts w:hint="eastAsia" w:ascii="方正仿宋_GB2312" w:hAnsi="方正仿宋_GB2312" w:eastAsia="方正仿宋_GB2312" w:cs="方正仿宋_GB2312"/>
          <w:sz w:val="32"/>
          <w:szCs w:val="32"/>
        </w:rPr>
        <w:t>按照《中华人民共和国预算法》及其实施条例的相关规定，结合上一年的预算执行情况和本年度收支预测</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科学、合理地编制本年度预算。</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auto"/>
          <w:kern w:val="0"/>
          <w:sz w:val="32"/>
          <w:szCs w:val="32"/>
          <w:shd w:val="clear" w:color="auto" w:fill="FFFFFF"/>
          <w:lang w:val="en-US" w:eastAsia="zh-CN" w:bidi="ar-SA"/>
        </w:rPr>
        <w:t>2.加快资金支付进度。</w:t>
      </w:r>
      <w:r>
        <w:rPr>
          <w:rFonts w:hint="eastAsia" w:ascii="方正仿宋_GB2312" w:hAnsi="方正仿宋_GB2312" w:eastAsia="方正仿宋_GB2312" w:cs="方正仿宋_GB2312"/>
          <w:sz w:val="32"/>
          <w:szCs w:val="32"/>
          <w:lang w:eastAsia="zh-CN"/>
        </w:rPr>
        <w:t>各级</w:t>
      </w:r>
      <w:r>
        <w:rPr>
          <w:rFonts w:hint="eastAsia" w:ascii="方正仿宋_GB2312" w:hAnsi="方正仿宋_GB2312" w:eastAsia="方正仿宋_GB2312" w:cs="方正仿宋_GB2312"/>
          <w:sz w:val="32"/>
          <w:szCs w:val="32"/>
        </w:rPr>
        <w:t>财政应尽早下达</w:t>
      </w:r>
      <w:r>
        <w:rPr>
          <w:rFonts w:hint="eastAsia" w:ascii="方正仿宋_GB2312" w:hAnsi="方正仿宋_GB2312" w:eastAsia="方正仿宋_GB2312" w:cs="方正仿宋_GB2312"/>
          <w:sz w:val="32"/>
          <w:szCs w:val="32"/>
          <w:lang w:eastAsia="zh-CN"/>
        </w:rPr>
        <w:t>预算</w:t>
      </w:r>
      <w:r>
        <w:rPr>
          <w:rFonts w:hint="eastAsia" w:ascii="方正仿宋_GB2312" w:hAnsi="方正仿宋_GB2312" w:eastAsia="方正仿宋_GB2312" w:cs="方正仿宋_GB2312"/>
          <w:sz w:val="32"/>
          <w:szCs w:val="32"/>
        </w:rPr>
        <w:t>，最大化保障支出的准确性和执行率。同时加大财政支付力度，确保项目顺利完成。</w:t>
      </w:r>
    </w:p>
    <w:p>
      <w:pPr>
        <w:pStyle w:val="10"/>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color w:val="auto"/>
          <w:kern w:val="0"/>
          <w:sz w:val="32"/>
          <w:szCs w:val="32"/>
          <w:shd w:val="clear" w:color="auto" w:fill="FFFFFF"/>
          <w:lang w:val="en-US" w:eastAsia="zh-CN" w:bidi="ar-SA"/>
        </w:rPr>
        <w:t>3.加强财务人员业务培训。</w:t>
      </w:r>
      <w:r>
        <w:rPr>
          <w:rFonts w:hint="eastAsia" w:ascii="方正仿宋_GB2312" w:hAnsi="方正仿宋_GB2312" w:eastAsia="方正仿宋_GB2312" w:cs="方正仿宋_GB2312"/>
          <w:sz w:val="32"/>
          <w:szCs w:val="32"/>
        </w:rPr>
        <w:t>定期进行项目管理、资金使用、财政监督、绩效目标等内容的培训，提高</w:t>
      </w:r>
      <w:r>
        <w:rPr>
          <w:rFonts w:hint="eastAsia" w:ascii="方正仿宋_GB2312" w:hAnsi="方正仿宋_GB2312" w:eastAsia="方正仿宋_GB2312" w:cs="方正仿宋_GB2312"/>
          <w:sz w:val="32"/>
          <w:szCs w:val="32"/>
          <w:lang w:eastAsia="zh-CN"/>
        </w:rPr>
        <w:t>财务</w:t>
      </w:r>
      <w:r>
        <w:rPr>
          <w:rFonts w:hint="eastAsia" w:ascii="方正仿宋_GB2312" w:hAnsi="方正仿宋_GB2312" w:eastAsia="方正仿宋_GB2312" w:cs="方正仿宋_GB2312"/>
          <w:sz w:val="32"/>
          <w:szCs w:val="32"/>
        </w:rPr>
        <w:t>人员的管理水平</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掌握资金申报、审核、拨付流程。</w:t>
      </w:r>
    </w:p>
    <w:p>
      <w:pPr>
        <w:pStyle w:val="10"/>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auto"/>
          <w:kern w:val="0"/>
          <w:sz w:val="32"/>
          <w:szCs w:val="32"/>
          <w:shd w:val="clear" w:color="auto" w:fill="FFFFFF"/>
          <w:lang w:val="en-US" w:eastAsia="zh-CN" w:bidi="ar-SA"/>
        </w:rPr>
        <w:t>4.加强绩效管理。</w:t>
      </w:r>
      <w:r>
        <w:rPr>
          <w:rFonts w:hint="eastAsia" w:ascii="方正仿宋_GB2312" w:hAnsi="方正仿宋_GB2312" w:eastAsia="方正仿宋_GB2312" w:cs="方正仿宋_GB2312"/>
          <w:sz w:val="32"/>
          <w:szCs w:val="32"/>
        </w:rPr>
        <w:t>对重点资金项目实施事前绩效评估、事中监控管理、事后绩效评价，确保财政资金安全、有效，发挥最大效益和价值。</w:t>
      </w: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附表：部门预算项目支出绩效自评表（2023年度）</w:t>
      </w: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附件2</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2022年公共文化服务体系建设项目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专项预算项目绩效评价报告范本</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color w:val="auto"/>
          <w:sz w:val="32"/>
          <w:szCs w:val="32"/>
          <w:lang w:val="zh-CN"/>
        </w:rPr>
      </w:pP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zh-CN"/>
        </w:rPr>
        <w:t>一、项目概况</w:t>
      </w:r>
    </w:p>
    <w:p>
      <w:pPr>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w:t>
      </w:r>
      <w:r>
        <w:rPr>
          <w:rFonts w:hint="eastAsia" w:eastAsia="楷体_GB2312" w:cs="Times New Roman"/>
          <w:b/>
          <w:color w:val="auto"/>
          <w:sz w:val="32"/>
          <w:szCs w:val="32"/>
          <w:lang w:val="zh-CN"/>
        </w:rPr>
        <w:t>项目</w:t>
      </w:r>
      <w:r>
        <w:rPr>
          <w:rFonts w:hint="default" w:ascii="Times New Roman" w:hAnsi="Times New Roman" w:eastAsia="楷体_GB2312" w:cs="Times New Roman"/>
          <w:b/>
          <w:color w:val="auto"/>
          <w:sz w:val="32"/>
          <w:szCs w:val="32"/>
          <w:lang w:val="zh-CN"/>
        </w:rPr>
        <w:t>基本情况。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根据中央宣传部、中央文明办的指导精神，盐边县文化馆积极开展培育社会主义核心价值观，充分发挥“文化富民、文化育民、文化乐民”的引领作用，努力实现公共文化服务便利化和均等化，着力丰富群众精神文化生活，助推乡村振兴建设，为建设钒钛首县、滋味盐边提供精神动力和文化支撑，激发广大群众砥砺奋进，创造美丽盐边。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b/>
          <w:color w:val="auto"/>
          <w:sz w:val="32"/>
          <w:szCs w:val="32"/>
          <w:lang w:val="zh-CN"/>
        </w:rPr>
      </w:pPr>
      <w:r>
        <w:rPr>
          <w:rFonts w:hint="default" w:ascii="Times New Roman" w:hAnsi="Times New Roman" w:eastAsia="方正仿宋_GB2312" w:cs="Times New Roman"/>
          <w:sz w:val="32"/>
          <w:szCs w:val="32"/>
          <w:lang w:eastAsia="zh-CN"/>
        </w:rPr>
        <w:t>根据《四川省财政厅关于下达</w:t>
      </w:r>
      <w:r>
        <w:rPr>
          <w:rFonts w:hint="default" w:ascii="Times New Roman" w:hAnsi="Times New Roman" w:eastAsia="方正仿宋_GB2312" w:cs="Times New Roman"/>
          <w:sz w:val="32"/>
          <w:szCs w:val="32"/>
          <w:lang w:val="en-US" w:eastAsia="zh-CN"/>
        </w:rPr>
        <w:t>2022年中央支持地方公共文化服务体系建设补助资金（一般项目、绩效奖励）预算的通知</w:t>
      </w:r>
      <w:r>
        <w:rPr>
          <w:rFonts w:hint="default" w:ascii="Times New Roman" w:hAnsi="Times New Roman" w:eastAsia="方正仿宋_GB2312" w:cs="Times New Roman"/>
          <w:sz w:val="32"/>
          <w:szCs w:val="32"/>
          <w:lang w:eastAsia="zh-CN"/>
        </w:rPr>
        <w:t>》（川财教〔</w:t>
      </w:r>
      <w:r>
        <w:rPr>
          <w:rFonts w:hint="default" w:ascii="Times New Roman" w:hAnsi="Times New Roman" w:eastAsia="方正仿宋_GB2312" w:cs="Times New Roman"/>
          <w:sz w:val="32"/>
          <w:szCs w:val="32"/>
          <w:lang w:val="en-US" w:eastAsia="zh-CN"/>
        </w:rPr>
        <w:t>2022</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137号），下达我馆2022年公共文化服务体系建设补助资金88.4736万元，2023年余项目资金71.97万元，主要用于开展送文化下乡、群众文体活动、文化培训和图书馆评估定级等。</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项目绩效目标</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内容：按照《文化部、财政部关于开展第四批国家公共文化服务体系示范区（项目）创建工作的通知》（文公共发〔2017〕25号）和《中共攀枝花市委办公室 攀枝花市人民政府办公室关于创建国家公共文化服务体系示范区的实施意见》（攀委办发〔2018〕19号）文件的相应要求进行部署，制定工作计划、编制项目实施方案，开展公共文化服务体系建设工作。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目标：建成覆盖城乡、便捷高效、保基本、促公平的现</w:t>
      </w:r>
      <w:r>
        <w:rPr>
          <w:rFonts w:hint="eastAsia" w:ascii="方正仿宋_GB2312" w:hAnsi="方正仿宋_GB2312" w:eastAsia="方正仿宋_GB2312" w:cs="方正仿宋_GB2312"/>
          <w:sz w:val="32"/>
          <w:szCs w:val="32"/>
          <w:lang w:val="en-US" w:eastAsia="zh-CN"/>
        </w:rPr>
        <w:t>代公共文化服务体系，提升全县公共文化服务质量。</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w:t>
      </w:r>
      <w:r>
        <w:rPr>
          <w:rFonts w:hint="default" w:ascii="Times New Roman" w:hAnsi="Times New Roman" w:eastAsia="楷体_GB2312" w:cs="Times New Roman"/>
          <w:b/>
          <w:color w:val="auto"/>
          <w:sz w:val="32"/>
          <w:szCs w:val="32"/>
          <w:lang w:val="en-US" w:eastAsia="zh-CN"/>
        </w:rPr>
        <w:t>三</w:t>
      </w: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项目自评步骤及方法</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zh-CN" w:eastAsia="zh-CN"/>
        </w:rPr>
      </w:pPr>
      <w:r>
        <w:rPr>
          <w:rFonts w:hint="eastAsia" w:ascii="方正仿宋_GB2312" w:hAnsi="方正仿宋_GB2312" w:eastAsia="方正仿宋_GB2312" w:cs="方正仿宋_GB2312"/>
          <w:sz w:val="32"/>
          <w:szCs w:val="32"/>
          <w:lang w:val="zh-CN" w:eastAsia="zh-CN"/>
        </w:rPr>
        <w:t>按照有关规定和工作安排，盐边县文化馆组建评估组，开展自行评估，通过收集被评估项目相关基础资料，并查阅资料、收集数据信息等，深入论证分析后，形成绩效评估报告。综合分析相关情况后，对项目的立项必要性、投入经济性、目标合理性、方案可行性以及筹资合规性实施评估。</w:t>
      </w:r>
    </w:p>
    <w:p>
      <w:pPr>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eastAsia" w:ascii="黑体" w:hAnsi="黑体" w:eastAsia="黑体" w:cs="黑体"/>
          <w:b w:val="0"/>
          <w:bCs/>
          <w:color w:val="auto"/>
          <w:sz w:val="32"/>
          <w:szCs w:val="32"/>
          <w:lang w:val="zh-CN"/>
        </w:rPr>
      </w:pPr>
      <w:r>
        <w:rPr>
          <w:rFonts w:hint="eastAsia" w:ascii="黑体" w:hAnsi="黑体" w:eastAsia="黑体" w:cs="黑体"/>
          <w:b w:val="0"/>
          <w:bCs/>
          <w:color w:val="auto"/>
          <w:sz w:val="32"/>
          <w:szCs w:val="32"/>
          <w:lang w:val="zh-CN"/>
        </w:rPr>
        <w:t>二、项目资金申报及使用情况</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一</w:t>
      </w: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项目资金申报及批复情况</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lang w:val="zh-CN" w:eastAsia="zh-CN"/>
        </w:rPr>
      </w:pPr>
      <w:r>
        <w:rPr>
          <w:rFonts w:hint="default" w:ascii="Times New Roman" w:hAnsi="Times New Roman" w:eastAsia="方正仿宋_GB2312" w:cs="Times New Roman"/>
          <w:sz w:val="32"/>
          <w:szCs w:val="32"/>
          <w:lang w:val="en-US" w:eastAsia="zh-CN"/>
        </w:rPr>
        <w:t>根据《四川省财政厅关于下达2022年中央支持地方公共文化服务体系建设补助资金（一般项目、绩效奖励）预算的通知》（川财教〔2022〕137号），下达我馆2022年公共文化服务体系建设补助资金88.4736万元，2023年余项目资金71.97万元，主要用于开展送文化下乡、群众文体活动、文化培训和图书馆评估定级等。</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（二）资金计划、到位及使用情况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根据《四川省财政厅关于下达2022年中央支持地方公共文化服务体系建设补助资金（一般项目、绩效奖励）预算的通知》（川财教〔2022〕137号），下达我馆2022年公共文化服务体系建设补助资金88.4736万元，2023年余项目资金71.97万元，主要用于开展送文化下乡、群众文体活动、文化培训和图书馆评估定级等。</w:t>
      </w:r>
    </w:p>
    <w:p>
      <w:pPr>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黑体" w:cs="Times New Roman"/>
          <w:color w:val="auto"/>
          <w:sz w:val="32"/>
          <w:szCs w:val="32"/>
          <w:lang w:val="zh-CN"/>
        </w:rPr>
      </w:pPr>
      <w:r>
        <w:rPr>
          <w:rFonts w:hint="eastAsia" w:eastAsia="楷体_GB2312" w:cs="Times New Roman"/>
          <w:b/>
          <w:color w:val="auto"/>
          <w:sz w:val="32"/>
          <w:szCs w:val="32"/>
          <w:lang w:val="zh-CN" w:eastAsia="zh-CN"/>
        </w:rPr>
        <w:t>（三）项目财务管理情况</w:t>
      </w:r>
      <w:r>
        <w:rPr>
          <w:rFonts w:hint="default" w:ascii="Times New Roman" w:hAnsi="Times New Roman" w:eastAsia="楷体_GB2312" w:cs="Times New Roman"/>
          <w:b/>
          <w:color w:val="auto"/>
          <w:sz w:val="32"/>
          <w:szCs w:val="32"/>
          <w:lang w:val="zh-CN" w:eastAsia="zh-CN"/>
        </w:rPr>
        <w:t>。</w:t>
      </w:r>
    </w:p>
    <w:p>
      <w:pPr>
        <w:pageBreakBefore w:val="0"/>
        <w:widowControl w:val="0"/>
        <w:kinsoku/>
        <w:wordWrap/>
        <w:overflowPunct/>
        <w:topLinePunct w:val="0"/>
        <w:autoSpaceDE/>
        <w:autoSpaceDN/>
        <w:bidi w:val="0"/>
        <w:spacing w:line="240" w:lineRule="auto"/>
        <w:ind w:firstLine="640" w:firstLineChars="200"/>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三</w:t>
      </w:r>
      <w:r>
        <w:rPr>
          <w:rFonts w:hint="default" w:ascii="Times New Roman" w:hAnsi="Times New Roman" w:eastAsia="黑体" w:cs="Times New Roman"/>
          <w:color w:val="auto"/>
          <w:sz w:val="32"/>
          <w:szCs w:val="32"/>
          <w:lang w:val="zh-CN"/>
        </w:rPr>
        <w:t>、</w:t>
      </w:r>
      <w:r>
        <w:rPr>
          <w:rFonts w:hint="eastAsia" w:eastAsia="黑体" w:cs="Times New Roman"/>
          <w:color w:val="auto"/>
          <w:sz w:val="32"/>
          <w:szCs w:val="32"/>
          <w:lang w:val="zh-CN"/>
        </w:rPr>
        <w:t>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b w:val="0"/>
          <w:bCs/>
          <w:color w:val="auto"/>
          <w:sz w:val="32"/>
          <w:szCs w:val="32"/>
          <w:lang w:val="zh-CN"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建设业主，行使项目法人的权利，承担项目法人的责任及义务，项目建设管理实行项目法人责任制、资金使用和项目公示制、资金拨付逐级审核制度。从规划、设计到施工、验收，均按标准操作，并及时解决了实施过程中出现的问题，以确保公共文化服务体系建设的质量和效益。</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四</w:t>
      </w:r>
      <w:r>
        <w:rPr>
          <w:rFonts w:hint="default" w:ascii="Times New Roman" w:hAnsi="Times New Roman" w:eastAsia="黑体" w:cs="Times New Roman"/>
          <w:color w:val="auto"/>
          <w:sz w:val="32"/>
          <w:szCs w:val="32"/>
          <w:lang w:val="zh-CN"/>
        </w:rPr>
        <w:t>、</w:t>
      </w:r>
      <w:r>
        <w:rPr>
          <w:rFonts w:hint="eastAsia" w:eastAsia="黑体" w:cs="Times New Roman"/>
          <w:color w:val="auto"/>
          <w:sz w:val="32"/>
          <w:szCs w:val="32"/>
          <w:lang w:val="zh-CN"/>
        </w:rPr>
        <w:t>项目绩效情况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lang w:val="en-US" w:eastAsia="zh-CN"/>
        </w:rPr>
      </w:pPr>
      <w:r>
        <w:rPr>
          <w:rFonts w:hint="default" w:ascii="Times New Roman" w:hAnsi="Times New Roman" w:eastAsia="楷体_GB2312" w:cs="Times New Roman"/>
          <w:b/>
          <w:color w:val="auto"/>
          <w:sz w:val="32"/>
          <w:szCs w:val="32"/>
          <w:lang w:val="zh-CN" w:eastAsia="zh-CN"/>
        </w:rPr>
        <w:t>（一）</w:t>
      </w:r>
      <w:r>
        <w:rPr>
          <w:rFonts w:hint="eastAsia" w:eastAsia="楷体_GB2312" w:cs="Times New Roman"/>
          <w:b/>
          <w:color w:val="auto"/>
          <w:sz w:val="32"/>
          <w:szCs w:val="32"/>
          <w:lang w:val="zh-CN" w:eastAsia="zh-CN"/>
        </w:rPr>
        <w:t>项目完成情况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2023年度，该项目完成97%。</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default" w:ascii="Times New Roman" w:hAnsi="Times New Roman" w:eastAsia="楷体_GB2312" w:cs="Times New Roman"/>
          <w:b/>
          <w:color w:val="auto"/>
          <w:sz w:val="32"/>
          <w:szCs w:val="32"/>
          <w:lang w:val="en-US"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项目效益情况</w:t>
      </w:r>
      <w:r>
        <w:rPr>
          <w:rFonts w:hint="default" w:ascii="Times New Roman" w:hAnsi="Times New Roman" w:eastAsia="楷体_GB2312" w:cs="Times New Roman"/>
          <w:b/>
          <w:color w:val="auto"/>
          <w:sz w:val="32"/>
          <w:szCs w:val="32"/>
          <w:lang w:val="zh-CN" w:eastAsia="zh-CN"/>
        </w:rPr>
        <w:t>。</w:t>
      </w:r>
    </w:p>
    <w:p>
      <w:pPr>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2312" w:cs="Times New Roman"/>
          <w:kern w:val="0"/>
          <w:sz w:val="32"/>
          <w:szCs w:val="32"/>
          <w:lang w:val="zh-CN" w:eastAsia="zh-CN"/>
        </w:rPr>
      </w:pPr>
      <w:r>
        <w:rPr>
          <w:rFonts w:hint="default" w:ascii="Times New Roman" w:hAnsi="Times New Roman" w:eastAsia="方正仿宋_GB2312" w:cs="Times New Roman"/>
          <w:b/>
          <w:bCs/>
          <w:kern w:val="0"/>
          <w:sz w:val="32"/>
          <w:szCs w:val="32"/>
          <w:lang w:val="zh-CN" w:eastAsia="zh-CN"/>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lang w:val="zh-CN" w:eastAsia="zh-CN"/>
        </w:rPr>
        <w:t>经济效益。</w:t>
      </w:r>
      <w:r>
        <w:rPr>
          <w:rFonts w:hint="default" w:ascii="Times New Roman" w:hAnsi="Times New Roman" w:eastAsia="方正仿宋_GB2312" w:cs="Times New Roman"/>
          <w:kern w:val="0"/>
          <w:sz w:val="32"/>
          <w:szCs w:val="32"/>
          <w:lang w:val="zh-CN" w:eastAsia="zh-CN"/>
        </w:rPr>
        <w:t>作为公益项目，公共文化服务体系建设推动地方经济与城市发展。</w:t>
      </w:r>
    </w:p>
    <w:p>
      <w:pPr>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2312" w:cs="Times New Roman"/>
          <w:kern w:val="0"/>
          <w:sz w:val="32"/>
          <w:szCs w:val="32"/>
          <w:lang w:val="zh-CN" w:eastAsia="zh-CN"/>
        </w:rPr>
      </w:pPr>
      <w:r>
        <w:rPr>
          <w:rFonts w:hint="default" w:ascii="Times New Roman" w:hAnsi="Times New Roman" w:eastAsia="方正仿宋_GB2312" w:cs="Times New Roman"/>
          <w:b/>
          <w:bCs/>
          <w:kern w:val="0"/>
          <w:sz w:val="32"/>
          <w:szCs w:val="32"/>
          <w:lang w:val="zh-CN" w:eastAsia="zh-CN"/>
        </w:rPr>
        <w:t>2</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lang w:val="zh-CN" w:eastAsia="zh-CN"/>
        </w:rPr>
        <w:t>社会效益。</w:t>
      </w:r>
      <w:r>
        <w:rPr>
          <w:rFonts w:hint="default" w:ascii="Times New Roman" w:hAnsi="Times New Roman" w:eastAsia="方正仿宋_GB2312" w:cs="Times New Roman"/>
          <w:kern w:val="0"/>
          <w:sz w:val="32"/>
          <w:szCs w:val="32"/>
          <w:lang w:val="zh-CN" w:eastAsia="zh-CN"/>
        </w:rPr>
        <w:t>丰富基层群众精神文化生活，提高全县公共文化服务质量。</w:t>
      </w:r>
      <w:r>
        <w:rPr>
          <w:rFonts w:hint="default" w:ascii="Times New Roman" w:hAnsi="Times New Roman" w:eastAsia="方正仿宋_GB2312" w:cs="Times New Roman"/>
          <w:kern w:val="0"/>
          <w:sz w:val="32"/>
          <w:szCs w:val="32"/>
          <w:lang w:val="zh-CN" w:eastAsia="zh-CN"/>
        </w:rPr>
        <w:br w:type="textWrapping"/>
      </w:r>
      <w:r>
        <w:rPr>
          <w:rFonts w:hint="default" w:ascii="Times New Roman" w:hAnsi="Times New Roman" w:eastAsia="方正仿宋_GB2312" w:cs="Times New Roman"/>
          <w:kern w:val="0"/>
          <w:sz w:val="32"/>
          <w:szCs w:val="32"/>
          <w:lang w:val="en-US" w:eastAsia="zh-CN"/>
        </w:rPr>
        <w:t xml:space="preserve">   </w:t>
      </w:r>
      <w:r>
        <w:rPr>
          <w:rFonts w:hint="default" w:ascii="Times New Roman" w:hAnsi="Times New Roman" w:eastAsia="方正仿宋_GB2312" w:cs="Times New Roman"/>
          <w:b/>
          <w:bCs/>
          <w:kern w:val="0"/>
          <w:sz w:val="32"/>
          <w:szCs w:val="32"/>
          <w:lang w:val="en-US" w:eastAsia="zh-CN"/>
        </w:rPr>
        <w:t xml:space="preserve"> </w:t>
      </w:r>
      <w:r>
        <w:rPr>
          <w:rFonts w:hint="default" w:ascii="Times New Roman" w:hAnsi="Times New Roman" w:eastAsia="方正仿宋_GB2312" w:cs="Times New Roman"/>
          <w:b/>
          <w:bCs/>
          <w:kern w:val="0"/>
          <w:sz w:val="32"/>
          <w:szCs w:val="32"/>
          <w:lang w:val="zh-CN" w:eastAsia="zh-CN"/>
        </w:rPr>
        <w:t>3</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lang w:val="zh-CN" w:eastAsia="zh-CN"/>
        </w:rPr>
        <w:t>可持续影响指标。</w:t>
      </w:r>
      <w:r>
        <w:rPr>
          <w:rFonts w:hint="default" w:ascii="Times New Roman" w:hAnsi="Times New Roman" w:eastAsia="方正仿宋_GB2312" w:cs="Times New Roman"/>
          <w:kern w:val="0"/>
          <w:sz w:val="32"/>
          <w:szCs w:val="32"/>
          <w:lang w:val="zh-CN" w:eastAsia="zh-CN"/>
        </w:rPr>
        <w:t>提升全县的公共文化服务水平。</w:t>
      </w:r>
    </w:p>
    <w:p>
      <w:pPr>
        <w:pageBreakBefore w:val="0"/>
        <w:widowControl w:val="0"/>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2312" w:cs="Times New Roman"/>
          <w:color w:val="auto"/>
          <w:sz w:val="32"/>
          <w:szCs w:val="32"/>
          <w:lang w:val="zh-CN"/>
        </w:rPr>
      </w:pPr>
      <w:r>
        <w:rPr>
          <w:rFonts w:hint="default" w:ascii="Times New Roman" w:hAnsi="Times New Roman" w:eastAsia="方正仿宋_GB2312" w:cs="Times New Roman"/>
          <w:b/>
          <w:bCs/>
          <w:kern w:val="0"/>
          <w:sz w:val="32"/>
          <w:szCs w:val="32"/>
          <w:lang w:val="zh-CN" w:eastAsia="zh-CN"/>
        </w:rPr>
        <w:t>4</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lang w:val="zh-CN" w:eastAsia="zh-CN"/>
        </w:rPr>
        <w:t>满意度指标。</w:t>
      </w:r>
      <w:r>
        <w:rPr>
          <w:rFonts w:hint="default" w:ascii="Times New Roman" w:hAnsi="Times New Roman" w:eastAsia="方正仿宋_GB2312" w:cs="Times New Roman"/>
          <w:kern w:val="0"/>
          <w:sz w:val="32"/>
          <w:szCs w:val="32"/>
          <w:lang w:val="zh-CN" w:eastAsia="zh-CN"/>
        </w:rPr>
        <w:t>通过项目实施，群众满意度显著提高。</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五</w:t>
      </w:r>
      <w:r>
        <w:rPr>
          <w:rFonts w:hint="default" w:ascii="Times New Roman" w:hAnsi="Times New Roman" w:eastAsia="黑体" w:cs="Times New Roman"/>
          <w:color w:val="auto"/>
          <w:sz w:val="32"/>
          <w:szCs w:val="32"/>
          <w:lang w:val="zh-CN"/>
        </w:rPr>
        <w:t>、评价结论</w:t>
      </w:r>
      <w:r>
        <w:rPr>
          <w:rFonts w:hint="eastAsia" w:eastAsia="黑体" w:cs="Times New Roman"/>
          <w:color w:val="auto"/>
          <w:sz w:val="32"/>
          <w:szCs w:val="32"/>
          <w:lang w:val="zh-CN"/>
        </w:rPr>
        <w:t>及建议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评价结论</w:t>
      </w:r>
      <w:r>
        <w:rPr>
          <w:rFonts w:hint="default" w:ascii="Times New Roman" w:hAnsi="Times New Roman" w:eastAsia="楷体_GB2312" w:cs="Times New Roman"/>
          <w:b/>
          <w:color w:val="auto"/>
          <w:sz w:val="32"/>
          <w:szCs w:val="32"/>
          <w:lang w:val="zh-CN" w:eastAsia="zh-CN"/>
        </w:rPr>
        <w:t>。</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方正仿宋_GB2312" w:cs="Times New Roman"/>
          <w:kern w:val="0"/>
          <w:sz w:val="32"/>
          <w:szCs w:val="32"/>
          <w:lang w:val="zh-CN" w:eastAsia="zh-CN"/>
        </w:rPr>
        <w:t>2023年，公共文化服务体系建设项目实施情况均按要求执行，项目产出完成情况达到了预期设定的目标值，产出指标的完成情况较好，绩效目标完成较好。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存在的问题</w:t>
      </w:r>
      <w:r>
        <w:rPr>
          <w:rFonts w:hint="default" w:ascii="Times New Roman" w:hAnsi="Times New Roman" w:eastAsia="楷体_GB2312" w:cs="Times New Roman"/>
          <w:b/>
          <w:color w:val="auto"/>
          <w:sz w:val="32"/>
          <w:szCs w:val="32"/>
          <w:lang w:val="zh-CN" w:eastAsia="zh-CN"/>
        </w:rPr>
        <w:t>。</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lang w:val="zh-CN" w:eastAsia="zh-CN"/>
        </w:rPr>
        <w:t>公共文化服务体系建设项目资金支付进度有些滞后，截止</w:t>
      </w:r>
      <w:r>
        <w:rPr>
          <w:rFonts w:hint="default" w:ascii="Times New Roman" w:hAnsi="Times New Roman" w:eastAsia="方正仿宋_GB2312" w:cs="Times New Roman"/>
          <w:kern w:val="0"/>
          <w:sz w:val="32"/>
          <w:szCs w:val="32"/>
          <w:lang w:val="en-US" w:eastAsia="zh-CN"/>
        </w:rPr>
        <w:t>2023年年底，实际执行69.65万元，剩余2.32万元，于2024年执行完毕。</w:t>
      </w:r>
    </w:p>
    <w:p>
      <w:pPr>
        <w:pStyle w:val="6"/>
        <w:pageBreakBefore w:val="0"/>
        <w:widowControl w:val="0"/>
        <w:numPr>
          <w:ilvl w:val="0"/>
          <w:numId w:val="2"/>
        </w:numPr>
        <w:tabs>
          <w:tab w:val="left" w:pos="2160"/>
        </w:tabs>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相关建议</w:t>
      </w:r>
      <w:r>
        <w:rPr>
          <w:rFonts w:hint="default" w:ascii="Times New Roman" w:hAnsi="Times New Roman" w:eastAsia="楷体_GB2312" w:cs="Times New Roman"/>
          <w:b/>
          <w:color w:val="auto"/>
          <w:sz w:val="32"/>
          <w:szCs w:val="32"/>
          <w:lang w:val="zh-CN" w:eastAsia="zh-CN"/>
        </w:rPr>
        <w:t>。</w:t>
      </w:r>
    </w:p>
    <w:p>
      <w:pPr>
        <w:pStyle w:val="6"/>
        <w:pageBreakBefore w:val="0"/>
        <w:widowControl w:val="0"/>
        <w:numPr>
          <w:ilvl w:val="0"/>
          <w:numId w:val="0"/>
        </w:numPr>
        <w:tabs>
          <w:tab w:val="left" w:pos="2160"/>
        </w:tabs>
        <w:kinsoku/>
        <w:wordWrap/>
        <w:overflowPunct/>
        <w:topLinePunct w:val="0"/>
        <w:autoSpaceDE/>
        <w:autoSpaceDN/>
        <w:bidi w:val="0"/>
        <w:spacing w:line="240" w:lineRule="auto"/>
        <w:ind w:firstLine="640" w:firstLineChars="200"/>
        <w:textAlignment w:val="auto"/>
        <w:rPr>
          <w:rFonts w:hint="eastAsia" w:ascii="方正仿宋_GB2312" w:hAnsi="方正仿宋_GB2312" w:eastAsia="方正仿宋_GB2312" w:cs="方正仿宋_GB2312"/>
          <w:kern w:val="0"/>
          <w:sz w:val="32"/>
          <w:szCs w:val="32"/>
          <w:lang w:val="en" w:eastAsia="zh-CN" w:bidi="ar-SA"/>
        </w:rPr>
      </w:pPr>
      <w:r>
        <w:rPr>
          <w:rFonts w:hint="eastAsia" w:ascii="方正仿宋_GB2312" w:hAnsi="方正仿宋_GB2312" w:eastAsia="方正仿宋_GB2312" w:cs="方正仿宋_GB2312"/>
          <w:kern w:val="0"/>
          <w:sz w:val="32"/>
          <w:szCs w:val="32"/>
          <w:lang w:val="zh-CN" w:eastAsia="zh-CN" w:bidi="ar-SA"/>
        </w:rPr>
        <w:t>一是加快项目建设进度，确保按要求完成项目建设；二是加大财政支付力度，确保项目顺利进展，圆满完成项目绩效目标。</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 xml:space="preserve"> </w:t>
      </w:r>
    </w:p>
    <w:p>
      <w:pPr>
        <w:pStyle w:val="3"/>
        <w:pageBreakBefore w:val="0"/>
        <w:widowControl w:val="0"/>
        <w:kinsoku/>
        <w:wordWrap/>
        <w:overflowPunct/>
        <w:topLinePunct w:val="0"/>
        <w:autoSpaceDE/>
        <w:autoSpaceDN/>
        <w:bidi w:val="0"/>
        <w:spacing w:line="240" w:lineRule="auto"/>
        <w:jc w:val="both"/>
        <w:textAlignment w:val="auto"/>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28"/>
        </w:rPr>
        <w:t>附件2-2</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公共图书馆、文化馆</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2023</w:t>
      </w:r>
      <w:r>
        <w:rPr>
          <w:rFonts w:hint="eastAsia" w:ascii="方正小标宋简体" w:hAnsi="方正小标宋简体" w:eastAsia="方正小标宋简体" w:cs="方正小标宋简体"/>
          <w:color w:val="auto"/>
          <w:kern w:val="2"/>
          <w:sz w:val="44"/>
          <w:szCs w:val="44"/>
          <w:lang w:val="en-US" w:eastAsia="zh-CN"/>
        </w:rPr>
        <w:t>年度</w:t>
      </w:r>
      <w:r>
        <w:rPr>
          <w:rFonts w:hint="eastAsia" w:ascii="方正小标宋简体" w:hAnsi="方正小标宋简体" w:eastAsia="方正小标宋简体" w:cs="方正小标宋简体"/>
          <w:sz w:val="44"/>
          <w:szCs w:val="44"/>
        </w:rPr>
        <w:t>免费开放项</w:t>
      </w:r>
      <w:r>
        <w:rPr>
          <w:rFonts w:hint="eastAsia" w:ascii="方正小标宋简体" w:hAnsi="方正小标宋简体" w:eastAsia="方正小标宋简体" w:cs="方正小标宋简体"/>
          <w:sz w:val="44"/>
          <w:szCs w:val="44"/>
          <w:lang w:val="en-US"/>
        </w:rPr>
        <w:t>目</w:t>
      </w:r>
      <w:r>
        <w:rPr>
          <w:rFonts w:hint="eastAsia" w:ascii="方正小标宋简体" w:hAnsi="方正小标宋简体" w:eastAsia="方正小标宋简体" w:cs="方正小标宋简体"/>
          <w:color w:val="auto"/>
          <w:kern w:val="2"/>
          <w:sz w:val="44"/>
          <w:szCs w:val="44"/>
          <w:lang w:val="en-US"/>
        </w:rPr>
        <w:t>专项预算</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项目绩效评价报告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zh-CN"/>
        </w:rPr>
        <w:t>一、项目概况</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（一）</w:t>
      </w:r>
      <w:r>
        <w:rPr>
          <w:rFonts w:hint="eastAsia" w:eastAsia="楷体_GB2312" w:cs="Times New Roman"/>
          <w:b/>
          <w:color w:val="auto"/>
          <w:sz w:val="32"/>
          <w:szCs w:val="32"/>
          <w:lang w:val="zh-CN"/>
        </w:rPr>
        <w:t>项目</w:t>
      </w:r>
      <w:r>
        <w:rPr>
          <w:rFonts w:hint="default" w:ascii="Times New Roman" w:hAnsi="Times New Roman" w:eastAsia="楷体_GB2312" w:cs="Times New Roman"/>
          <w:b/>
          <w:color w:val="auto"/>
          <w:sz w:val="32"/>
          <w:szCs w:val="32"/>
          <w:lang w:val="zh-CN"/>
        </w:rPr>
        <w:t>基本情况。</w:t>
      </w:r>
    </w:p>
    <w:p>
      <w:pPr>
        <w:keepNext w:val="0"/>
        <w:keepLines w:val="0"/>
        <w:pageBreakBefore w:val="0"/>
        <w:widowControl w:val="0"/>
        <w:kinsoku/>
        <w:wordWrap/>
        <w:overflowPunct/>
        <w:topLinePunct w:val="0"/>
        <w:bidi w:val="0"/>
        <w:spacing w:line="240" w:lineRule="auto"/>
        <w:ind w:firstLine="620"/>
        <w:textAlignment w:val="auto"/>
        <w:rPr>
          <w:rFonts w:hint="default" w:ascii="Times New Roman" w:hAnsi="Times New Roman" w:eastAsia="方正仿宋_GB2312" w:cs="Times New Roman"/>
          <w:kern w:val="0"/>
          <w:sz w:val="32"/>
          <w:szCs w:val="32"/>
        </w:rPr>
      </w:pPr>
      <w:r>
        <w:rPr>
          <w:rFonts w:hint="eastAsia" w:eastAsia="方正仿宋_GB2312" w:cs="Times New Roman"/>
          <w:color w:val="000000"/>
          <w:sz w:val="32"/>
          <w:szCs w:val="32"/>
          <w:lang w:eastAsia="zh-CN" w:bidi="ar"/>
        </w:rPr>
        <w:t>盐边县</w:t>
      </w:r>
      <w:r>
        <w:rPr>
          <w:rFonts w:hint="default" w:ascii="Times New Roman" w:hAnsi="Times New Roman" w:eastAsia="方正仿宋_GB2312" w:cs="Times New Roman"/>
          <w:color w:val="000000"/>
          <w:sz w:val="32"/>
          <w:szCs w:val="32"/>
          <w:lang w:bidi="ar"/>
        </w:rPr>
        <w:t>文化馆</w:t>
      </w:r>
      <w:r>
        <w:rPr>
          <w:rFonts w:hint="eastAsia" w:eastAsia="方正仿宋_GB2312" w:cs="Times New Roman"/>
          <w:color w:val="000000"/>
          <w:sz w:val="32"/>
          <w:szCs w:val="32"/>
          <w:lang w:eastAsia="zh-CN" w:bidi="ar"/>
        </w:rPr>
        <w:t>属于国家一级文化馆，</w:t>
      </w:r>
      <w:r>
        <w:rPr>
          <w:rFonts w:hint="default" w:ascii="Times New Roman" w:hAnsi="Times New Roman" w:eastAsia="方正仿宋_GB2312" w:cs="Times New Roman"/>
          <w:color w:val="000000"/>
          <w:sz w:val="32"/>
          <w:szCs w:val="32"/>
          <w:lang w:bidi="ar"/>
        </w:rPr>
        <w:t>图书馆属于国家二级</w:t>
      </w:r>
      <w:r>
        <w:rPr>
          <w:rFonts w:hint="eastAsia" w:eastAsia="方正仿宋_GB2312" w:cs="Times New Roman"/>
          <w:color w:val="000000"/>
          <w:sz w:val="32"/>
          <w:szCs w:val="32"/>
          <w:lang w:eastAsia="zh-CN" w:bidi="ar"/>
        </w:rPr>
        <w:t>图书</w:t>
      </w:r>
      <w:r>
        <w:rPr>
          <w:rFonts w:hint="default" w:ascii="Times New Roman" w:hAnsi="Times New Roman" w:eastAsia="方正仿宋_GB2312" w:cs="Times New Roman"/>
          <w:color w:val="000000"/>
          <w:sz w:val="32"/>
          <w:szCs w:val="32"/>
          <w:lang w:bidi="ar"/>
        </w:rPr>
        <w:t>馆，</w:t>
      </w:r>
      <w:r>
        <w:rPr>
          <w:rFonts w:hint="eastAsia" w:eastAsia="方正仿宋_GB2312" w:cs="Times New Roman"/>
          <w:color w:val="000000"/>
          <w:sz w:val="32"/>
          <w:szCs w:val="32"/>
          <w:lang w:eastAsia="zh-CN" w:bidi="ar"/>
        </w:rPr>
        <w:t>两馆</w:t>
      </w:r>
      <w:r>
        <w:rPr>
          <w:rFonts w:hint="default" w:ascii="Times New Roman" w:hAnsi="Times New Roman" w:eastAsia="方正仿宋_GB2312" w:cs="Times New Roman"/>
          <w:color w:val="000000"/>
          <w:sz w:val="32"/>
          <w:szCs w:val="32"/>
          <w:lang w:bidi="ar"/>
        </w:rPr>
        <w:t>每周免费开放时间不少于60小时。为了更好的贯彻执行《中华人民共和国公共文化服务保障法》和《中华人民共和国公共图书馆法》，通过免费开放，更好地履行文化馆和图书馆公共文化服务职能，</w:t>
      </w:r>
      <w:r>
        <w:rPr>
          <w:rFonts w:hint="default" w:ascii="Times New Roman" w:hAnsi="Times New Roman" w:eastAsia="方正仿宋_GB2312" w:cs="Times New Roman"/>
          <w:color w:val="000000"/>
          <w:sz w:val="32"/>
          <w:szCs w:val="32"/>
        </w:rPr>
        <w:t>丰富群众文化生活、促进精神文明建设，保障</w:t>
      </w:r>
      <w:r>
        <w:rPr>
          <w:rFonts w:hint="eastAsia" w:eastAsia="方正仿宋_GB2312" w:cs="Times New Roman"/>
          <w:color w:val="000000"/>
          <w:sz w:val="32"/>
          <w:szCs w:val="32"/>
          <w:lang w:eastAsia="zh-CN"/>
        </w:rPr>
        <w:t>群众</w:t>
      </w:r>
      <w:r>
        <w:rPr>
          <w:rFonts w:hint="default" w:ascii="Times New Roman" w:hAnsi="Times New Roman" w:eastAsia="方正仿宋_GB2312" w:cs="Times New Roman"/>
          <w:color w:val="000000"/>
          <w:sz w:val="32"/>
          <w:szCs w:val="32"/>
        </w:rPr>
        <w:t>文化权益，为群众提供更多、更好的公共文化产品和服务。</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w:t>
      </w:r>
      <w:r>
        <w:rPr>
          <w:rFonts w:hint="eastAsia" w:eastAsia="楷体_GB2312" w:cs="Times New Roman"/>
          <w:b/>
          <w:color w:val="auto"/>
          <w:sz w:val="32"/>
          <w:szCs w:val="32"/>
          <w:lang w:val="zh-CN"/>
        </w:rPr>
        <w:t>项目绩效目标</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项目资金进行专款专用，实施目的达到：</w:t>
      </w:r>
      <w:r>
        <w:rPr>
          <w:rFonts w:hint="default" w:ascii="Times New Roman" w:hAnsi="Times New Roman" w:eastAsia="方正仿宋_GB2312" w:cs="Times New Roman"/>
          <w:kern w:val="0"/>
          <w:sz w:val="32"/>
          <w:szCs w:val="32"/>
          <w:lang w:eastAsia="zh-CN"/>
        </w:rPr>
        <w:t>一是</w:t>
      </w:r>
      <w:r>
        <w:rPr>
          <w:rFonts w:hint="default" w:ascii="Times New Roman" w:hAnsi="Times New Roman" w:eastAsia="方正仿宋_GB2312" w:cs="Times New Roman"/>
          <w:kern w:val="0"/>
          <w:sz w:val="32"/>
          <w:szCs w:val="32"/>
        </w:rPr>
        <w:t>通过常年开展阅读推广活动</w:t>
      </w:r>
      <w:r>
        <w:rPr>
          <w:rFonts w:hint="default" w:ascii="Times New Roman" w:hAnsi="Times New Roman" w:eastAsia="方正仿宋_GB2312" w:cs="Times New Roman"/>
          <w:kern w:val="0"/>
          <w:sz w:val="32"/>
          <w:szCs w:val="32"/>
          <w:lang w:eastAsia="zh-CN"/>
        </w:rPr>
        <w:t>、送文化下乡等活动</w:t>
      </w:r>
      <w:r>
        <w:rPr>
          <w:rFonts w:hint="default" w:ascii="Times New Roman" w:hAnsi="Times New Roman" w:eastAsia="方正仿宋_GB2312" w:cs="Times New Roman"/>
          <w:kern w:val="0"/>
          <w:sz w:val="32"/>
          <w:szCs w:val="32"/>
        </w:rPr>
        <w:t>，丰富</w:t>
      </w:r>
      <w:r>
        <w:rPr>
          <w:rFonts w:hint="default" w:ascii="Times New Roman" w:hAnsi="Times New Roman" w:eastAsia="方正仿宋_GB2312" w:cs="Times New Roman"/>
          <w:kern w:val="0"/>
          <w:sz w:val="32"/>
          <w:szCs w:val="32"/>
          <w:lang w:eastAsia="zh-CN"/>
        </w:rPr>
        <w:t>群众</w:t>
      </w:r>
      <w:r>
        <w:rPr>
          <w:rFonts w:hint="default" w:ascii="Times New Roman" w:hAnsi="Times New Roman" w:eastAsia="方正仿宋_GB2312" w:cs="Times New Roman"/>
          <w:kern w:val="0"/>
          <w:sz w:val="32"/>
          <w:szCs w:val="32"/>
        </w:rPr>
        <w:t>文化生活，满足</w:t>
      </w:r>
      <w:r>
        <w:rPr>
          <w:rFonts w:hint="default" w:ascii="Times New Roman" w:hAnsi="Times New Roman" w:eastAsia="方正仿宋_GB2312" w:cs="Times New Roman"/>
          <w:kern w:val="0"/>
          <w:sz w:val="32"/>
          <w:szCs w:val="32"/>
          <w:lang w:eastAsia="zh-CN"/>
        </w:rPr>
        <w:t>群众</w:t>
      </w:r>
      <w:r>
        <w:rPr>
          <w:rFonts w:hint="default" w:ascii="Times New Roman" w:hAnsi="Times New Roman" w:eastAsia="方正仿宋_GB2312" w:cs="Times New Roman"/>
          <w:kern w:val="0"/>
          <w:sz w:val="32"/>
          <w:szCs w:val="32"/>
        </w:rPr>
        <w:t>的文化需求；</w:t>
      </w:r>
      <w:r>
        <w:rPr>
          <w:rFonts w:hint="default" w:ascii="Times New Roman" w:hAnsi="Times New Roman" w:eastAsia="方正仿宋_GB2312" w:cs="Times New Roman"/>
          <w:kern w:val="0"/>
          <w:sz w:val="32"/>
          <w:szCs w:val="32"/>
          <w:lang w:eastAsia="zh-CN"/>
        </w:rPr>
        <w:t>二是</w:t>
      </w:r>
      <w:r>
        <w:rPr>
          <w:rFonts w:hint="default" w:ascii="Times New Roman" w:hAnsi="Times New Roman" w:eastAsia="方正仿宋_GB2312" w:cs="Times New Roman"/>
          <w:kern w:val="0"/>
          <w:sz w:val="32"/>
          <w:szCs w:val="32"/>
        </w:rPr>
        <w:t>信息化时代满足读者方便快捷获取信息；</w:t>
      </w:r>
      <w:r>
        <w:rPr>
          <w:rFonts w:hint="default" w:ascii="Times New Roman" w:hAnsi="Times New Roman" w:eastAsia="方正仿宋_GB2312" w:cs="Times New Roman"/>
          <w:kern w:val="0"/>
          <w:sz w:val="32"/>
          <w:szCs w:val="32"/>
          <w:lang w:eastAsia="zh-CN"/>
        </w:rPr>
        <w:t>三是</w:t>
      </w:r>
      <w:r>
        <w:rPr>
          <w:rFonts w:hint="default" w:ascii="Times New Roman" w:hAnsi="Times New Roman" w:eastAsia="方正仿宋_GB2312" w:cs="Times New Roman"/>
          <w:kern w:val="0"/>
          <w:sz w:val="32"/>
          <w:szCs w:val="32"/>
        </w:rPr>
        <w:t>满足每周开放时间达到6</w:t>
      </w:r>
      <w:r>
        <w:rPr>
          <w:rFonts w:hint="default" w:ascii="Times New Roman" w:hAnsi="Times New Roman" w:eastAsia="方正仿宋_GB2312" w:cs="Times New Roman"/>
          <w:kern w:val="0"/>
          <w:sz w:val="32"/>
          <w:szCs w:val="32"/>
          <w:lang w:val="en-US" w:eastAsia="zh-CN"/>
        </w:rPr>
        <w:t>0</w:t>
      </w:r>
      <w:r>
        <w:rPr>
          <w:rFonts w:hint="default" w:ascii="Times New Roman" w:hAnsi="Times New Roman" w:eastAsia="方正仿宋_GB2312" w:cs="Times New Roman"/>
          <w:kern w:val="0"/>
          <w:sz w:val="32"/>
          <w:szCs w:val="32"/>
        </w:rPr>
        <w:t>小时</w:t>
      </w:r>
      <w:r>
        <w:rPr>
          <w:rFonts w:hint="eastAsia" w:eastAsia="方正仿宋_GB2312" w:cs="Times New Roman"/>
          <w:kern w:val="0"/>
          <w:sz w:val="32"/>
          <w:szCs w:val="32"/>
          <w:lang w:eastAsia="zh-CN"/>
        </w:rPr>
        <w:t>；四是</w:t>
      </w:r>
      <w:r>
        <w:rPr>
          <w:rFonts w:hint="default" w:ascii="Times New Roman" w:hAnsi="Times New Roman" w:eastAsia="方正仿宋_GB2312" w:cs="Times New Roman"/>
          <w:kern w:val="0"/>
          <w:sz w:val="32"/>
          <w:szCs w:val="32"/>
        </w:rPr>
        <w:t>保障</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图书馆业务网络畅通；</w:t>
      </w:r>
      <w:r>
        <w:rPr>
          <w:rFonts w:hint="eastAsia" w:eastAsia="方正仿宋_GB2312" w:cs="Times New Roman"/>
          <w:kern w:val="0"/>
          <w:sz w:val="32"/>
          <w:szCs w:val="32"/>
          <w:lang w:eastAsia="zh-CN"/>
        </w:rPr>
        <w:t>五</w:t>
      </w:r>
      <w:r>
        <w:rPr>
          <w:rFonts w:hint="default" w:ascii="Times New Roman" w:hAnsi="Times New Roman" w:eastAsia="方正仿宋_GB2312" w:cs="Times New Roman"/>
          <w:kern w:val="0"/>
          <w:sz w:val="32"/>
          <w:szCs w:val="32"/>
          <w:lang w:eastAsia="zh-CN"/>
        </w:rPr>
        <w:t>是</w:t>
      </w:r>
      <w:r>
        <w:rPr>
          <w:rFonts w:hint="default" w:ascii="Times New Roman" w:hAnsi="Times New Roman" w:eastAsia="方正仿宋_GB2312" w:cs="Times New Roman"/>
          <w:kern w:val="0"/>
          <w:sz w:val="32"/>
          <w:szCs w:val="32"/>
        </w:rPr>
        <w:t>加强</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图书馆从业人员业务能力的培训，提升从业人员业务知识和管理水平。</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eastAsia" w:eastAsia="楷体_GB2312" w:cs="Times New Roman"/>
          <w:b/>
          <w:color w:val="auto"/>
          <w:sz w:val="32"/>
          <w:szCs w:val="32"/>
          <w:lang w:val="zh-CN"/>
        </w:rPr>
        <w:t>（三）项目自评步骤及方法</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按照有关规定和工作安排，</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开展自行评估，通过组建评估组，通过收集被评估项目相关资料，查阅资料、收集数据信息等，深入论证分析，形成绩效评估报告；对项目进行不定期监控，采用了单位自评法、问卷调查法、座谈调研法等多种方法。</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default" w:ascii="Times New Roman" w:hAnsi="Times New Roman" w:eastAsia="黑体" w:cs="Times New Roman"/>
          <w:color w:val="auto"/>
          <w:sz w:val="32"/>
          <w:szCs w:val="32"/>
          <w:lang w:val="zh-CN"/>
        </w:rPr>
        <w:t>二、</w:t>
      </w:r>
      <w:r>
        <w:rPr>
          <w:rFonts w:hint="eastAsia" w:eastAsia="黑体" w:cs="Times New Roman"/>
          <w:color w:val="auto"/>
          <w:sz w:val="32"/>
          <w:szCs w:val="32"/>
          <w:lang w:val="zh-CN"/>
        </w:rPr>
        <w:t>项目资金申报及使用情况</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eastAsia" w:eastAsia="楷体_GB2312" w:cs="Times New Roman"/>
          <w:b/>
          <w:color w:val="auto"/>
          <w:sz w:val="32"/>
          <w:szCs w:val="32"/>
          <w:lang w:val="zh-CN"/>
        </w:rPr>
        <w:t>（一）资金申报、计划、到位及使用情况</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numPr>
          <w:ilvl w:val="0"/>
          <w:numId w:val="0"/>
        </w:numPr>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由具体经办业务部室拟定项目实施方案、上报上级部门审核通过</w:t>
      </w:r>
      <w:r>
        <w:rPr>
          <w:rFonts w:hint="eastAsia" w:eastAsia="方正仿宋_GB2312" w:cs="Times New Roman"/>
          <w:kern w:val="0"/>
          <w:sz w:val="32"/>
          <w:szCs w:val="32"/>
          <w:lang w:eastAsia="zh-CN"/>
        </w:rPr>
        <w:t>。</w:t>
      </w:r>
      <w:r>
        <w:rPr>
          <w:rFonts w:hint="default" w:ascii="Times New Roman" w:hAnsi="Times New Roman" w:eastAsia="方正仿宋_GB2312" w:cs="Times New Roman"/>
          <w:kern w:val="0"/>
          <w:sz w:val="32"/>
          <w:szCs w:val="32"/>
          <w:lang w:val="en-US" w:eastAsia="zh-CN"/>
        </w:rPr>
        <w:t>2023年3月，</w:t>
      </w:r>
      <w:r>
        <w:rPr>
          <w:rFonts w:hint="default" w:ascii="Times New Roman" w:hAnsi="Times New Roman" w:eastAsia="方正仿宋_GB2312" w:cs="Times New Roman"/>
          <w:kern w:val="0"/>
          <w:sz w:val="32"/>
          <w:szCs w:val="32"/>
          <w:lang w:eastAsia="zh-CN"/>
        </w:rPr>
        <w:t>盐边县</w:t>
      </w:r>
      <w:r>
        <w:rPr>
          <w:rFonts w:hint="default" w:ascii="Times New Roman" w:hAnsi="Times New Roman" w:eastAsia="方正仿宋_GB2312" w:cs="Times New Roman"/>
          <w:kern w:val="0"/>
          <w:sz w:val="32"/>
          <w:szCs w:val="32"/>
        </w:rPr>
        <w:t>财政局下达</w:t>
      </w:r>
      <w:r>
        <w:rPr>
          <w:rFonts w:hint="default" w:ascii="Times New Roman" w:hAnsi="Times New Roman" w:eastAsia="方正仿宋_GB2312" w:cs="Times New Roman"/>
          <w:kern w:val="0"/>
          <w:sz w:val="32"/>
          <w:szCs w:val="32"/>
          <w:lang w:eastAsia="zh-CN"/>
        </w:rPr>
        <w:t>县级补助</w:t>
      </w:r>
      <w:r>
        <w:rPr>
          <w:rFonts w:hint="default" w:ascii="Times New Roman" w:hAnsi="Times New Roman" w:eastAsia="方正仿宋_GB2312" w:cs="Times New Roman"/>
          <w:kern w:val="0"/>
          <w:sz w:val="32"/>
          <w:szCs w:val="32"/>
        </w:rPr>
        <w:t>公共图书馆</w:t>
      </w:r>
      <w:r>
        <w:rPr>
          <w:rFonts w:hint="default" w:ascii="Times New Roman" w:hAnsi="Times New Roman" w:eastAsia="方正仿宋_GB2312" w:cs="Times New Roman"/>
          <w:kern w:val="0"/>
          <w:sz w:val="32"/>
          <w:szCs w:val="32"/>
          <w:lang w:eastAsia="zh-CN"/>
        </w:rPr>
        <w:t>、文化馆</w:t>
      </w:r>
      <w:r>
        <w:rPr>
          <w:rFonts w:hint="default" w:ascii="Times New Roman" w:hAnsi="Times New Roman" w:eastAsia="方正仿宋_GB2312" w:cs="Times New Roman"/>
          <w:kern w:val="0"/>
          <w:sz w:val="32"/>
          <w:szCs w:val="32"/>
        </w:rPr>
        <w:t>免费开放经费</w:t>
      </w:r>
      <w:r>
        <w:rPr>
          <w:rFonts w:hint="default" w:ascii="Times New Roman" w:hAnsi="Times New Roman" w:eastAsia="方正仿宋_GB2312" w:cs="Times New Roman"/>
          <w:kern w:val="0"/>
          <w:sz w:val="32"/>
          <w:szCs w:val="32"/>
          <w:lang w:val="en-US" w:eastAsia="zh-CN"/>
        </w:rPr>
        <w:t>4.8</w:t>
      </w:r>
      <w:r>
        <w:rPr>
          <w:rFonts w:hint="default" w:ascii="Times New Roman" w:hAnsi="Times New Roman" w:eastAsia="方正仿宋_GB2312" w:cs="Times New Roman"/>
          <w:kern w:val="0"/>
          <w:sz w:val="32"/>
          <w:szCs w:val="32"/>
        </w:rPr>
        <w:t>万元</w:t>
      </w:r>
      <w:r>
        <w:rPr>
          <w:rFonts w:hint="default" w:ascii="Times New Roman" w:hAnsi="Times New Roman" w:eastAsia="方正仿宋_GB2312" w:cs="Times New Roman"/>
          <w:kern w:val="0"/>
          <w:sz w:val="32"/>
          <w:szCs w:val="32"/>
          <w:lang w:eastAsia="zh-CN"/>
        </w:rPr>
        <w:t>，</w:t>
      </w:r>
      <w:r>
        <w:rPr>
          <w:rFonts w:hint="default" w:ascii="Times New Roman" w:hAnsi="Times New Roman" w:eastAsia="方正仿宋_GB2312" w:cs="Times New Roman"/>
          <w:kern w:val="0"/>
          <w:sz w:val="32"/>
          <w:szCs w:val="32"/>
          <w:lang w:val="en-US" w:eastAsia="zh-CN"/>
        </w:rPr>
        <w:t>2023年6月，</w:t>
      </w:r>
      <w:r>
        <w:rPr>
          <w:rFonts w:hint="default" w:ascii="Times New Roman" w:hAnsi="Times New Roman" w:eastAsia="方正仿宋_GB2312" w:cs="Times New Roman"/>
          <w:kern w:val="0"/>
          <w:sz w:val="32"/>
          <w:szCs w:val="32"/>
          <w:lang w:eastAsia="zh-CN"/>
        </w:rPr>
        <w:t>盐边县</w:t>
      </w:r>
      <w:r>
        <w:rPr>
          <w:rFonts w:hint="default" w:ascii="Times New Roman" w:hAnsi="Times New Roman" w:eastAsia="方正仿宋_GB2312" w:cs="Times New Roman"/>
          <w:kern w:val="0"/>
          <w:sz w:val="32"/>
          <w:szCs w:val="32"/>
        </w:rPr>
        <w:t>财政局下达</w:t>
      </w:r>
      <w:r>
        <w:rPr>
          <w:rFonts w:hint="default" w:ascii="Times New Roman" w:hAnsi="Times New Roman" w:eastAsia="方正仿宋_GB2312" w:cs="Times New Roman"/>
          <w:kern w:val="0"/>
          <w:sz w:val="32"/>
          <w:szCs w:val="32"/>
          <w:lang w:eastAsia="zh-CN"/>
        </w:rPr>
        <w:t>中央补助</w:t>
      </w:r>
      <w:r>
        <w:rPr>
          <w:rFonts w:hint="default" w:ascii="Times New Roman" w:hAnsi="Times New Roman" w:eastAsia="方正仿宋_GB2312" w:cs="Times New Roman"/>
          <w:kern w:val="0"/>
          <w:sz w:val="32"/>
          <w:szCs w:val="32"/>
        </w:rPr>
        <w:t>公共图书馆</w:t>
      </w:r>
      <w:r>
        <w:rPr>
          <w:rFonts w:hint="default" w:ascii="Times New Roman" w:hAnsi="Times New Roman" w:eastAsia="方正仿宋_GB2312" w:cs="Times New Roman"/>
          <w:kern w:val="0"/>
          <w:sz w:val="32"/>
          <w:szCs w:val="32"/>
          <w:lang w:eastAsia="zh-CN"/>
        </w:rPr>
        <w:t>、文化馆</w:t>
      </w:r>
      <w:r>
        <w:rPr>
          <w:rFonts w:hint="default" w:ascii="Times New Roman" w:hAnsi="Times New Roman" w:eastAsia="方正仿宋_GB2312" w:cs="Times New Roman"/>
          <w:kern w:val="0"/>
          <w:sz w:val="32"/>
          <w:szCs w:val="32"/>
        </w:rPr>
        <w:t>免费开放经费</w:t>
      </w:r>
      <w:r>
        <w:rPr>
          <w:rFonts w:hint="default" w:ascii="Times New Roman" w:hAnsi="Times New Roman" w:eastAsia="方正仿宋_GB2312" w:cs="Times New Roman"/>
          <w:kern w:val="0"/>
          <w:sz w:val="32"/>
          <w:szCs w:val="32"/>
          <w:lang w:val="en-US" w:eastAsia="zh-CN"/>
        </w:rPr>
        <w:t>32</w:t>
      </w:r>
      <w:r>
        <w:rPr>
          <w:rFonts w:hint="default" w:ascii="Times New Roman" w:hAnsi="Times New Roman" w:eastAsia="方正仿宋_GB2312" w:cs="Times New Roman"/>
          <w:kern w:val="0"/>
          <w:sz w:val="32"/>
          <w:szCs w:val="32"/>
        </w:rPr>
        <w:t>万元</w:t>
      </w:r>
      <w:r>
        <w:rPr>
          <w:rFonts w:hint="default" w:ascii="Times New Roman" w:hAnsi="Times New Roman" w:eastAsia="方正仿宋_GB2312" w:cs="Times New Roman"/>
          <w:kern w:val="0"/>
          <w:sz w:val="32"/>
          <w:szCs w:val="32"/>
          <w:lang w:eastAsia="zh-CN"/>
        </w:rPr>
        <w:t>，</w:t>
      </w:r>
      <w:r>
        <w:rPr>
          <w:rFonts w:hint="default" w:ascii="Times New Roman" w:hAnsi="Times New Roman" w:eastAsia="方正仿宋_GB2312" w:cs="Times New Roman"/>
          <w:kern w:val="0"/>
          <w:sz w:val="32"/>
          <w:szCs w:val="32"/>
        </w:rPr>
        <w:t>2023年</w:t>
      </w:r>
      <w:r>
        <w:rPr>
          <w:rFonts w:hint="default" w:ascii="Times New Roman" w:hAnsi="Times New Roman" w:eastAsia="方正仿宋_GB2312" w:cs="Times New Roman"/>
          <w:kern w:val="0"/>
          <w:sz w:val="32"/>
          <w:szCs w:val="32"/>
          <w:lang w:val="en-US" w:eastAsia="zh-CN"/>
        </w:rPr>
        <w:t>8月</w:t>
      </w:r>
      <w:r>
        <w:rPr>
          <w:rFonts w:hint="default"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lang w:eastAsia="zh-CN"/>
        </w:rPr>
        <w:t>盐边县</w:t>
      </w:r>
      <w:r>
        <w:rPr>
          <w:rFonts w:hint="default" w:ascii="Times New Roman" w:hAnsi="Times New Roman" w:eastAsia="方正仿宋_GB2312" w:cs="Times New Roman"/>
          <w:kern w:val="0"/>
          <w:sz w:val="32"/>
          <w:szCs w:val="32"/>
        </w:rPr>
        <w:t>财政局下达</w:t>
      </w:r>
      <w:r>
        <w:rPr>
          <w:rFonts w:hint="default" w:ascii="Times New Roman" w:hAnsi="Times New Roman" w:eastAsia="方正仿宋_GB2312" w:cs="Times New Roman"/>
          <w:kern w:val="0"/>
          <w:sz w:val="32"/>
          <w:szCs w:val="32"/>
          <w:lang w:eastAsia="zh-CN"/>
        </w:rPr>
        <w:t>省级</w:t>
      </w:r>
      <w:r>
        <w:rPr>
          <w:rFonts w:hint="default" w:ascii="Times New Roman" w:hAnsi="Times New Roman" w:eastAsia="方正仿宋_GB2312" w:cs="Times New Roman"/>
          <w:kern w:val="0"/>
          <w:sz w:val="32"/>
          <w:szCs w:val="32"/>
        </w:rPr>
        <w:t>公共图书</w:t>
      </w:r>
      <w:r>
        <w:rPr>
          <w:rFonts w:hint="default" w:ascii="Times New Roman" w:hAnsi="Times New Roman" w:eastAsia="方正仿宋_GB2312" w:cs="Times New Roman"/>
          <w:kern w:val="0"/>
          <w:sz w:val="32"/>
          <w:szCs w:val="32"/>
          <w:lang w:eastAsia="zh-CN"/>
        </w:rPr>
        <w:t>馆、文化馆</w:t>
      </w:r>
      <w:r>
        <w:rPr>
          <w:rFonts w:hint="default" w:ascii="Times New Roman" w:hAnsi="Times New Roman" w:eastAsia="方正仿宋_GB2312" w:cs="Times New Roman"/>
          <w:kern w:val="0"/>
          <w:sz w:val="32"/>
          <w:szCs w:val="32"/>
        </w:rPr>
        <w:t>免费开放经费</w:t>
      </w:r>
      <w:r>
        <w:rPr>
          <w:rFonts w:hint="default" w:ascii="Times New Roman" w:hAnsi="Times New Roman" w:eastAsia="方正仿宋_GB2312" w:cs="Times New Roman"/>
          <w:kern w:val="0"/>
          <w:sz w:val="32"/>
          <w:szCs w:val="32"/>
          <w:lang w:val="en-US" w:eastAsia="zh-CN"/>
        </w:rPr>
        <w:t>3.2</w:t>
      </w:r>
      <w:r>
        <w:rPr>
          <w:rFonts w:hint="default" w:ascii="Times New Roman" w:hAnsi="Times New Roman" w:eastAsia="方正仿宋_GB2312" w:cs="Times New Roman"/>
          <w:kern w:val="0"/>
          <w:sz w:val="32"/>
          <w:szCs w:val="32"/>
        </w:rPr>
        <w:t>万元</w:t>
      </w:r>
      <w:r>
        <w:rPr>
          <w:rFonts w:hint="default" w:ascii="Times New Roman" w:hAnsi="Times New Roman" w:eastAsia="方正仿宋_GB2312" w:cs="Times New Roman"/>
          <w:kern w:val="0"/>
          <w:sz w:val="32"/>
          <w:szCs w:val="32"/>
          <w:lang w:eastAsia="zh-CN"/>
        </w:rPr>
        <w:t>，</w:t>
      </w:r>
      <w:r>
        <w:rPr>
          <w:rFonts w:hint="default" w:ascii="Times New Roman" w:hAnsi="Times New Roman" w:eastAsia="方正仿宋_GB2312" w:cs="Times New Roman"/>
          <w:kern w:val="0"/>
          <w:sz w:val="32"/>
          <w:szCs w:val="32"/>
        </w:rPr>
        <w:t>共计免费开放资金</w:t>
      </w:r>
      <w:r>
        <w:rPr>
          <w:rFonts w:hint="default" w:ascii="Times New Roman" w:hAnsi="Times New Roman" w:eastAsia="方正仿宋_GB2312" w:cs="Times New Roman"/>
          <w:kern w:val="0"/>
          <w:sz w:val="32"/>
          <w:szCs w:val="32"/>
          <w:lang w:val="en-US" w:eastAsia="zh-CN"/>
        </w:rPr>
        <w:t>40</w:t>
      </w:r>
      <w:r>
        <w:rPr>
          <w:rFonts w:hint="default" w:ascii="Times New Roman" w:hAnsi="Times New Roman" w:eastAsia="方正仿宋_GB2312" w:cs="Times New Roman"/>
          <w:kern w:val="0"/>
          <w:sz w:val="32"/>
          <w:szCs w:val="32"/>
        </w:rPr>
        <w:t>万元</w:t>
      </w:r>
      <w:r>
        <w:rPr>
          <w:rFonts w:hint="eastAsia" w:eastAsia="方正仿宋_GB2312" w:cs="Times New Roman"/>
          <w:kern w:val="0"/>
          <w:sz w:val="32"/>
          <w:szCs w:val="32"/>
          <w:lang w:eastAsia="zh-CN"/>
        </w:rPr>
        <w:t>，资金到位率</w:t>
      </w:r>
      <w:r>
        <w:rPr>
          <w:rFonts w:hint="eastAsia" w:eastAsia="方正仿宋_GB2312" w:cs="Times New Roman"/>
          <w:kern w:val="0"/>
          <w:sz w:val="32"/>
          <w:szCs w:val="32"/>
          <w:lang w:val="en-US" w:eastAsia="zh-CN"/>
        </w:rPr>
        <w:t>100%。</w:t>
      </w:r>
      <w:r>
        <w:rPr>
          <w:rFonts w:hint="default" w:ascii="Times New Roman" w:hAnsi="Times New Roman" w:eastAsia="方正仿宋_GB2312" w:cs="Times New Roman"/>
          <w:kern w:val="0"/>
          <w:sz w:val="32"/>
          <w:szCs w:val="32"/>
        </w:rPr>
        <w:t>严格按照《中央对地方公共图书馆、美术馆、文化馆（站）免费开放补助资金管理办法》等相关规定对资金进行管理和使用。资金分配的原则是按照方案实施使用和分配。</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eastAsia" w:eastAsia="楷体_GB2312" w:cs="Times New Roman"/>
          <w:b/>
          <w:color w:val="auto"/>
          <w:sz w:val="32"/>
          <w:szCs w:val="32"/>
          <w:lang w:val="zh-CN"/>
        </w:rPr>
        <w:t>（二）项目账务管理情况</w:t>
      </w:r>
      <w:r>
        <w:rPr>
          <w:rFonts w:hint="default" w:ascii="Times New Roman" w:hAnsi="Times New Roman" w:eastAsia="楷体_GB2312" w:cs="Times New Roman"/>
          <w:b/>
          <w:color w:val="auto"/>
          <w:sz w:val="32"/>
          <w:szCs w:val="32"/>
          <w:lang w:val="zh-CN"/>
        </w:rPr>
        <w:t>。</w:t>
      </w:r>
    </w:p>
    <w:p>
      <w:pPr>
        <w:pageBreakBefore w:val="0"/>
        <w:widowControl w:val="0"/>
        <w:kinsoku/>
        <w:wordWrap/>
        <w:overflowPunct/>
        <w:topLinePunct w:val="0"/>
        <w:autoSpaceDE/>
        <w:autoSpaceDN/>
        <w:bidi w:val="0"/>
        <w:spacing w:line="240" w:lineRule="auto"/>
        <w:ind w:firstLine="640" w:firstLineChars="200"/>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三</w:t>
      </w:r>
      <w:r>
        <w:rPr>
          <w:rFonts w:hint="default" w:ascii="Times New Roman" w:hAnsi="Times New Roman" w:eastAsia="黑体" w:cs="Times New Roman"/>
          <w:color w:val="auto"/>
          <w:sz w:val="32"/>
          <w:szCs w:val="32"/>
          <w:lang w:val="zh-CN"/>
        </w:rPr>
        <w:t>、</w:t>
      </w:r>
      <w:r>
        <w:rPr>
          <w:rFonts w:hint="eastAsia" w:eastAsia="黑体" w:cs="Times New Roman"/>
          <w:color w:val="auto"/>
          <w:sz w:val="32"/>
          <w:szCs w:val="32"/>
          <w:lang w:val="zh-CN"/>
        </w:rPr>
        <w:t>项目实施及管理情况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b w:val="0"/>
          <w:bCs/>
          <w:color w:val="auto"/>
          <w:sz w:val="32"/>
          <w:szCs w:val="32"/>
          <w:lang w:val="zh-CN"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实施方，行使项目法人的权利，承担项目法人的责任及义务，项目实施管理实行项目法人责任制、资金使用和项目公示制、资金拨付逐级审核制度，并及时解决了项目实施过程中出现的问题，以确保公共图书馆和文化馆免费开放的质量和效益。</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四</w:t>
      </w:r>
      <w:r>
        <w:rPr>
          <w:rFonts w:hint="default" w:ascii="Times New Roman" w:hAnsi="Times New Roman" w:eastAsia="黑体" w:cs="Times New Roman"/>
          <w:color w:val="auto"/>
          <w:sz w:val="32"/>
          <w:szCs w:val="32"/>
          <w:lang w:val="zh-CN"/>
        </w:rPr>
        <w:t>、</w:t>
      </w:r>
      <w:r>
        <w:rPr>
          <w:rFonts w:hint="eastAsia" w:eastAsia="黑体" w:cs="Times New Roman"/>
          <w:color w:val="auto"/>
          <w:sz w:val="32"/>
          <w:szCs w:val="32"/>
          <w:lang w:val="zh-CN"/>
        </w:rPr>
        <w:t>项目绩效情况</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一</w:t>
      </w:r>
      <w:r>
        <w:rPr>
          <w:rFonts w:hint="default" w:ascii="Times New Roman" w:hAnsi="Times New Roman" w:eastAsia="楷体_GB2312" w:cs="Times New Roman"/>
          <w:b/>
          <w:color w:val="auto"/>
          <w:sz w:val="32"/>
          <w:szCs w:val="32"/>
          <w:lang w:val="zh-CN"/>
        </w:rPr>
        <w:t>）项目</w:t>
      </w:r>
      <w:r>
        <w:rPr>
          <w:rFonts w:hint="eastAsia" w:eastAsia="楷体_GB2312" w:cs="Times New Roman"/>
          <w:b/>
          <w:color w:val="auto"/>
          <w:sz w:val="32"/>
          <w:szCs w:val="32"/>
          <w:lang w:val="zh-CN"/>
        </w:rPr>
        <w:t>完善完成情况</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项目整体内容。</w:t>
      </w:r>
    </w:p>
    <w:p>
      <w:pPr>
        <w:keepNext w:val="0"/>
        <w:keepLines w:val="0"/>
        <w:pageBreakBefore w:val="0"/>
        <w:widowControl w:val="0"/>
        <w:tabs>
          <w:tab w:val="left" w:pos="1911"/>
        </w:tabs>
        <w:kinsoku/>
        <w:wordWrap/>
        <w:overflowPunct/>
        <w:topLinePunct w:val="0"/>
        <w:bidi w:val="0"/>
        <w:spacing w:line="240" w:lineRule="auto"/>
        <w:ind w:left="638" w:leftChars="304" w:firstLine="67" w:firstLineChars="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rPr>
        <w:t>（1）开展阅读推广活动</w:t>
      </w:r>
      <w:r>
        <w:rPr>
          <w:rFonts w:hint="default" w:ascii="Times New Roman" w:hAnsi="Times New Roman" w:eastAsia="方正仿宋_GB2312" w:cs="Times New Roman"/>
          <w:kern w:val="0"/>
          <w:sz w:val="32"/>
          <w:szCs w:val="32"/>
          <w:lang w:eastAsia="zh-CN"/>
        </w:rPr>
        <w:t>、送文化下乡活动、流动服务</w:t>
      </w:r>
    </w:p>
    <w:p>
      <w:pPr>
        <w:keepNext w:val="0"/>
        <w:keepLines w:val="0"/>
        <w:pageBreakBefore w:val="0"/>
        <w:widowControl w:val="0"/>
        <w:tabs>
          <w:tab w:val="left" w:pos="1911"/>
        </w:tabs>
        <w:kinsoku/>
        <w:wordWrap/>
        <w:overflowPunct/>
        <w:topLinePunct w:val="0"/>
        <w:bidi w:val="0"/>
        <w:spacing w:line="240" w:lineRule="auto"/>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lang w:eastAsia="zh-CN"/>
        </w:rPr>
        <w:t>等</w:t>
      </w:r>
      <w:r>
        <w:rPr>
          <w:rFonts w:hint="default"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lang w:eastAsia="zh-CN"/>
        </w:rPr>
        <w:t>丰富广大群众精神文化生活。</w:t>
      </w:r>
    </w:p>
    <w:p>
      <w:pPr>
        <w:keepNext w:val="0"/>
        <w:keepLines w:val="0"/>
        <w:pageBreakBefore w:val="0"/>
        <w:widowControl w:val="0"/>
        <w:numPr>
          <w:ilvl w:val="0"/>
          <w:numId w:val="3"/>
        </w:numPr>
        <w:tabs>
          <w:tab w:val="left" w:pos="1911"/>
        </w:tabs>
        <w:kinsoku/>
        <w:wordWrap/>
        <w:overflowPunct/>
        <w:topLinePunct w:val="0"/>
        <w:bidi w:val="0"/>
        <w:spacing w:line="240" w:lineRule="auto"/>
        <w:ind w:left="638" w:leftChars="304" w:firstLine="67" w:firstLineChars="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为群众提供免费开放</w:t>
      </w:r>
      <w:r>
        <w:rPr>
          <w:rFonts w:hint="eastAsia" w:eastAsia="方正仿宋_GB2312" w:cs="Times New Roman"/>
          <w:kern w:val="0"/>
          <w:sz w:val="32"/>
          <w:szCs w:val="32"/>
          <w:lang w:eastAsia="zh-CN"/>
        </w:rPr>
        <w:t>服务</w:t>
      </w:r>
      <w:r>
        <w:rPr>
          <w:rFonts w:hint="default" w:ascii="Times New Roman" w:hAnsi="Times New Roman" w:eastAsia="方正仿宋_GB2312" w:cs="Times New Roman"/>
          <w:kern w:val="0"/>
          <w:sz w:val="32"/>
          <w:szCs w:val="32"/>
        </w:rPr>
        <w:t>，满足每周开放时间达</w:t>
      </w:r>
    </w:p>
    <w:p>
      <w:pPr>
        <w:keepNext w:val="0"/>
        <w:keepLines w:val="0"/>
        <w:pageBreakBefore w:val="0"/>
        <w:widowControl w:val="0"/>
        <w:numPr>
          <w:ilvl w:val="0"/>
          <w:numId w:val="0"/>
        </w:numPr>
        <w:tabs>
          <w:tab w:val="left" w:pos="1911"/>
        </w:tabs>
        <w:kinsoku/>
        <w:wordWrap/>
        <w:overflowPunct/>
        <w:topLinePunct w:val="0"/>
        <w:bidi w:val="0"/>
        <w:spacing w:line="240" w:lineRule="auto"/>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到6</w:t>
      </w:r>
      <w:r>
        <w:rPr>
          <w:rFonts w:hint="default" w:ascii="Times New Roman" w:hAnsi="Times New Roman" w:eastAsia="方正仿宋_GB2312" w:cs="Times New Roman"/>
          <w:kern w:val="0"/>
          <w:sz w:val="32"/>
          <w:szCs w:val="32"/>
          <w:lang w:val="en-US" w:eastAsia="zh-CN"/>
        </w:rPr>
        <w:t>0</w:t>
      </w:r>
      <w:r>
        <w:rPr>
          <w:rFonts w:hint="default" w:ascii="Times New Roman" w:hAnsi="Times New Roman" w:eastAsia="方正仿宋_GB2312" w:cs="Times New Roman"/>
          <w:kern w:val="0"/>
          <w:sz w:val="32"/>
          <w:szCs w:val="32"/>
        </w:rPr>
        <w:t>小时。</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（3）为群众提供免费的数字文献资源，实现阅读</w:t>
      </w:r>
      <w:r>
        <w:rPr>
          <w:rFonts w:hint="default" w:ascii="Times New Roman" w:hAnsi="Times New Roman" w:eastAsia="方正仿宋_GB2312" w:cs="Times New Roman"/>
          <w:kern w:val="0"/>
          <w:sz w:val="32"/>
          <w:szCs w:val="32"/>
          <w:lang w:eastAsia="zh-CN"/>
        </w:rPr>
        <w:t>和娱乐</w:t>
      </w:r>
      <w:r>
        <w:rPr>
          <w:rFonts w:hint="default" w:ascii="Times New Roman" w:hAnsi="Times New Roman" w:eastAsia="方正仿宋_GB2312" w:cs="Times New Roman"/>
          <w:kern w:val="0"/>
          <w:sz w:val="32"/>
          <w:szCs w:val="32"/>
        </w:rPr>
        <w:t>方式多样化。</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（4）加强</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图书馆从业人员业务能力的培训，提升从业人员业务知识和管理水平；进一步提升</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图书馆服务质量，提升</w:t>
      </w:r>
      <w:r>
        <w:rPr>
          <w:rFonts w:hint="default" w:ascii="Times New Roman" w:hAnsi="Times New Roman" w:eastAsia="方正仿宋_GB2312" w:cs="Times New Roman"/>
          <w:kern w:val="0"/>
          <w:sz w:val="32"/>
          <w:szCs w:val="32"/>
          <w:lang w:eastAsia="zh-CN"/>
        </w:rPr>
        <w:t>盐边县</w:t>
      </w:r>
      <w:r>
        <w:rPr>
          <w:rFonts w:hint="default" w:ascii="Times New Roman" w:hAnsi="Times New Roman" w:eastAsia="方正仿宋_GB2312" w:cs="Times New Roman"/>
          <w:kern w:val="0"/>
          <w:sz w:val="32"/>
          <w:szCs w:val="32"/>
        </w:rPr>
        <w:t>公共文化服务能力。</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b/>
          <w:bCs/>
          <w:kern w:val="0"/>
          <w:sz w:val="32"/>
          <w:szCs w:val="32"/>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项目绩效目标。</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lang w:val="en-US" w:eastAsia="zh-CN"/>
        </w:rPr>
      </w:pPr>
      <w:r>
        <w:rPr>
          <w:rFonts w:hint="eastAsia" w:eastAsia="方正仿宋_GB2312" w:cs="Times New Roman"/>
          <w:b w:val="0"/>
          <w:bCs w:val="0"/>
          <w:kern w:val="0"/>
          <w:sz w:val="32"/>
          <w:szCs w:val="32"/>
          <w:lang w:eastAsia="zh-CN"/>
        </w:rPr>
        <w:t>（</w:t>
      </w:r>
      <w:r>
        <w:rPr>
          <w:rFonts w:hint="eastAsia" w:eastAsia="方正仿宋_GB2312" w:cs="Times New Roman"/>
          <w:b w:val="0"/>
          <w:bCs w:val="0"/>
          <w:kern w:val="0"/>
          <w:sz w:val="32"/>
          <w:szCs w:val="32"/>
          <w:lang w:val="en-US" w:eastAsia="zh-CN"/>
        </w:rPr>
        <w:t>1</w:t>
      </w:r>
      <w:r>
        <w:rPr>
          <w:rFonts w:hint="eastAsia" w:eastAsia="方正仿宋_GB2312" w:cs="Times New Roman"/>
          <w:b w:val="0"/>
          <w:bCs w:val="0"/>
          <w:kern w:val="0"/>
          <w:sz w:val="32"/>
          <w:szCs w:val="32"/>
          <w:lang w:eastAsia="zh-CN"/>
        </w:rPr>
        <w:t>）</w:t>
      </w:r>
      <w:r>
        <w:rPr>
          <w:rFonts w:hint="default" w:ascii="Times New Roman" w:hAnsi="Times New Roman" w:eastAsia="方正仿宋_GB2312" w:cs="Times New Roman"/>
          <w:b w:val="0"/>
          <w:bCs w:val="0"/>
          <w:kern w:val="0"/>
          <w:sz w:val="32"/>
          <w:szCs w:val="32"/>
        </w:rPr>
        <w:t>数量指标。</w:t>
      </w:r>
      <w:r>
        <w:rPr>
          <w:rFonts w:hint="default" w:ascii="Times New Roman" w:hAnsi="Times New Roman" w:eastAsia="方正仿宋_GB2312" w:cs="Times New Roman"/>
          <w:kern w:val="0"/>
          <w:sz w:val="32"/>
          <w:szCs w:val="32"/>
        </w:rPr>
        <w:t>2023年</w:t>
      </w:r>
      <w:r>
        <w:rPr>
          <w:rFonts w:hint="default" w:ascii="Times New Roman" w:hAnsi="Times New Roman" w:eastAsia="方正仿宋_GB2312" w:cs="Times New Roman"/>
          <w:kern w:val="0"/>
          <w:sz w:val="32"/>
          <w:szCs w:val="32"/>
          <w:lang w:eastAsia="zh-CN"/>
        </w:rPr>
        <w:t>文化馆服务人次</w:t>
      </w:r>
      <w:r>
        <w:rPr>
          <w:rFonts w:hint="default" w:ascii="Times New Roman" w:hAnsi="Times New Roman" w:eastAsia="方正仿宋_GB2312" w:cs="Times New Roman"/>
          <w:kern w:val="0"/>
          <w:sz w:val="32"/>
          <w:szCs w:val="32"/>
          <w:lang w:val="en-US" w:eastAsia="zh-CN"/>
        </w:rPr>
        <w:t>11.3万人</w:t>
      </w:r>
      <w:r>
        <w:rPr>
          <w:rFonts w:hint="eastAsia" w:eastAsia="方正仿宋_GB2312" w:cs="Times New Roman"/>
          <w:kern w:val="0"/>
          <w:sz w:val="32"/>
          <w:szCs w:val="32"/>
          <w:lang w:val="en-US" w:eastAsia="zh-CN"/>
        </w:rPr>
        <w:t>次</w:t>
      </w:r>
      <w:r>
        <w:rPr>
          <w:rFonts w:hint="default" w:ascii="Times New Roman" w:hAnsi="Times New Roman" w:eastAsia="方正仿宋_GB2312" w:cs="Times New Roman"/>
          <w:kern w:val="0"/>
          <w:sz w:val="32"/>
          <w:szCs w:val="32"/>
          <w:lang w:val="en-US" w:eastAsia="zh-CN"/>
        </w:rPr>
        <w:t>，图书馆服务人次9.7万人次，</w:t>
      </w:r>
      <w:r>
        <w:rPr>
          <w:rFonts w:hint="default" w:ascii="Times New Roman" w:hAnsi="Times New Roman" w:eastAsia="方正仿宋_GB2312" w:cs="Times New Roman"/>
          <w:kern w:val="0"/>
          <w:sz w:val="32"/>
          <w:szCs w:val="32"/>
        </w:rPr>
        <w:t>图书流通借出</w:t>
      </w:r>
      <w:r>
        <w:rPr>
          <w:rFonts w:hint="default" w:ascii="Times New Roman" w:hAnsi="Times New Roman" w:eastAsia="方正仿宋_GB2312" w:cs="Times New Roman"/>
          <w:kern w:val="0"/>
          <w:sz w:val="32"/>
          <w:szCs w:val="32"/>
          <w:lang w:val="en-US" w:eastAsia="zh-CN"/>
        </w:rPr>
        <w:t>12万</w:t>
      </w:r>
      <w:r>
        <w:rPr>
          <w:rFonts w:hint="default" w:ascii="Times New Roman" w:hAnsi="Times New Roman" w:eastAsia="方正仿宋_GB2312" w:cs="Times New Roman"/>
          <w:kern w:val="0"/>
          <w:sz w:val="32"/>
          <w:szCs w:val="32"/>
        </w:rPr>
        <w:t>余册</w:t>
      </w:r>
      <w:r>
        <w:rPr>
          <w:rFonts w:hint="default" w:ascii="Times New Roman" w:hAnsi="Times New Roman" w:eastAsia="方正仿宋_GB2312" w:cs="Times New Roman"/>
          <w:kern w:val="0"/>
          <w:sz w:val="32"/>
          <w:szCs w:val="32"/>
          <w:lang w:eastAsia="zh-CN"/>
        </w:rPr>
        <w:t>次。文化馆组织开展了春节联欢晚会、围湖音乐会、送文化下乡</w:t>
      </w:r>
      <w:r>
        <w:rPr>
          <w:rFonts w:hint="eastAsia" w:eastAsia="方正仿宋_GB2312" w:cs="Times New Roman"/>
          <w:kern w:val="0"/>
          <w:sz w:val="32"/>
          <w:szCs w:val="32"/>
          <w:lang w:eastAsia="zh-CN"/>
        </w:rPr>
        <w:t>、</w:t>
      </w:r>
      <w:r>
        <w:rPr>
          <w:rFonts w:hint="default" w:ascii="Times New Roman" w:hAnsi="Times New Roman" w:eastAsia="方正仿宋_GB2312" w:cs="Times New Roman"/>
          <w:kern w:val="0"/>
          <w:sz w:val="32"/>
          <w:szCs w:val="32"/>
          <w:lang w:eastAsia="zh-CN"/>
        </w:rPr>
        <w:t>魅力乡镇竞演、文化和自然遗产日等活动，参加了四川农民春晚、羊肉米线音乐节、稻田音乐会、第八届成都国际非遗节、第三届艺术节四川群星奖等活动；图书馆组织开展了</w:t>
      </w:r>
      <w:r>
        <w:rPr>
          <w:rFonts w:hint="default" w:ascii="Times New Roman" w:hAnsi="Times New Roman" w:eastAsia="方正仿宋_GB2312" w:cs="Times New Roman"/>
          <w:kern w:val="0"/>
          <w:sz w:val="32"/>
          <w:szCs w:val="32"/>
          <w:lang w:val="en-US" w:eastAsia="zh-CN"/>
        </w:rPr>
        <w:t>4.23世界读书日活动、你选书.我买单活动、阅读推广活动、</w:t>
      </w:r>
      <w:r>
        <w:rPr>
          <w:rFonts w:hint="default" w:ascii="Times New Roman" w:hAnsi="Times New Roman" w:eastAsia="方正仿宋_GB2312" w:cs="Times New Roman"/>
          <w:kern w:val="0"/>
          <w:sz w:val="32"/>
          <w:szCs w:val="32"/>
        </w:rPr>
        <w:t>端午习俗线上答题活动</w:t>
      </w:r>
      <w:r>
        <w:rPr>
          <w:rFonts w:hint="default" w:ascii="Times New Roman" w:hAnsi="Times New Roman" w:eastAsia="方正仿宋_GB2312" w:cs="Times New Roman"/>
          <w:kern w:val="0"/>
          <w:sz w:val="32"/>
          <w:szCs w:val="32"/>
          <w:lang w:eastAsia="zh-CN"/>
        </w:rPr>
        <w:t>等，建立了</w:t>
      </w:r>
      <w:r>
        <w:rPr>
          <w:rFonts w:hint="default" w:ascii="Times New Roman" w:hAnsi="Times New Roman" w:eastAsia="方正仿宋_GB2312" w:cs="Times New Roman"/>
          <w:kern w:val="0"/>
          <w:sz w:val="32"/>
          <w:szCs w:val="32"/>
          <w:lang w:val="en-US" w:eastAsia="zh-CN"/>
        </w:rPr>
        <w:t>1个馆外阅读服务点。</w:t>
      </w:r>
    </w:p>
    <w:p>
      <w:pPr>
        <w:keepNext w:val="0"/>
        <w:keepLines w:val="0"/>
        <w:pageBreakBefore w:val="0"/>
        <w:widowControl w:val="0"/>
        <w:tabs>
          <w:tab w:val="left" w:pos="1911"/>
        </w:tabs>
        <w:kinsoku/>
        <w:wordWrap/>
        <w:overflowPunct/>
        <w:topLinePunct w:val="0"/>
        <w:autoSpaceDE/>
        <w:autoSpaceDN/>
        <w:bidi w:val="0"/>
        <w:adjustRightInd/>
        <w:snapToGrid/>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eastAsia" w:eastAsia="方正仿宋_GB2312" w:cs="Times New Roman"/>
          <w:b w:val="0"/>
          <w:bCs w:val="0"/>
          <w:kern w:val="0"/>
          <w:sz w:val="32"/>
          <w:szCs w:val="32"/>
          <w:lang w:eastAsia="zh-CN"/>
        </w:rPr>
        <w:t>（</w:t>
      </w:r>
      <w:r>
        <w:rPr>
          <w:rFonts w:hint="eastAsia" w:eastAsia="方正仿宋_GB2312" w:cs="Times New Roman"/>
          <w:b w:val="0"/>
          <w:bCs w:val="0"/>
          <w:kern w:val="0"/>
          <w:sz w:val="32"/>
          <w:szCs w:val="32"/>
          <w:lang w:val="en-US" w:eastAsia="zh-CN"/>
        </w:rPr>
        <w:t>2</w:t>
      </w:r>
      <w:r>
        <w:rPr>
          <w:rFonts w:hint="eastAsia" w:eastAsia="方正仿宋_GB2312" w:cs="Times New Roman"/>
          <w:b w:val="0"/>
          <w:bCs w:val="0"/>
          <w:kern w:val="0"/>
          <w:sz w:val="32"/>
          <w:szCs w:val="32"/>
          <w:lang w:eastAsia="zh-CN"/>
        </w:rPr>
        <w:t>）</w:t>
      </w:r>
      <w:r>
        <w:rPr>
          <w:rFonts w:hint="default" w:ascii="Times New Roman" w:hAnsi="Times New Roman" w:eastAsia="方正仿宋_GB2312" w:cs="Times New Roman"/>
          <w:b w:val="0"/>
          <w:bCs w:val="0"/>
          <w:kern w:val="0"/>
          <w:sz w:val="32"/>
          <w:szCs w:val="32"/>
        </w:rPr>
        <w:t>质量指标。</w:t>
      </w:r>
      <w:r>
        <w:rPr>
          <w:rFonts w:hint="default" w:ascii="Times New Roman" w:hAnsi="Times New Roman" w:eastAsia="方正仿宋_GB2312" w:cs="Times New Roman"/>
          <w:kern w:val="0"/>
          <w:sz w:val="32"/>
          <w:szCs w:val="32"/>
        </w:rPr>
        <w:t>项目质量完成较好，通过各类</w:t>
      </w:r>
      <w:r>
        <w:rPr>
          <w:rFonts w:hint="default" w:ascii="Times New Roman" w:hAnsi="Times New Roman" w:eastAsia="方正仿宋_GB2312" w:cs="Times New Roman"/>
          <w:kern w:val="0"/>
          <w:sz w:val="32"/>
          <w:szCs w:val="32"/>
          <w:lang w:eastAsia="zh-CN"/>
        </w:rPr>
        <w:t>文化和</w:t>
      </w:r>
      <w:r>
        <w:rPr>
          <w:rFonts w:hint="default" w:ascii="Times New Roman" w:hAnsi="Times New Roman" w:eastAsia="方正仿宋_GB2312" w:cs="Times New Roman"/>
          <w:kern w:val="0"/>
          <w:sz w:val="32"/>
          <w:szCs w:val="32"/>
        </w:rPr>
        <w:t>阅读活动</w:t>
      </w:r>
      <w:r>
        <w:rPr>
          <w:rFonts w:hint="default" w:ascii="Times New Roman" w:hAnsi="Times New Roman" w:eastAsia="方正仿宋_GB2312" w:cs="Times New Roman"/>
          <w:kern w:val="0"/>
          <w:sz w:val="32"/>
          <w:szCs w:val="32"/>
          <w:lang w:eastAsia="zh-CN"/>
        </w:rPr>
        <w:t>，</w:t>
      </w:r>
      <w:r>
        <w:rPr>
          <w:rFonts w:hint="default" w:ascii="Times New Roman" w:hAnsi="Times New Roman" w:eastAsia="方正仿宋_GB2312" w:cs="Times New Roman"/>
          <w:kern w:val="0"/>
          <w:sz w:val="32"/>
          <w:szCs w:val="32"/>
        </w:rPr>
        <w:t>提升公共文化服务水平，充分发挥</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图书馆保障公民基本文化权益的重要作用，丰富人民群众的精神文化生活。</w:t>
      </w:r>
    </w:p>
    <w:p>
      <w:pPr>
        <w:keepNext w:val="0"/>
        <w:keepLines w:val="0"/>
        <w:pageBreakBefore w:val="0"/>
        <w:widowControl w:val="0"/>
        <w:tabs>
          <w:tab w:val="left" w:pos="1911"/>
        </w:tabs>
        <w:kinsoku/>
        <w:wordWrap/>
        <w:overflowPunct/>
        <w:topLinePunct w:val="0"/>
        <w:autoSpaceDE/>
        <w:autoSpaceDN/>
        <w:bidi w:val="0"/>
        <w:adjustRightInd/>
        <w:snapToGrid/>
        <w:spacing w:line="240" w:lineRule="auto"/>
        <w:ind w:firstLine="707" w:firstLineChars="221"/>
        <w:jc w:val="left"/>
        <w:textAlignment w:val="auto"/>
        <w:rPr>
          <w:rFonts w:hint="default"/>
        </w:rPr>
      </w:pPr>
      <w:r>
        <w:rPr>
          <w:rFonts w:hint="eastAsia" w:eastAsia="方正仿宋_GB2312" w:cs="Times New Roman"/>
          <w:b w:val="0"/>
          <w:bCs w:val="0"/>
          <w:kern w:val="0"/>
          <w:sz w:val="32"/>
          <w:szCs w:val="32"/>
          <w:lang w:val="en-US" w:eastAsia="zh-CN"/>
        </w:rPr>
        <w:t>（3）</w:t>
      </w:r>
      <w:r>
        <w:rPr>
          <w:rFonts w:hint="default" w:ascii="Times New Roman" w:hAnsi="Times New Roman" w:eastAsia="方正仿宋_GB2312" w:cs="Times New Roman"/>
          <w:b w:val="0"/>
          <w:bCs w:val="0"/>
          <w:kern w:val="0"/>
          <w:sz w:val="32"/>
          <w:szCs w:val="32"/>
        </w:rPr>
        <w:t>成本指标。</w:t>
      </w:r>
      <w:r>
        <w:rPr>
          <w:rFonts w:hint="default" w:ascii="Times New Roman" w:hAnsi="Times New Roman" w:eastAsia="方正仿宋_GB2312" w:cs="Times New Roman"/>
          <w:kern w:val="0"/>
          <w:sz w:val="32"/>
          <w:szCs w:val="32"/>
        </w:rPr>
        <w:t>2023年</w:t>
      </w:r>
      <w:r>
        <w:rPr>
          <w:rFonts w:hint="default" w:ascii="Times New Roman" w:hAnsi="Times New Roman" w:eastAsia="方正仿宋_GB2312" w:cs="Times New Roman"/>
          <w:kern w:val="0"/>
          <w:sz w:val="32"/>
          <w:szCs w:val="32"/>
          <w:lang w:eastAsia="zh-CN"/>
        </w:rPr>
        <w:t>文化馆和图书馆</w:t>
      </w:r>
      <w:r>
        <w:rPr>
          <w:rFonts w:hint="default" w:ascii="Times New Roman" w:hAnsi="Times New Roman" w:eastAsia="方正仿宋_GB2312" w:cs="Times New Roman"/>
          <w:kern w:val="0"/>
          <w:sz w:val="32"/>
          <w:szCs w:val="32"/>
        </w:rPr>
        <w:t>免费开放、开展借阅服务，业务培训</w:t>
      </w:r>
      <w:r>
        <w:rPr>
          <w:rFonts w:hint="default" w:ascii="Times New Roman" w:hAnsi="Times New Roman" w:eastAsia="方正仿宋_GB2312" w:cs="Times New Roman"/>
          <w:kern w:val="0"/>
          <w:sz w:val="32"/>
          <w:szCs w:val="32"/>
          <w:lang w:eastAsia="zh-CN"/>
        </w:rPr>
        <w:t>、送文化下乡等各类活动</w:t>
      </w:r>
      <w:r>
        <w:rPr>
          <w:rFonts w:hint="default" w:ascii="Times New Roman" w:hAnsi="Times New Roman" w:eastAsia="方正仿宋_GB2312" w:cs="Times New Roman"/>
          <w:kern w:val="0"/>
          <w:sz w:val="32"/>
          <w:szCs w:val="32"/>
        </w:rPr>
        <w:t>费用</w:t>
      </w:r>
      <w:r>
        <w:rPr>
          <w:rFonts w:hint="default" w:ascii="Times New Roman" w:hAnsi="Times New Roman" w:eastAsia="方正仿宋_GB2312" w:cs="Times New Roman"/>
          <w:kern w:val="0"/>
          <w:sz w:val="32"/>
          <w:szCs w:val="32"/>
          <w:lang w:val="en-US" w:eastAsia="zh-CN"/>
        </w:rPr>
        <w:t>40</w:t>
      </w:r>
      <w:r>
        <w:rPr>
          <w:rFonts w:hint="default" w:ascii="Times New Roman" w:hAnsi="Times New Roman" w:eastAsia="方正仿宋_GB2312" w:cs="Times New Roman"/>
          <w:kern w:val="0"/>
          <w:sz w:val="32"/>
          <w:szCs w:val="32"/>
        </w:rPr>
        <w:t>万元。</w:t>
      </w:r>
    </w:p>
    <w:p>
      <w:pPr>
        <w:keepNext w:val="0"/>
        <w:keepLines w:val="0"/>
        <w:pageBreakBefore w:val="0"/>
        <w:widowControl w:val="0"/>
        <w:tabs>
          <w:tab w:val="left" w:pos="1911"/>
        </w:tabs>
        <w:kinsoku/>
        <w:wordWrap/>
        <w:overflowPunct/>
        <w:topLinePunct w:val="0"/>
        <w:autoSpaceDE/>
        <w:autoSpaceDN/>
        <w:bidi w:val="0"/>
        <w:adjustRightInd/>
        <w:snapToGrid/>
        <w:spacing w:line="240" w:lineRule="auto"/>
        <w:ind w:firstLine="710" w:firstLineChars="221"/>
        <w:jc w:val="left"/>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二</w:t>
      </w: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项目效益情况</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autoSpaceDE/>
        <w:autoSpaceDN/>
        <w:bidi w:val="0"/>
        <w:adjustRightInd/>
        <w:snapToGrid/>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丰富人民群众的精神文化生活，让文化惠民切实深入群众，落到实处，助力我</w:t>
      </w:r>
      <w:r>
        <w:rPr>
          <w:rFonts w:hint="default" w:ascii="Times New Roman" w:hAnsi="Times New Roman" w:eastAsia="方正仿宋_GB2312" w:cs="Times New Roman"/>
          <w:kern w:val="0"/>
          <w:sz w:val="32"/>
          <w:szCs w:val="32"/>
          <w:lang w:eastAsia="zh-CN"/>
        </w:rPr>
        <w:t>县</w:t>
      </w:r>
      <w:r>
        <w:rPr>
          <w:rFonts w:hint="default" w:ascii="Times New Roman" w:hAnsi="Times New Roman" w:eastAsia="方正仿宋_GB2312" w:cs="Times New Roman"/>
          <w:kern w:val="0"/>
          <w:sz w:val="32"/>
          <w:szCs w:val="32"/>
        </w:rPr>
        <w:t>公共文化示范区建设。</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lang w:val="en-US" w:eastAsia="zh-CN"/>
        </w:rPr>
      </w:pPr>
      <w:r>
        <w:rPr>
          <w:rFonts w:hint="default" w:ascii="Times New Roman" w:hAnsi="Times New Roman" w:eastAsia="方正仿宋_GB2312" w:cs="Times New Roman"/>
          <w:kern w:val="0"/>
          <w:sz w:val="32"/>
          <w:szCs w:val="32"/>
          <w:lang w:eastAsia="zh-CN"/>
        </w:rPr>
        <w:t>文化馆和图书馆</w:t>
      </w:r>
      <w:r>
        <w:rPr>
          <w:rFonts w:hint="default" w:ascii="Times New Roman" w:hAnsi="Times New Roman" w:eastAsia="方正仿宋_GB2312" w:cs="Times New Roman"/>
          <w:kern w:val="0"/>
          <w:sz w:val="32"/>
          <w:szCs w:val="32"/>
          <w:lang w:val="en-US" w:eastAsia="zh-CN"/>
        </w:rPr>
        <w:t>2023</w:t>
      </w:r>
      <w:r>
        <w:rPr>
          <w:rFonts w:hint="default" w:ascii="Times New Roman" w:hAnsi="Times New Roman" w:eastAsia="方正仿宋_GB2312" w:cs="Times New Roman"/>
          <w:kern w:val="0"/>
          <w:sz w:val="32"/>
          <w:szCs w:val="32"/>
        </w:rPr>
        <w:t>完成阅读推广活动10场，</w:t>
      </w:r>
      <w:r>
        <w:rPr>
          <w:rFonts w:hint="default" w:ascii="Times New Roman" w:hAnsi="Times New Roman" w:eastAsia="方正仿宋_GB2312" w:cs="Times New Roman"/>
          <w:kern w:val="0"/>
          <w:sz w:val="32"/>
          <w:szCs w:val="32"/>
          <w:lang w:eastAsia="zh-CN"/>
        </w:rPr>
        <w:t>开展流动服务</w:t>
      </w:r>
      <w:r>
        <w:rPr>
          <w:rFonts w:hint="default" w:ascii="Times New Roman" w:hAnsi="Times New Roman" w:eastAsia="方正仿宋_GB2312" w:cs="Times New Roman"/>
          <w:kern w:val="0"/>
          <w:sz w:val="32"/>
          <w:szCs w:val="32"/>
          <w:lang w:val="en-US" w:eastAsia="zh-CN"/>
        </w:rPr>
        <w:t>40余场，开展基层文化培训辅导20次。</w:t>
      </w:r>
    </w:p>
    <w:p>
      <w:pPr>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黑体" w:cs="Times New Roman"/>
          <w:color w:val="auto"/>
          <w:sz w:val="32"/>
          <w:szCs w:val="32"/>
          <w:lang w:val="zh-CN"/>
        </w:rPr>
      </w:pPr>
      <w:r>
        <w:rPr>
          <w:rFonts w:hint="eastAsia" w:eastAsia="黑体" w:cs="Times New Roman"/>
          <w:color w:val="auto"/>
          <w:sz w:val="32"/>
          <w:szCs w:val="32"/>
          <w:lang w:val="zh-CN"/>
        </w:rPr>
        <w:t>五</w:t>
      </w:r>
      <w:r>
        <w:rPr>
          <w:rFonts w:hint="default" w:ascii="Times New Roman" w:hAnsi="Times New Roman" w:eastAsia="黑体" w:cs="Times New Roman"/>
          <w:color w:val="auto"/>
          <w:sz w:val="32"/>
          <w:szCs w:val="32"/>
          <w:lang w:val="zh-CN"/>
        </w:rPr>
        <w:t>、</w:t>
      </w:r>
      <w:r>
        <w:rPr>
          <w:rFonts w:hint="eastAsia" w:eastAsia="黑体" w:cs="Times New Roman"/>
          <w:color w:val="auto"/>
          <w:sz w:val="32"/>
          <w:szCs w:val="32"/>
          <w:lang w:val="zh-CN"/>
        </w:rPr>
        <w:t>评价结论及建议</w:t>
      </w:r>
    </w:p>
    <w:p>
      <w:pPr>
        <w:keepNext w:val="0"/>
        <w:keepLines w:val="0"/>
        <w:pageBreakBefore w:val="0"/>
        <w:widowControl w:val="0"/>
        <w:kinsoku/>
        <w:wordWrap/>
        <w:overflowPunct/>
        <w:topLinePunct w:val="0"/>
        <w:bidi w:val="0"/>
        <w:spacing w:line="240" w:lineRule="auto"/>
        <w:ind w:firstLine="640"/>
        <w:textAlignment w:val="auto"/>
        <w:rPr>
          <w:rFonts w:hint="default" w:ascii="Times New Roman" w:hAnsi="Times New Roman" w:eastAsia="方正仿宋_GB2312" w:cs="Times New Roman"/>
          <w:b/>
          <w:sz w:val="32"/>
          <w:szCs w:val="32"/>
          <w:lang w:val="zh-CN"/>
        </w:rPr>
      </w:pPr>
      <w:r>
        <w:rPr>
          <w:rFonts w:hint="default" w:ascii="Times New Roman" w:hAnsi="Times New Roman" w:eastAsia="楷体_GB2312" w:cs="Times New Roman"/>
          <w:b/>
          <w:color w:val="auto"/>
          <w:sz w:val="32"/>
          <w:szCs w:val="32"/>
          <w:lang w:val="zh-CN"/>
        </w:rPr>
        <w:t>（一）评价</w:t>
      </w:r>
      <w:r>
        <w:rPr>
          <w:rFonts w:hint="eastAsia" w:eastAsia="楷体_GB2312" w:cs="Times New Roman"/>
          <w:b/>
          <w:color w:val="auto"/>
          <w:sz w:val="32"/>
          <w:szCs w:val="32"/>
          <w:lang w:val="zh-CN"/>
        </w:rPr>
        <w:t>结论</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640" w:firstLineChars="200"/>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按照工作计划，完成2023年度</w:t>
      </w:r>
      <w:r>
        <w:rPr>
          <w:rFonts w:hint="default" w:ascii="Times New Roman" w:hAnsi="Times New Roman" w:eastAsia="方正仿宋_GB2312" w:cs="Times New Roman"/>
          <w:kern w:val="0"/>
          <w:sz w:val="32"/>
          <w:szCs w:val="32"/>
          <w:lang w:eastAsia="zh-CN"/>
        </w:rPr>
        <w:t>文化馆和图书馆</w:t>
      </w:r>
      <w:r>
        <w:rPr>
          <w:rFonts w:hint="default" w:ascii="Times New Roman" w:hAnsi="Times New Roman" w:eastAsia="方正仿宋_GB2312" w:cs="Times New Roman"/>
          <w:kern w:val="0"/>
          <w:sz w:val="32"/>
          <w:szCs w:val="32"/>
        </w:rPr>
        <w:t>免费开放总体规划以及资金使用，预算支出</w:t>
      </w:r>
      <w:r>
        <w:rPr>
          <w:rFonts w:hint="default" w:ascii="Times New Roman" w:hAnsi="Times New Roman" w:eastAsia="方正仿宋_GB2312" w:cs="Times New Roman"/>
          <w:kern w:val="0"/>
          <w:sz w:val="32"/>
          <w:szCs w:val="32"/>
          <w:lang w:val="en-US" w:eastAsia="zh-CN"/>
        </w:rPr>
        <w:t>40</w:t>
      </w:r>
      <w:r>
        <w:rPr>
          <w:rFonts w:hint="default" w:ascii="Times New Roman" w:hAnsi="Times New Roman" w:eastAsia="方正仿宋_GB2312" w:cs="Times New Roman"/>
          <w:kern w:val="0"/>
          <w:sz w:val="32"/>
          <w:szCs w:val="32"/>
        </w:rPr>
        <w:t>万元，预算编制科学合理，资金管理及使用规范，自评得分</w:t>
      </w:r>
      <w:r>
        <w:rPr>
          <w:rFonts w:hint="default" w:ascii="Times New Roman" w:hAnsi="Times New Roman" w:eastAsia="方正仿宋_GB2312" w:cs="Times New Roman"/>
          <w:kern w:val="0"/>
          <w:sz w:val="32"/>
          <w:szCs w:val="32"/>
          <w:lang w:val="en-US" w:eastAsia="zh-CN"/>
        </w:rPr>
        <w:t>96</w:t>
      </w:r>
      <w:r>
        <w:rPr>
          <w:rFonts w:hint="default" w:ascii="Times New Roman" w:hAnsi="Times New Roman" w:eastAsia="方正仿宋_GB2312" w:cs="Times New Roman"/>
          <w:kern w:val="0"/>
          <w:sz w:val="32"/>
          <w:szCs w:val="32"/>
        </w:rPr>
        <w:t>分。</w:t>
      </w:r>
    </w:p>
    <w:p>
      <w:pPr>
        <w:keepNext w:val="0"/>
        <w:keepLines w:val="0"/>
        <w:pageBreakBefore w:val="0"/>
        <w:widowControl w:val="0"/>
        <w:kinsoku/>
        <w:wordWrap/>
        <w:overflowPunct/>
        <w:topLinePunct w:val="0"/>
        <w:bidi w:val="0"/>
        <w:spacing w:line="240" w:lineRule="auto"/>
        <w:ind w:firstLine="640"/>
        <w:textAlignment w:val="auto"/>
        <w:rPr>
          <w:rFonts w:hint="default" w:ascii="Times New Roman" w:hAnsi="Times New Roman" w:eastAsia="方正仿宋_GB2312" w:cs="Times New Roman"/>
          <w:b/>
          <w:sz w:val="32"/>
          <w:szCs w:val="32"/>
          <w:lang w:val="zh-CN"/>
        </w:rPr>
      </w:pP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二</w:t>
      </w:r>
      <w:r>
        <w:rPr>
          <w:rFonts w:hint="default" w:ascii="Times New Roman" w:hAnsi="Times New Roman" w:eastAsia="楷体_GB2312" w:cs="Times New Roman"/>
          <w:b/>
          <w:color w:val="auto"/>
          <w:sz w:val="32"/>
          <w:szCs w:val="32"/>
          <w:lang w:val="zh-CN"/>
        </w:rPr>
        <w:t>）</w:t>
      </w:r>
      <w:r>
        <w:rPr>
          <w:rFonts w:hint="eastAsia" w:eastAsia="楷体_GB2312" w:cs="Times New Roman"/>
          <w:b/>
          <w:color w:val="auto"/>
          <w:sz w:val="32"/>
          <w:szCs w:val="32"/>
          <w:lang w:val="zh-CN"/>
        </w:rPr>
        <w:t>存在问题及相关建议</w:t>
      </w:r>
      <w:r>
        <w:rPr>
          <w:rFonts w:hint="default" w:ascii="Times New Roman" w:hAnsi="Times New Roman" w:eastAsia="楷体_GB2312" w:cs="Times New Roman"/>
          <w:b/>
          <w:color w:val="auto"/>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rPr>
        <w:t>由于财政经费紧张，</w:t>
      </w:r>
      <w:r>
        <w:rPr>
          <w:rFonts w:hint="default" w:ascii="Times New Roman" w:hAnsi="Times New Roman" w:eastAsia="方正仿宋_GB2312" w:cs="Times New Roman"/>
          <w:kern w:val="0"/>
          <w:sz w:val="32"/>
          <w:szCs w:val="32"/>
          <w:lang w:eastAsia="zh-CN"/>
        </w:rPr>
        <w:t>文化馆和</w:t>
      </w:r>
      <w:r>
        <w:rPr>
          <w:rFonts w:hint="default" w:ascii="Times New Roman" w:hAnsi="Times New Roman" w:eastAsia="方正仿宋_GB2312" w:cs="Times New Roman"/>
          <w:kern w:val="0"/>
          <w:sz w:val="32"/>
          <w:szCs w:val="32"/>
        </w:rPr>
        <w:t>图书馆的</w:t>
      </w:r>
      <w:r>
        <w:rPr>
          <w:rFonts w:hint="default" w:ascii="Times New Roman" w:hAnsi="Times New Roman" w:eastAsia="方正仿宋_GB2312" w:cs="Times New Roman"/>
          <w:kern w:val="0"/>
          <w:sz w:val="32"/>
          <w:szCs w:val="32"/>
          <w:lang w:eastAsia="zh-CN"/>
        </w:rPr>
        <w:t>数字化建设</w:t>
      </w:r>
      <w:r>
        <w:rPr>
          <w:rFonts w:hint="default" w:ascii="Times New Roman" w:hAnsi="Times New Roman" w:eastAsia="方正仿宋_GB2312" w:cs="Times New Roman"/>
          <w:kern w:val="0"/>
          <w:sz w:val="32"/>
          <w:szCs w:val="32"/>
        </w:rPr>
        <w:t>一直停滞</w:t>
      </w:r>
      <w:r>
        <w:rPr>
          <w:rFonts w:hint="default" w:ascii="Times New Roman" w:hAnsi="Times New Roman" w:eastAsia="方正仿宋_GB2312" w:cs="Times New Roman"/>
          <w:kern w:val="0"/>
          <w:sz w:val="32"/>
          <w:szCs w:val="32"/>
          <w:lang w:eastAsia="zh-CN"/>
        </w:rPr>
        <w:t>，图书年新增量不够。文化馆和图书馆未分设，至今合署办公，</w:t>
      </w:r>
      <w:r>
        <w:rPr>
          <w:rFonts w:hint="default" w:ascii="Times New Roman" w:hAnsi="Times New Roman" w:eastAsia="方正仿宋_GB2312" w:cs="Times New Roman"/>
          <w:kern w:val="0"/>
          <w:sz w:val="32"/>
          <w:szCs w:val="32"/>
        </w:rPr>
        <w:t>导致</w:t>
      </w:r>
      <w:r>
        <w:rPr>
          <w:rFonts w:hint="default" w:ascii="Times New Roman" w:hAnsi="Times New Roman" w:eastAsia="方正仿宋_GB2312" w:cs="Times New Roman"/>
          <w:kern w:val="0"/>
          <w:sz w:val="32"/>
          <w:szCs w:val="32"/>
          <w:lang w:eastAsia="zh-CN"/>
        </w:rPr>
        <w:t>业务人员严重缺乏，基础设施建设严重落后</w:t>
      </w:r>
      <w:r>
        <w:rPr>
          <w:rFonts w:hint="eastAsia" w:eastAsia="方正仿宋_GB2312" w:cs="Times New Roman"/>
          <w:kern w:val="0"/>
          <w:sz w:val="32"/>
          <w:szCs w:val="32"/>
          <w:lang w:eastAsia="zh-CN"/>
        </w:rPr>
        <w:t>，</w:t>
      </w:r>
      <w:r>
        <w:rPr>
          <w:rFonts w:hint="default" w:ascii="Times New Roman" w:hAnsi="Times New Roman" w:eastAsia="方正仿宋_GB2312" w:cs="Times New Roman"/>
          <w:kern w:val="0"/>
          <w:sz w:val="32"/>
          <w:szCs w:val="32"/>
        </w:rPr>
        <w:t>希望</w:t>
      </w:r>
      <w:r>
        <w:rPr>
          <w:rFonts w:hint="default" w:ascii="Times New Roman" w:hAnsi="Times New Roman" w:eastAsia="方正仿宋_GB2312" w:cs="Times New Roman"/>
          <w:kern w:val="0"/>
          <w:sz w:val="32"/>
          <w:szCs w:val="32"/>
          <w:lang w:eastAsia="zh-CN"/>
        </w:rPr>
        <w:t>加大经费及人员支持。</w:t>
      </w:r>
    </w:p>
    <w:p>
      <w:pPr>
        <w:pStyle w:val="6"/>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pStyle w:val="6"/>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pStyle w:val="6"/>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bidi w:val="0"/>
        <w:spacing w:line="240" w:lineRule="auto"/>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28"/>
        </w:rPr>
        <w:t>附件2-</w:t>
      </w:r>
      <w:r>
        <w:rPr>
          <w:rFonts w:hint="default" w:ascii="Times New Roman" w:hAnsi="Times New Roman" w:eastAsia="黑体" w:cs="Times New Roman"/>
          <w:sz w:val="32"/>
          <w:szCs w:val="28"/>
          <w:lang w:val="en-US" w:eastAsia="zh-CN"/>
        </w:rPr>
        <w:t>3</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default" w:ascii="Times New Roman" w:hAnsi="Times New Roman" w:eastAsia="方正小标宋_GBK" w:cs="Times New Roman"/>
          <w:color w:val="auto"/>
          <w:kern w:val="2"/>
          <w:sz w:val="44"/>
          <w:szCs w:val="44"/>
          <w:lang w:val="en-US" w:eastAsia="zh-CN"/>
        </w:rPr>
      </w:pP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参加第十六届少数民族体育运动会</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sz w:val="44"/>
          <w:szCs w:val="44"/>
        </w:rPr>
        <w:t>项</w:t>
      </w:r>
      <w:r>
        <w:rPr>
          <w:rFonts w:hint="eastAsia" w:ascii="方正小标宋简体" w:hAnsi="方正小标宋简体" w:eastAsia="方正小标宋简体" w:cs="方正小标宋简体"/>
          <w:sz w:val="44"/>
          <w:szCs w:val="44"/>
          <w:lang w:val="en-US"/>
        </w:rPr>
        <w:t>目</w:t>
      </w:r>
      <w:r>
        <w:rPr>
          <w:rFonts w:hint="eastAsia" w:ascii="方正小标宋简体" w:hAnsi="方正小标宋简体" w:eastAsia="方正小标宋简体" w:cs="方正小标宋简体"/>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2312" w:cs="Times New Roman"/>
          <w:color w:val="auto"/>
          <w:sz w:val="32"/>
          <w:szCs w:val="32"/>
          <w:lang w:val="zh-CN"/>
        </w:rPr>
      </w:pPr>
      <w:r>
        <w:rPr>
          <w:rFonts w:hint="default" w:ascii="Times New Roman" w:hAnsi="Times New Roman" w:eastAsia="黑体" w:cs="Times New Roman"/>
          <w:color w:val="auto"/>
          <w:sz w:val="32"/>
          <w:szCs w:val="32"/>
          <w:lang w:val="zh-CN"/>
        </w:rPr>
        <w:t>一、项目概况</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（一）</w:t>
      </w:r>
      <w:r>
        <w:rPr>
          <w:rFonts w:hint="eastAsia" w:eastAsia="楷体_GB2312" w:cs="Times New Roman"/>
          <w:b/>
          <w:color w:val="auto"/>
          <w:sz w:val="32"/>
          <w:szCs w:val="32"/>
          <w:lang w:val="zh-CN" w:eastAsia="zh-CN"/>
        </w:rPr>
        <w:t>项目</w:t>
      </w:r>
      <w:r>
        <w:rPr>
          <w:rFonts w:hint="default" w:ascii="Times New Roman" w:hAnsi="Times New Roman" w:eastAsia="楷体_GB2312" w:cs="Times New Roman"/>
          <w:b/>
          <w:color w:val="auto"/>
          <w:sz w:val="32"/>
          <w:szCs w:val="32"/>
          <w:lang w:val="zh-CN" w:eastAsia="zh-CN"/>
        </w:rPr>
        <w:t>基本情况。</w:t>
      </w:r>
    </w:p>
    <w:p>
      <w:pPr>
        <w:keepNext w:val="0"/>
        <w:keepLines w:val="0"/>
        <w:pageBreakBefore w:val="0"/>
        <w:widowControl w:val="0"/>
        <w:kinsoku/>
        <w:wordWrap/>
        <w:overflowPunct/>
        <w:topLinePunct w:val="0"/>
        <w:bidi w:val="0"/>
        <w:spacing w:line="240" w:lineRule="auto"/>
        <w:ind w:firstLine="620"/>
        <w:textAlignment w:val="auto"/>
        <w:rPr>
          <w:rFonts w:hint="default" w:ascii="Times New Roman" w:hAnsi="Times New Roman" w:eastAsia="方正仿宋_GB2312" w:cs="Times New Roman"/>
          <w:color w:val="000000"/>
          <w:sz w:val="32"/>
          <w:szCs w:val="32"/>
          <w:lang w:bidi="ar"/>
        </w:rPr>
      </w:pPr>
      <w:r>
        <w:rPr>
          <w:rFonts w:hint="default" w:ascii="Times New Roman" w:hAnsi="Times New Roman" w:eastAsia="方正仿宋_GB2312" w:cs="Times New Roman"/>
          <w:sz w:val="32"/>
          <w:szCs w:val="32"/>
        </w:rPr>
        <w:t>根据《四川省第十六届少数民族体育运动会筹委会关于做好四川省第十六届少数民族体育运动会第二次报名工作的通知》文件精神，按照攀枝花市民宗委工作安排部署，盐边县代表攀枝花市承担表演项目综合类展演比赛。</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仿宋_GB2312" w:cs="Times New Roman"/>
          <w:b/>
          <w:sz w:val="32"/>
          <w:szCs w:val="32"/>
          <w:lang w:val="zh-CN"/>
        </w:rPr>
      </w:pPr>
      <w:r>
        <w:rPr>
          <w:rFonts w:hint="default" w:ascii="Times New Roman" w:hAnsi="Times New Roman" w:eastAsia="楷体_GB2312" w:cs="Times New Roman"/>
          <w:b/>
          <w:color w:val="auto"/>
          <w:sz w:val="32"/>
          <w:szCs w:val="32"/>
          <w:lang w:val="zh-CN" w:eastAsia="zh-CN"/>
        </w:rPr>
        <w:t>（二）</w:t>
      </w:r>
      <w:r>
        <w:rPr>
          <w:rFonts w:hint="eastAsia" w:eastAsia="楷体_GB2312" w:cs="Times New Roman"/>
          <w:b/>
          <w:color w:val="auto"/>
          <w:sz w:val="32"/>
          <w:szCs w:val="32"/>
          <w:lang w:val="zh-CN" w:eastAsia="zh-CN"/>
        </w:rPr>
        <w:t>项目绩效目标</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 xml:space="preserve"> </w:t>
      </w: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shd w:val="clear" w:color="auto" w:fill="FFFFFF"/>
          <w:lang w:val="en-US" w:eastAsia="zh-CN"/>
        </w:rPr>
        <w:t>.</w:t>
      </w:r>
      <w:r>
        <w:rPr>
          <w:rFonts w:hint="default" w:ascii="Times New Roman" w:hAnsi="Times New Roman" w:eastAsia="方正仿宋_GB2312" w:cs="Times New Roman"/>
          <w:b/>
          <w:bCs/>
          <w:kern w:val="0"/>
          <w:sz w:val="32"/>
          <w:szCs w:val="32"/>
        </w:rPr>
        <w:t>项目整体内容。</w:t>
      </w:r>
      <w:r>
        <w:rPr>
          <w:rFonts w:hint="default" w:ascii="Times New Roman" w:hAnsi="Times New Roman" w:eastAsia="方正仿宋_GB2312" w:cs="Times New Roman"/>
          <w:kern w:val="0"/>
          <w:sz w:val="32"/>
          <w:szCs w:val="32"/>
          <w:lang w:eastAsia="zh-CN"/>
        </w:rPr>
        <w:t>编创舞蹈《傈僳山寨丰收乐》参加</w:t>
      </w:r>
      <w:r>
        <w:rPr>
          <w:rFonts w:hint="default" w:ascii="Times New Roman" w:hAnsi="Times New Roman" w:eastAsia="方正仿宋_GB2312" w:cs="Times New Roman"/>
          <w:kern w:val="0"/>
          <w:sz w:val="32"/>
          <w:szCs w:val="32"/>
          <w:lang w:val="en-US" w:eastAsia="zh-CN"/>
        </w:rPr>
        <w:t>四川省第十六届少数民族体育运动会</w:t>
      </w:r>
      <w:r>
        <w:rPr>
          <w:rFonts w:hint="eastAsia" w:eastAsia="方正仿宋_GB2312" w:cs="Times New Roman"/>
          <w:kern w:val="0"/>
          <w:sz w:val="32"/>
          <w:szCs w:val="32"/>
          <w:lang w:val="en-US" w:eastAsia="zh-CN"/>
        </w:rPr>
        <w:t>展演</w:t>
      </w:r>
      <w:r>
        <w:rPr>
          <w:rFonts w:hint="default" w:ascii="Times New Roman" w:hAnsi="Times New Roman" w:eastAsia="方正仿宋_GB2312" w:cs="Times New Roman"/>
          <w:kern w:val="0"/>
          <w:sz w:val="32"/>
          <w:szCs w:val="32"/>
          <w:lang w:val="en-US"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shd w:val="clear" w:color="auto" w:fill="FFFFFF"/>
          <w:lang w:val="en-US" w:eastAsia="zh-CN"/>
        </w:rPr>
        <w:t>.</w:t>
      </w:r>
      <w:r>
        <w:rPr>
          <w:rFonts w:hint="default" w:ascii="Times New Roman" w:hAnsi="Times New Roman" w:eastAsia="方正仿宋_GB2312" w:cs="Times New Roman"/>
          <w:b/>
          <w:bCs/>
          <w:kern w:val="0"/>
          <w:sz w:val="32"/>
          <w:szCs w:val="32"/>
        </w:rPr>
        <w:t>项目绩效目标。</w:t>
      </w:r>
      <w:r>
        <w:rPr>
          <w:rFonts w:hint="default" w:ascii="Times New Roman" w:hAnsi="Times New Roman" w:eastAsia="方正仿宋_GB2312" w:cs="Times New Roman"/>
          <w:kern w:val="0"/>
          <w:sz w:val="32"/>
          <w:szCs w:val="32"/>
        </w:rPr>
        <w:t>展示攀枝花民族文化风采，体现盐边特色传统民族文化，对外展示攀枝花特色文化风情，展示盐边民族文化。</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eastAsia"/>
          <w:lang w:val="en-US" w:eastAsia="zh-CN"/>
        </w:rPr>
      </w:pPr>
      <w:r>
        <w:rPr>
          <w:rFonts w:hint="eastAsia" w:eastAsia="方正仿宋_GB2312" w:cs="Times New Roman"/>
          <w:b/>
          <w:bCs/>
          <w:kern w:val="0"/>
          <w:sz w:val="32"/>
          <w:szCs w:val="32"/>
          <w:shd w:val="clear" w:color="auto" w:fill="FFFFFF"/>
          <w:lang w:val="en-US" w:eastAsia="zh-CN"/>
        </w:rPr>
        <w:t>3</w:t>
      </w:r>
      <w:r>
        <w:rPr>
          <w:rFonts w:hint="default" w:ascii="Times New Roman" w:hAnsi="Times New Roman" w:eastAsia="方正仿宋_GB2312" w:cs="Times New Roman"/>
          <w:b/>
          <w:bCs/>
          <w:kern w:val="0"/>
          <w:sz w:val="32"/>
          <w:szCs w:val="32"/>
          <w:shd w:val="clear" w:color="auto" w:fill="FFFFFF"/>
          <w:lang w:val="en-US" w:eastAsia="zh-CN"/>
        </w:rPr>
        <w:t>.</w:t>
      </w:r>
      <w:r>
        <w:rPr>
          <w:rFonts w:hint="eastAsia" w:eastAsia="方正仿宋_GB2312" w:cs="Times New Roman"/>
          <w:b/>
          <w:bCs/>
          <w:kern w:val="0"/>
          <w:sz w:val="32"/>
          <w:szCs w:val="32"/>
          <w:lang w:eastAsia="zh-CN"/>
        </w:rPr>
        <w:t>项目资金申报相符性</w:t>
      </w:r>
      <w:r>
        <w:rPr>
          <w:rFonts w:hint="default" w:ascii="Times New Roman" w:hAnsi="Times New Roman" w:eastAsia="方正仿宋_GB2312" w:cs="Times New Roman"/>
          <w:b/>
          <w:bCs/>
          <w:kern w:val="0"/>
          <w:sz w:val="32"/>
          <w:szCs w:val="32"/>
        </w:rPr>
        <w:t>。</w:t>
      </w:r>
      <w:r>
        <w:rPr>
          <w:rFonts w:hint="eastAsia" w:ascii="方正仿宋_GB2312" w:hAnsi="方正仿宋_GB2312" w:eastAsia="方正仿宋_GB2312" w:cs="方正仿宋_GB2312"/>
          <w:b w:val="0"/>
          <w:bCs w:val="0"/>
          <w:kern w:val="0"/>
          <w:sz w:val="32"/>
          <w:szCs w:val="32"/>
          <w:lang w:eastAsia="zh-CN"/>
        </w:rPr>
        <w:t>该项目申报内容与具体实施内容相符，申报目标合理可行。</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（三）</w:t>
      </w:r>
      <w:r>
        <w:rPr>
          <w:rFonts w:hint="eastAsia" w:eastAsia="楷体_GB2312" w:cs="Times New Roman"/>
          <w:b/>
          <w:color w:val="auto"/>
          <w:sz w:val="32"/>
          <w:szCs w:val="32"/>
          <w:lang w:val="zh-CN" w:eastAsia="zh-CN"/>
        </w:rPr>
        <w:t>项目自评步骤及方法</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按照有关规定和工作安排，通过组建评估组，收集被评估项目相关资料</w:t>
      </w:r>
      <w:r>
        <w:rPr>
          <w:rFonts w:hint="eastAsia" w:eastAsia="方正仿宋_GB2312" w:cs="Times New Roman"/>
          <w:kern w:val="0"/>
          <w:sz w:val="32"/>
          <w:szCs w:val="32"/>
          <w:lang w:eastAsia="zh-CN"/>
        </w:rPr>
        <w:t>，</w:t>
      </w:r>
      <w:r>
        <w:rPr>
          <w:rFonts w:hint="default" w:ascii="Times New Roman" w:hAnsi="Times New Roman" w:eastAsia="方正仿宋_GB2312" w:cs="Times New Roman"/>
          <w:kern w:val="0"/>
          <w:sz w:val="32"/>
          <w:szCs w:val="32"/>
        </w:rPr>
        <w:t>查阅资料、收集数据信息等，深入论证分析后，形成绩效评估报告；对项目进行监控，采用单位自评法、问卷调查法、座谈调研法等多种方法。</w:t>
      </w:r>
    </w:p>
    <w:p>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eastAsia" w:eastAsia="黑体" w:cs="Times New Roman"/>
          <w:color w:val="auto"/>
          <w:sz w:val="32"/>
          <w:szCs w:val="32"/>
          <w:lang w:val="zh-CN"/>
        </w:rPr>
      </w:pPr>
      <w:r>
        <w:rPr>
          <w:rFonts w:hint="eastAsia" w:eastAsia="黑体" w:cs="Times New Roman"/>
          <w:color w:val="auto"/>
          <w:sz w:val="32"/>
          <w:szCs w:val="32"/>
          <w:lang w:val="zh-CN"/>
        </w:rPr>
        <w:t>二、项目资金申报及使用情况</w:t>
      </w:r>
    </w:p>
    <w:p>
      <w:pPr>
        <w:keepNext w:val="0"/>
        <w:keepLines w:val="0"/>
        <w:pageBreakBefore w:val="0"/>
        <w:widowControl w:val="0"/>
        <w:tabs>
          <w:tab w:val="left" w:pos="1911"/>
        </w:tabs>
        <w:kinsoku/>
        <w:wordWrap/>
        <w:overflowPunct/>
        <w:topLinePunct w:val="0"/>
        <w:bidi w:val="0"/>
        <w:spacing w:line="240" w:lineRule="auto"/>
        <w:ind w:firstLine="643" w:firstLineChars="200"/>
        <w:jc w:val="left"/>
        <w:textAlignment w:val="auto"/>
        <w:rPr>
          <w:rFonts w:hint="default" w:ascii="Times New Roman" w:hAnsi="Times New Roman" w:eastAsia="方正仿宋_GB2312" w:cs="Times New Roman"/>
          <w:kern w:val="0"/>
          <w:sz w:val="32"/>
          <w:szCs w:val="32"/>
          <w:lang w:val="en-US" w:eastAsia="zh-CN"/>
        </w:rPr>
      </w:pP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项目资金申报、计划及使用情况。</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lang w:val="en-US" w:eastAsia="zh-CN"/>
        </w:rPr>
        <w:t>2023年1月，根据《</w:t>
      </w:r>
      <w:r>
        <w:rPr>
          <w:rFonts w:hint="eastAsia" w:eastAsia="方正仿宋_GB2312" w:cs="Times New Roman"/>
          <w:kern w:val="0"/>
          <w:sz w:val="32"/>
          <w:szCs w:val="32"/>
          <w:lang w:val="en-US" w:eastAsia="zh-CN"/>
        </w:rPr>
        <w:t>盐边县财政局</w:t>
      </w:r>
      <w:r>
        <w:rPr>
          <w:rFonts w:hint="default" w:ascii="Times New Roman" w:hAnsi="Times New Roman" w:eastAsia="方正仿宋_GB2312" w:cs="Times New Roman"/>
          <w:kern w:val="0"/>
          <w:sz w:val="32"/>
          <w:szCs w:val="32"/>
          <w:lang w:val="en-US" w:eastAsia="zh-CN"/>
        </w:rPr>
        <w:t>关于调整参加四川</w:t>
      </w:r>
      <w:bookmarkStart w:id="49" w:name="_GoBack"/>
      <w:bookmarkEnd w:id="49"/>
      <w:r>
        <w:rPr>
          <w:rFonts w:hint="default" w:ascii="Times New Roman" w:hAnsi="Times New Roman" w:eastAsia="方正仿宋_GB2312" w:cs="Times New Roman"/>
          <w:kern w:val="0"/>
          <w:sz w:val="32"/>
          <w:szCs w:val="32"/>
          <w:lang w:val="en-US" w:eastAsia="zh-CN"/>
        </w:rPr>
        <w:t>省第十六届少数民族体育运动会参赛项目经费的通知》（盐财资行〔2022〕564号），</w:t>
      </w:r>
      <w:r>
        <w:rPr>
          <w:rFonts w:hint="default" w:ascii="Times New Roman" w:hAnsi="Times New Roman" w:eastAsia="方正仿宋_GB2312" w:cs="Times New Roman"/>
          <w:kern w:val="0"/>
          <w:sz w:val="32"/>
          <w:szCs w:val="32"/>
          <w:lang w:eastAsia="zh-CN"/>
        </w:rPr>
        <w:t>盐边县</w:t>
      </w:r>
      <w:r>
        <w:rPr>
          <w:rFonts w:hint="default" w:ascii="Times New Roman" w:hAnsi="Times New Roman" w:eastAsia="方正仿宋_GB2312" w:cs="Times New Roman"/>
          <w:kern w:val="0"/>
          <w:sz w:val="32"/>
          <w:szCs w:val="32"/>
        </w:rPr>
        <w:t>财政局下达</w:t>
      </w:r>
      <w:r>
        <w:rPr>
          <w:rFonts w:hint="default" w:ascii="Times New Roman" w:hAnsi="Times New Roman" w:eastAsia="方正仿宋_GB2312" w:cs="Times New Roman"/>
          <w:kern w:val="0"/>
          <w:sz w:val="32"/>
          <w:szCs w:val="32"/>
          <w:lang w:eastAsia="zh-CN"/>
        </w:rPr>
        <w:t>经费</w:t>
      </w:r>
      <w:r>
        <w:rPr>
          <w:rFonts w:hint="default" w:ascii="Times New Roman" w:hAnsi="Times New Roman" w:eastAsia="方正仿宋_GB2312" w:cs="Times New Roman"/>
          <w:kern w:val="0"/>
          <w:sz w:val="32"/>
          <w:szCs w:val="32"/>
          <w:lang w:val="en-US" w:eastAsia="zh-CN"/>
        </w:rPr>
        <w:t>32.59万元</w:t>
      </w:r>
      <w:r>
        <w:rPr>
          <w:rFonts w:hint="eastAsia" w:eastAsia="方正仿宋_GB2312" w:cs="Times New Roman"/>
          <w:kern w:val="0"/>
          <w:sz w:val="32"/>
          <w:szCs w:val="32"/>
          <w:lang w:val="en-US" w:eastAsia="zh-CN"/>
        </w:rPr>
        <w:t>，资金到位率100%，</w:t>
      </w:r>
      <w:r>
        <w:rPr>
          <w:rFonts w:hint="default" w:ascii="Times New Roman" w:hAnsi="Times New Roman" w:eastAsia="方正仿宋_GB2312" w:cs="Times New Roman"/>
          <w:kern w:val="0"/>
          <w:sz w:val="32"/>
          <w:szCs w:val="32"/>
        </w:rPr>
        <w:t>严格按</w:t>
      </w:r>
      <w:r>
        <w:rPr>
          <w:rFonts w:hint="default" w:ascii="Times New Roman" w:hAnsi="Times New Roman" w:eastAsia="方正仿宋_GB2312" w:cs="Times New Roman"/>
          <w:kern w:val="0"/>
          <w:sz w:val="32"/>
          <w:szCs w:val="32"/>
          <w:lang w:eastAsia="zh-CN"/>
        </w:rPr>
        <w:t>资金分配方案实施使用和管理。</w:t>
      </w:r>
    </w:p>
    <w:p>
      <w:pPr>
        <w:pageBreakBefore w:val="0"/>
        <w:widowControl w:val="0"/>
        <w:numPr>
          <w:ilvl w:val="0"/>
          <w:numId w:val="4"/>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项目财务管理情况</w:t>
      </w:r>
      <w:r>
        <w:rPr>
          <w:rFonts w:hint="default" w:ascii="Times New Roman" w:hAnsi="Times New Roman" w:eastAsia="楷体_GB2312" w:cs="Times New Roman"/>
          <w:b/>
          <w:color w:val="auto"/>
          <w:sz w:val="32"/>
          <w:szCs w:val="32"/>
          <w:lang w:val="zh-CN" w:eastAsia="zh-CN"/>
        </w:rPr>
        <w:t>。</w:t>
      </w:r>
    </w:p>
    <w:p>
      <w:pPr>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keepNext w:val="0"/>
        <w:keepLines w:val="0"/>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eastAsia" w:eastAsia="黑体" w:cs="Times New Roman"/>
          <w:color w:val="auto"/>
          <w:sz w:val="32"/>
          <w:szCs w:val="32"/>
          <w:lang w:val="zh-CN"/>
        </w:rPr>
      </w:pPr>
      <w:r>
        <w:rPr>
          <w:rFonts w:hint="eastAsia" w:eastAsia="黑体" w:cs="Times New Roman"/>
          <w:color w:val="auto"/>
          <w:sz w:val="32"/>
          <w:szCs w:val="32"/>
          <w:lang w:val="zh-CN"/>
        </w:rPr>
        <w:t>三、项目资金申报及使用情况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实施方，行使项目法人的权利，承担项目法人的责任及义务，项目实施管理实行项目法人责任制、资金使用和项目公示制、资金拨付逐级审核制度，并及时解决了项目实施过程中出现的问题，以确保公共图书馆和文化馆免费开放的质量和效益。</w:t>
      </w:r>
      <w:r>
        <w:rPr>
          <w:rFonts w:hint="eastAsia" w:ascii="方正仿宋_GB2312" w:hAnsi="方正仿宋_GB2312" w:eastAsia="方正仿宋_GB2312" w:cs="方正仿宋_GB2312"/>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楷体_GB2312" w:cs="Times New Roman"/>
          <w:b/>
          <w:color w:val="auto"/>
          <w:sz w:val="32"/>
          <w:szCs w:val="32"/>
          <w:lang w:val="zh-CN" w:eastAsia="zh-CN"/>
        </w:rPr>
      </w:pPr>
      <w:r>
        <w:rPr>
          <w:rFonts w:hint="eastAsia" w:eastAsia="黑体" w:cs="Times New Roman"/>
          <w:color w:val="auto"/>
          <w:sz w:val="32"/>
          <w:szCs w:val="32"/>
          <w:lang w:val="zh-CN"/>
        </w:rPr>
        <w:t>四、项目绩效情况</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）项目</w:t>
      </w:r>
      <w:r>
        <w:rPr>
          <w:rFonts w:hint="eastAsia" w:eastAsia="楷体_GB2312" w:cs="Times New Roman"/>
          <w:b/>
          <w:color w:val="auto"/>
          <w:sz w:val="32"/>
          <w:szCs w:val="32"/>
          <w:lang w:val="zh-CN" w:eastAsia="zh-CN"/>
        </w:rPr>
        <w:t>完成情况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shd w:val="clear" w:color="auto" w:fill="FFFFFF"/>
          <w:lang w:val="en-US" w:eastAsia="zh-CN"/>
        </w:rPr>
        <w:t>.</w:t>
      </w:r>
      <w:r>
        <w:rPr>
          <w:rFonts w:hint="default" w:ascii="Times New Roman" w:hAnsi="Times New Roman" w:eastAsia="方正仿宋_GB2312" w:cs="Times New Roman"/>
          <w:b/>
          <w:bCs/>
          <w:kern w:val="0"/>
          <w:sz w:val="32"/>
          <w:szCs w:val="32"/>
        </w:rPr>
        <w:t>项目整体内容。</w:t>
      </w:r>
      <w:r>
        <w:rPr>
          <w:rFonts w:hint="default" w:ascii="Times New Roman" w:hAnsi="Times New Roman" w:eastAsia="方正仿宋_GB2312" w:cs="Times New Roman"/>
          <w:kern w:val="0"/>
          <w:sz w:val="32"/>
          <w:szCs w:val="32"/>
          <w:lang w:eastAsia="zh-CN"/>
        </w:rPr>
        <w:t>编创舞蹈《傈僳山寨丰收乐》参加</w:t>
      </w:r>
      <w:r>
        <w:rPr>
          <w:rFonts w:hint="default" w:ascii="Times New Roman" w:hAnsi="Times New Roman" w:eastAsia="方正仿宋_GB2312" w:cs="Times New Roman"/>
          <w:kern w:val="0"/>
          <w:sz w:val="32"/>
          <w:szCs w:val="32"/>
          <w:lang w:val="en-US" w:eastAsia="zh-CN"/>
        </w:rPr>
        <w:t>四川省第十六届少数民族体育运动会</w:t>
      </w:r>
      <w:r>
        <w:rPr>
          <w:rFonts w:hint="eastAsia" w:eastAsia="方正仿宋_GB2312" w:cs="Times New Roman"/>
          <w:kern w:val="0"/>
          <w:sz w:val="32"/>
          <w:szCs w:val="32"/>
          <w:lang w:val="en-US" w:eastAsia="zh-CN"/>
        </w:rPr>
        <w:t>展演</w:t>
      </w:r>
      <w:r>
        <w:rPr>
          <w:rFonts w:hint="default" w:ascii="Times New Roman" w:hAnsi="Times New Roman" w:eastAsia="方正仿宋_GB2312" w:cs="Times New Roman"/>
          <w:kern w:val="0"/>
          <w:sz w:val="32"/>
          <w:szCs w:val="32"/>
          <w:lang w:val="en-US" w:eastAsia="zh-CN"/>
        </w:rPr>
        <w:t>。</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shd w:val="clear" w:color="auto" w:fill="FFFFFF"/>
          <w:lang w:val="en-US" w:eastAsia="zh-CN"/>
        </w:rPr>
        <w:t>.</w:t>
      </w:r>
      <w:r>
        <w:rPr>
          <w:rFonts w:hint="default" w:ascii="Times New Roman" w:hAnsi="Times New Roman" w:eastAsia="方正仿宋_GB2312" w:cs="Times New Roman"/>
          <w:b/>
          <w:bCs/>
          <w:kern w:val="0"/>
          <w:sz w:val="32"/>
          <w:szCs w:val="32"/>
        </w:rPr>
        <w:t>项目绩效目标。</w:t>
      </w:r>
      <w:r>
        <w:rPr>
          <w:rFonts w:hint="default" w:ascii="Times New Roman" w:hAnsi="Times New Roman" w:eastAsia="方正仿宋_GB2312" w:cs="Times New Roman"/>
          <w:kern w:val="0"/>
          <w:sz w:val="32"/>
          <w:szCs w:val="32"/>
        </w:rPr>
        <w:t>展示攀枝花民族文化风采，体现盐边特色传统民族文化，对外展示攀枝花特色文化风情，展示盐边民族文化。</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项目效益情况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数量指标。</w:t>
      </w:r>
      <w:r>
        <w:rPr>
          <w:rFonts w:hint="default" w:ascii="Times New Roman" w:hAnsi="Times New Roman" w:eastAsia="方正仿宋_GB2312" w:cs="Times New Roman"/>
          <w:kern w:val="0"/>
          <w:sz w:val="32"/>
          <w:szCs w:val="32"/>
          <w:lang w:val="en-US" w:eastAsia="zh-CN"/>
        </w:rPr>
        <w:t>编创舞蹈《傈僳山寨丰收乐》参加四川省第十六届少数民族体育运动会，并荣获一等奖。</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val="en-US" w:eastAsia="zh-CN"/>
        </w:rPr>
      </w:pPr>
      <w:r>
        <w:rPr>
          <w:rFonts w:hint="eastAsia" w:eastAsia="方正仿宋_GB2312" w:cs="Times New Roman"/>
          <w:b/>
          <w:bCs/>
          <w:kern w:val="0"/>
          <w:sz w:val="32"/>
          <w:szCs w:val="32"/>
          <w:lang w:val="en-US" w:eastAsia="zh-CN"/>
        </w:rPr>
        <w:t>2</w:t>
      </w:r>
      <w:r>
        <w:rPr>
          <w:rFonts w:hint="default" w:ascii="Times New Roman" w:hAnsi="Times New Roman" w:eastAsia="方正仿宋_GB2312" w:cs="Times New Roman"/>
          <w:b/>
          <w:bCs/>
          <w:kern w:val="0"/>
          <w:sz w:val="32"/>
          <w:szCs w:val="32"/>
          <w:lang w:val="en-US" w:eastAsia="zh-CN"/>
        </w:rPr>
        <w:t>.</w:t>
      </w:r>
      <w:r>
        <w:rPr>
          <w:rFonts w:hint="eastAsia" w:eastAsia="方正仿宋_GB2312" w:cs="Times New Roman"/>
          <w:b/>
          <w:bCs/>
          <w:kern w:val="0"/>
          <w:sz w:val="32"/>
          <w:szCs w:val="32"/>
          <w:lang w:val="en-US" w:eastAsia="zh-CN"/>
        </w:rPr>
        <w:t>成本</w:t>
      </w:r>
      <w:r>
        <w:rPr>
          <w:rFonts w:hint="default" w:ascii="Times New Roman" w:hAnsi="Times New Roman" w:eastAsia="方正仿宋_GB2312" w:cs="Times New Roman"/>
          <w:b/>
          <w:bCs/>
          <w:kern w:val="0"/>
          <w:sz w:val="32"/>
          <w:szCs w:val="32"/>
        </w:rPr>
        <w:t>指标。</w:t>
      </w:r>
      <w:r>
        <w:rPr>
          <w:rFonts w:hint="default" w:ascii="Times New Roman" w:hAnsi="Times New Roman" w:eastAsia="方正仿宋_GB2312" w:cs="Times New Roman"/>
          <w:kern w:val="0"/>
          <w:sz w:val="32"/>
          <w:szCs w:val="32"/>
          <w:lang w:val="en-US" w:eastAsia="zh-CN"/>
        </w:rPr>
        <w:t>参加四川省第十六届少数民族体育运动会</w:t>
      </w:r>
      <w:r>
        <w:rPr>
          <w:rFonts w:hint="eastAsia" w:eastAsia="方正仿宋_GB2312" w:cs="Times New Roman"/>
          <w:kern w:val="0"/>
          <w:sz w:val="32"/>
          <w:szCs w:val="32"/>
          <w:lang w:val="en-US" w:eastAsia="zh-CN"/>
        </w:rPr>
        <w:t>展演，预算32.59万元。</w:t>
      </w:r>
    </w:p>
    <w:p>
      <w:pPr>
        <w:pStyle w:val="6"/>
        <w:keepNext w:val="0"/>
        <w:keepLines w:val="0"/>
        <w:pageBreakBefore w:val="0"/>
        <w:widowControl w:val="0"/>
        <w:numPr>
          <w:ilvl w:val="0"/>
          <w:numId w:val="0"/>
        </w:numPr>
        <w:kinsoku/>
        <w:wordWrap/>
        <w:overflowPunct/>
        <w:topLinePunct w:val="0"/>
        <w:bidi w:val="0"/>
        <w:spacing w:line="240" w:lineRule="auto"/>
        <w:ind w:firstLine="643" w:firstLineChars="200"/>
        <w:textAlignment w:val="auto"/>
        <w:rPr>
          <w:rFonts w:hint="default" w:ascii="Times New Roman" w:hAnsi="Times New Roman" w:eastAsia="方正仿宋_GB2312" w:cs="Times New Roman"/>
          <w:sz w:val="32"/>
          <w:szCs w:val="32"/>
          <w:lang w:val="en-US" w:eastAsia="zh-CN"/>
        </w:rPr>
      </w:pPr>
      <w:r>
        <w:rPr>
          <w:rFonts w:hint="eastAsia" w:ascii="Times New Roman" w:eastAsia="方正仿宋_GB2312" w:cs="Times New Roman"/>
          <w:b/>
          <w:bCs/>
          <w:kern w:val="0"/>
          <w:sz w:val="32"/>
          <w:szCs w:val="32"/>
          <w:lang w:val="en-US" w:eastAsia="zh-CN" w:bidi="ar-SA"/>
        </w:rPr>
        <w:t>3</w:t>
      </w:r>
      <w:r>
        <w:rPr>
          <w:rFonts w:hint="default" w:ascii="Times New Roman" w:hAnsi="Times New Roman" w:eastAsia="方正仿宋_GB2312" w:cs="Times New Roman"/>
          <w:b/>
          <w:bCs/>
          <w:kern w:val="0"/>
          <w:sz w:val="32"/>
          <w:szCs w:val="32"/>
          <w:lang w:val="en-US" w:eastAsia="zh-CN" w:bidi="ar-SA"/>
        </w:rPr>
        <w:t>.效益指标。</w:t>
      </w:r>
      <w:r>
        <w:rPr>
          <w:rFonts w:hint="default" w:ascii="Times New Roman" w:hAnsi="Times New Roman" w:eastAsia="方正仿宋_GB2312" w:cs="Times New Roman"/>
          <w:sz w:val="32"/>
          <w:szCs w:val="32"/>
          <w:lang w:val="en-US" w:eastAsia="zh-CN"/>
        </w:rPr>
        <w:t>展示攀枝花民族文化风采，展现盐边特色传统民族文化，吸引更多的人关注攀枝花、来到攀枝花，从而促进相关产业发展。</w:t>
      </w:r>
    </w:p>
    <w:p>
      <w:pPr>
        <w:pStyle w:val="6"/>
        <w:keepNext w:val="0"/>
        <w:keepLines w:val="0"/>
        <w:pageBreakBefore w:val="0"/>
        <w:widowControl w:val="0"/>
        <w:tabs>
          <w:tab w:val="left" w:pos="2160"/>
        </w:tabs>
        <w:kinsoku/>
        <w:wordWrap/>
        <w:overflowPunct/>
        <w:topLinePunct w:val="0"/>
        <w:bidi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ascii="Times New Roman" w:eastAsia="黑体" w:cs="Times New Roman"/>
          <w:color w:val="auto"/>
          <w:kern w:val="2"/>
          <w:sz w:val="32"/>
          <w:szCs w:val="32"/>
          <w:lang w:val="zh-CN" w:eastAsia="zh-CN" w:bidi="ar-SA"/>
        </w:rPr>
        <w:t>五</w:t>
      </w:r>
      <w:r>
        <w:rPr>
          <w:rFonts w:hint="default" w:ascii="Times New Roman" w:hAnsi="Times New Roman" w:eastAsia="黑体" w:cs="Times New Roman"/>
          <w:color w:val="auto"/>
          <w:kern w:val="2"/>
          <w:sz w:val="32"/>
          <w:szCs w:val="32"/>
          <w:lang w:val="zh-CN" w:eastAsia="zh-CN" w:bidi="ar-SA"/>
        </w:rPr>
        <w:t>、评价结论</w:t>
      </w:r>
      <w:r>
        <w:rPr>
          <w:rFonts w:hint="eastAsia" w:ascii="Times New Roman" w:eastAsia="黑体" w:cs="Times New Roman"/>
          <w:color w:val="auto"/>
          <w:kern w:val="2"/>
          <w:sz w:val="32"/>
          <w:szCs w:val="32"/>
          <w:lang w:val="zh-CN" w:eastAsia="zh-CN" w:bidi="ar-SA"/>
        </w:rPr>
        <w:t>及建议</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评价结论</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按照工作计划，完成</w:t>
      </w:r>
      <w:r>
        <w:rPr>
          <w:rFonts w:hint="default" w:ascii="Times New Roman" w:hAnsi="Times New Roman" w:eastAsia="方正仿宋_GB2312" w:cs="Times New Roman"/>
          <w:kern w:val="0"/>
          <w:sz w:val="32"/>
          <w:szCs w:val="32"/>
          <w:lang w:val="en-US" w:eastAsia="zh-CN"/>
        </w:rPr>
        <w:t>四川省第十六届少数民族体育运动会展演任务，</w:t>
      </w:r>
      <w:r>
        <w:rPr>
          <w:rFonts w:hint="default" w:ascii="Times New Roman" w:hAnsi="Times New Roman" w:eastAsia="方正仿宋_GB2312" w:cs="Times New Roman"/>
          <w:kern w:val="0"/>
          <w:sz w:val="32"/>
          <w:szCs w:val="32"/>
        </w:rPr>
        <w:t>预算支出</w:t>
      </w:r>
      <w:r>
        <w:rPr>
          <w:rFonts w:hint="default" w:ascii="Times New Roman" w:hAnsi="Times New Roman" w:eastAsia="方正仿宋_GB2312" w:cs="Times New Roman"/>
          <w:kern w:val="0"/>
          <w:sz w:val="32"/>
          <w:szCs w:val="32"/>
          <w:lang w:val="en-US" w:eastAsia="zh-CN"/>
        </w:rPr>
        <w:t>32.59</w:t>
      </w:r>
      <w:r>
        <w:rPr>
          <w:rFonts w:hint="default" w:ascii="Times New Roman" w:hAnsi="Times New Roman" w:eastAsia="方正仿宋_GB2312" w:cs="Times New Roman"/>
          <w:kern w:val="0"/>
          <w:sz w:val="32"/>
          <w:szCs w:val="32"/>
        </w:rPr>
        <w:t>万元，预算编制科学合理，资金管理及使用规范，自评得分</w:t>
      </w:r>
      <w:r>
        <w:rPr>
          <w:rFonts w:hint="default" w:ascii="Times New Roman" w:hAnsi="Times New Roman" w:eastAsia="方正仿宋_GB2312" w:cs="Times New Roman"/>
          <w:kern w:val="0"/>
          <w:sz w:val="32"/>
          <w:szCs w:val="32"/>
          <w:lang w:val="en-US" w:eastAsia="zh-CN"/>
        </w:rPr>
        <w:t>96</w:t>
      </w:r>
      <w:r>
        <w:rPr>
          <w:rFonts w:hint="default" w:ascii="Times New Roman" w:hAnsi="Times New Roman" w:eastAsia="方正仿宋_GB2312" w:cs="Times New Roman"/>
          <w:kern w:val="0"/>
          <w:sz w:val="32"/>
          <w:szCs w:val="32"/>
        </w:rPr>
        <w:t>分。</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存在的问题及相关建议</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lang w:val="en-US" w:eastAsia="zh-CN"/>
        </w:rPr>
        <w:t>盐边县缺乏专业的舞蹈演出团队</w:t>
      </w:r>
      <w:r>
        <w:rPr>
          <w:rFonts w:hint="eastAsia" w:eastAsia="方正仿宋_GB2312" w:cs="Times New Roman"/>
          <w:kern w:val="0"/>
          <w:sz w:val="32"/>
          <w:szCs w:val="32"/>
          <w:lang w:val="en-US" w:eastAsia="zh-CN"/>
        </w:rPr>
        <w:t>，</w:t>
      </w:r>
      <w:r>
        <w:rPr>
          <w:rFonts w:hint="default" w:ascii="Times New Roman" w:hAnsi="Times New Roman" w:eastAsia="方正仿宋_GB2312" w:cs="Times New Roman"/>
          <w:kern w:val="0"/>
          <w:sz w:val="32"/>
          <w:szCs w:val="32"/>
        </w:rPr>
        <w:t>希望</w:t>
      </w:r>
      <w:r>
        <w:rPr>
          <w:rFonts w:hint="default" w:ascii="Times New Roman" w:hAnsi="Times New Roman" w:eastAsia="方正仿宋_GB2312" w:cs="Times New Roman"/>
          <w:kern w:val="0"/>
          <w:sz w:val="32"/>
          <w:szCs w:val="32"/>
          <w:lang w:eastAsia="zh-CN"/>
        </w:rPr>
        <w:t>加</w:t>
      </w:r>
      <w:r>
        <w:rPr>
          <w:rFonts w:hint="default" w:ascii="Times New Roman" w:hAnsi="Times New Roman" w:eastAsia="方正仿宋_GB2312" w:cs="Times New Roman"/>
          <w:kern w:val="0"/>
          <w:sz w:val="32"/>
          <w:szCs w:val="32"/>
          <w:lang w:val="en-US" w:eastAsia="zh-CN"/>
        </w:rPr>
        <w:t>强文艺人才和队伍建设，加大</w:t>
      </w:r>
      <w:r>
        <w:rPr>
          <w:rFonts w:hint="default" w:ascii="Times New Roman" w:hAnsi="Times New Roman" w:eastAsia="方正仿宋_GB2312" w:cs="Times New Roman"/>
          <w:kern w:val="0"/>
          <w:sz w:val="32"/>
          <w:szCs w:val="32"/>
          <w:lang w:eastAsia="zh-CN"/>
        </w:rPr>
        <w:t>经费支持。</w:t>
      </w:r>
    </w:p>
    <w:p>
      <w:pPr>
        <w:spacing w:line="560" w:lineRule="exact"/>
        <w:rPr>
          <w:rFonts w:hint="default" w:ascii="Times New Roman" w:hAnsi="Times New Roman" w:eastAsia="黑体" w:cs="Times New Roman"/>
          <w:sz w:val="32"/>
          <w:szCs w:val="28"/>
        </w:rPr>
      </w:pPr>
    </w:p>
    <w:p>
      <w:pPr>
        <w:spacing w:line="560" w:lineRule="exact"/>
        <w:rPr>
          <w:rFonts w:hint="default" w:ascii="Times New Roman" w:hAnsi="Times New Roman" w:eastAsia="黑体" w:cs="Times New Roman"/>
          <w:sz w:val="32"/>
          <w:szCs w:val="28"/>
        </w:rPr>
      </w:pPr>
    </w:p>
    <w:p>
      <w:pPr>
        <w:spacing w:line="560" w:lineRule="exact"/>
        <w:rPr>
          <w:rFonts w:hint="default" w:ascii="Times New Roman" w:hAnsi="Times New Roman" w:eastAsia="黑体" w:cs="Times New Roman"/>
          <w:sz w:val="32"/>
          <w:szCs w:val="28"/>
        </w:rPr>
      </w:pPr>
    </w:p>
    <w:p>
      <w:pPr>
        <w:spacing w:line="560" w:lineRule="exact"/>
        <w:rPr>
          <w:rFonts w:hint="default" w:ascii="Times New Roman" w:hAnsi="Times New Roman" w:eastAsia="黑体" w:cs="Times New Roman"/>
          <w:sz w:val="32"/>
          <w:szCs w:val="28"/>
        </w:rPr>
      </w:pPr>
    </w:p>
    <w:p>
      <w:pPr>
        <w:spacing w:line="560" w:lineRule="exact"/>
        <w:rPr>
          <w:rFonts w:hint="default" w:ascii="Times New Roman" w:hAnsi="Times New Roman" w:eastAsia="仿宋_GB2312" w:cs="Times New Roman"/>
          <w:sz w:val="32"/>
          <w:szCs w:val="32"/>
        </w:rPr>
      </w:pPr>
      <w:r>
        <w:rPr>
          <w:rFonts w:hint="default" w:ascii="Times New Roman" w:hAnsi="Times New Roman" w:eastAsia="黑体" w:cs="Times New Roman"/>
          <w:sz w:val="32"/>
          <w:szCs w:val="28"/>
        </w:rPr>
        <w:t>附件2-</w:t>
      </w:r>
      <w:r>
        <w:rPr>
          <w:rFonts w:hint="default" w:ascii="Times New Roman" w:hAnsi="Times New Roman" w:eastAsia="黑体" w:cs="Times New Roman"/>
          <w:sz w:val="32"/>
          <w:szCs w:val="28"/>
          <w:lang w:val="en-US" w:eastAsia="zh-CN"/>
        </w:rPr>
        <w:t>4</w:t>
      </w:r>
    </w:p>
    <w:p>
      <w:pPr>
        <w:pStyle w:val="3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color w:val="auto"/>
          <w:kern w:val="2"/>
          <w:sz w:val="44"/>
          <w:szCs w:val="44"/>
          <w:lang w:val="en-US" w:eastAsia="zh-CN"/>
        </w:rPr>
      </w:pPr>
    </w:p>
    <w:p>
      <w:pPr>
        <w:pStyle w:val="35"/>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rPr>
        <w:t xml:space="preserve"> 2021年度总结表彰表扬大会暨2022年新春慰问演出</w:t>
      </w:r>
      <w:r>
        <w:rPr>
          <w:rFonts w:hint="eastAsia" w:ascii="方正小标宋简体" w:hAnsi="方正小标宋简体" w:eastAsia="方正小标宋简体" w:cs="方正小标宋简体"/>
          <w:sz w:val="44"/>
          <w:szCs w:val="44"/>
        </w:rPr>
        <w:t>项</w:t>
      </w:r>
      <w:r>
        <w:rPr>
          <w:rFonts w:hint="eastAsia" w:ascii="方正小标宋简体" w:hAnsi="方正小标宋简体" w:eastAsia="方正小标宋简体" w:cs="方正小标宋简体"/>
          <w:sz w:val="44"/>
          <w:szCs w:val="44"/>
          <w:lang w:val="en-US"/>
        </w:rPr>
        <w:t>目</w:t>
      </w:r>
      <w:r>
        <w:rPr>
          <w:rFonts w:hint="eastAsia" w:ascii="方正小标宋简体" w:hAnsi="方正小标宋简体" w:eastAsia="方正小标宋简体" w:cs="方正小标宋简体"/>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default" w:ascii="Times New Roman" w:hAnsi="Times New Roman" w:eastAsia="黑体" w:cs="Times New Roman"/>
          <w:color w:val="auto"/>
          <w:kern w:val="2"/>
          <w:sz w:val="32"/>
          <w:szCs w:val="32"/>
          <w:lang w:val="zh-CN" w:eastAsia="zh-CN" w:bidi="ar-SA"/>
        </w:rPr>
        <w:t>一、项目概况</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（一）</w:t>
      </w:r>
      <w:r>
        <w:rPr>
          <w:rFonts w:hint="eastAsia" w:eastAsia="楷体_GB2312" w:cs="Times New Roman"/>
          <w:b/>
          <w:color w:val="auto"/>
          <w:sz w:val="32"/>
          <w:szCs w:val="32"/>
          <w:lang w:val="zh-CN" w:eastAsia="zh-CN"/>
        </w:rPr>
        <w:t>项目</w:t>
      </w:r>
      <w:r>
        <w:rPr>
          <w:rFonts w:hint="default" w:ascii="Times New Roman" w:hAnsi="Times New Roman" w:eastAsia="楷体_GB2312" w:cs="Times New Roman"/>
          <w:b/>
          <w:color w:val="auto"/>
          <w:sz w:val="32"/>
          <w:szCs w:val="32"/>
          <w:lang w:val="zh-CN" w:eastAsia="zh-CN"/>
        </w:rPr>
        <w:t>基本情况。</w:t>
      </w:r>
    </w:p>
    <w:p>
      <w:pPr>
        <w:keepNext w:val="0"/>
        <w:keepLines w:val="0"/>
        <w:pageBreakBefore w:val="0"/>
        <w:widowControl w:val="0"/>
        <w:kinsoku/>
        <w:wordWrap/>
        <w:overflowPunct/>
        <w:topLinePunct w:val="0"/>
        <w:bidi w:val="0"/>
        <w:spacing w:line="240" w:lineRule="auto"/>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eastAsia="zh-CN"/>
        </w:rPr>
        <w:t>为展示我县</w:t>
      </w:r>
      <w:r>
        <w:rPr>
          <w:rFonts w:hint="default" w:ascii="Times New Roman" w:hAnsi="Times New Roman" w:eastAsia="方正仿宋_GB2312" w:cs="Times New Roman"/>
          <w:sz w:val="32"/>
          <w:szCs w:val="32"/>
          <w:lang w:val="en-US" w:eastAsia="zh-CN"/>
        </w:rPr>
        <w:t>2021年取得的发展成就，尤其是在抗击新冠疫情和森林草原防灭火工作中取得的巨大成就，赞美盐边人民积极向上、努力拼搏的精神风貌，在县委、县政府</w:t>
      </w:r>
      <w:r>
        <w:rPr>
          <w:rFonts w:hint="eastAsia" w:eastAsia="方正仿宋_GB2312" w:cs="Times New Roman"/>
          <w:sz w:val="32"/>
          <w:szCs w:val="32"/>
          <w:lang w:val="en-US" w:eastAsia="zh-CN"/>
        </w:rPr>
        <w:t>和主管局</w:t>
      </w:r>
      <w:r>
        <w:rPr>
          <w:rFonts w:hint="default" w:ascii="Times New Roman" w:hAnsi="Times New Roman" w:eastAsia="方正仿宋_GB2312" w:cs="Times New Roman"/>
          <w:sz w:val="32"/>
          <w:szCs w:val="32"/>
          <w:lang w:val="en-US" w:eastAsia="zh-CN"/>
        </w:rPr>
        <w:t>指导下组织开展2021年度总结表彰表扬大会暨2022年新春慰问演出活动。</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仿宋_GB2312" w:cs="Times New Roman"/>
          <w:b/>
          <w:sz w:val="32"/>
          <w:szCs w:val="32"/>
          <w:lang w:val="zh-CN"/>
        </w:rPr>
      </w:pPr>
      <w:r>
        <w:rPr>
          <w:rFonts w:hint="default" w:ascii="Times New Roman" w:hAnsi="Times New Roman" w:eastAsia="楷体_GB2312" w:cs="Times New Roman"/>
          <w:b/>
          <w:color w:val="auto"/>
          <w:sz w:val="32"/>
          <w:szCs w:val="32"/>
          <w:lang w:val="zh-CN" w:eastAsia="zh-CN"/>
        </w:rPr>
        <w:t>（二）</w:t>
      </w:r>
      <w:r>
        <w:rPr>
          <w:rFonts w:hint="eastAsia" w:eastAsia="楷体_GB2312" w:cs="Times New Roman"/>
          <w:b/>
          <w:color w:val="auto"/>
          <w:sz w:val="32"/>
          <w:szCs w:val="32"/>
          <w:lang w:val="zh-CN" w:eastAsia="zh-CN"/>
        </w:rPr>
        <w:t>项目绩效目标</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sz w:val="32"/>
          <w:szCs w:val="32"/>
          <w:lang w:eastAsia="zh-CN"/>
        </w:rPr>
        <w:t>本次</w:t>
      </w:r>
      <w:r>
        <w:rPr>
          <w:rFonts w:hint="default" w:ascii="Times New Roman" w:hAnsi="Times New Roman" w:eastAsia="方正仿宋_GB2312" w:cs="Times New Roman"/>
          <w:sz w:val="32"/>
          <w:szCs w:val="32"/>
          <w:lang w:val="en-US" w:eastAsia="zh-CN"/>
        </w:rPr>
        <w:t>演出</w:t>
      </w:r>
      <w:r>
        <w:rPr>
          <w:rFonts w:hint="eastAsia" w:eastAsia="方正仿宋_GB2312" w:cs="Times New Roman"/>
          <w:sz w:val="32"/>
          <w:szCs w:val="32"/>
          <w:lang w:val="en-US" w:eastAsia="zh-CN"/>
        </w:rPr>
        <w:t>活动</w:t>
      </w:r>
      <w:r>
        <w:rPr>
          <w:rFonts w:hint="default" w:ascii="Times New Roman" w:hAnsi="Times New Roman" w:eastAsia="方正仿宋_GB2312" w:cs="Times New Roman"/>
          <w:sz w:val="32"/>
          <w:szCs w:val="32"/>
          <w:lang w:eastAsia="zh-CN"/>
        </w:rPr>
        <w:t>以歌舞为主要形式，结合流程和内容，编创相应的本土特色节目，整台晚会共</w:t>
      </w:r>
      <w:r>
        <w:rPr>
          <w:rFonts w:hint="default" w:ascii="Times New Roman" w:hAnsi="Times New Roman" w:eastAsia="方正仿宋_GB2312" w:cs="Times New Roman"/>
          <w:sz w:val="32"/>
          <w:szCs w:val="32"/>
          <w:lang w:val="en-US" w:eastAsia="zh-CN"/>
        </w:rPr>
        <w:t>10个节目，总时长60分钟。</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（三）</w:t>
      </w:r>
      <w:r>
        <w:rPr>
          <w:rFonts w:hint="eastAsia" w:eastAsia="楷体_GB2312" w:cs="Times New Roman"/>
          <w:b/>
          <w:color w:val="auto"/>
          <w:sz w:val="32"/>
          <w:szCs w:val="32"/>
          <w:lang w:val="zh-CN" w:eastAsia="zh-CN"/>
        </w:rPr>
        <w:t>项目自评步骤及方法</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eastAsia" w:eastAsia="方正仿宋_GB2312" w:cs="Times New Roman"/>
          <w:kern w:val="0"/>
          <w:sz w:val="32"/>
          <w:szCs w:val="32"/>
          <w:lang w:val="en-US" w:eastAsia="zh-CN"/>
        </w:rPr>
      </w:pPr>
      <w:r>
        <w:rPr>
          <w:rFonts w:hint="default" w:ascii="Times New Roman" w:hAnsi="Times New Roman" w:eastAsia="方正仿宋_GB2312" w:cs="Times New Roman"/>
          <w:kern w:val="0"/>
          <w:sz w:val="32"/>
          <w:szCs w:val="32"/>
        </w:rPr>
        <w:t>按照有关规定和工作安排，通过组建评估组，收集被评估项目相关资料，查阅资料、收集数据信息等，深入论证分析后，形成绩效评估报告；对项目</w:t>
      </w:r>
      <w:r>
        <w:rPr>
          <w:rFonts w:hint="eastAsia" w:eastAsia="方正仿宋_GB2312" w:cs="Times New Roman"/>
          <w:kern w:val="0"/>
          <w:sz w:val="32"/>
          <w:szCs w:val="32"/>
          <w:lang w:eastAsia="zh-CN"/>
        </w:rPr>
        <w:t>执</w:t>
      </w:r>
      <w:r>
        <w:rPr>
          <w:rFonts w:hint="default" w:ascii="Times New Roman" w:hAnsi="Times New Roman" w:eastAsia="方正仿宋_GB2312" w:cs="Times New Roman"/>
          <w:kern w:val="0"/>
          <w:sz w:val="32"/>
          <w:szCs w:val="32"/>
        </w:rPr>
        <w:t>行</w:t>
      </w:r>
      <w:r>
        <w:rPr>
          <w:rFonts w:hint="default" w:ascii="Times New Roman" w:hAnsi="Times New Roman" w:eastAsia="方正仿宋_GB2312" w:cs="Times New Roman"/>
          <w:kern w:val="0"/>
          <w:sz w:val="32"/>
          <w:szCs w:val="32"/>
          <w:lang w:val="en-US" w:eastAsia="zh-CN"/>
        </w:rPr>
        <w:t>情况进行</w:t>
      </w:r>
      <w:r>
        <w:rPr>
          <w:rFonts w:hint="default" w:ascii="Times New Roman" w:hAnsi="Times New Roman" w:eastAsia="方正仿宋_GB2312" w:cs="Times New Roman"/>
          <w:kern w:val="0"/>
          <w:sz w:val="32"/>
          <w:szCs w:val="32"/>
        </w:rPr>
        <w:t>监控，采用了单位自评法、问卷调查法、座谈调研法等多种方法。</w:t>
      </w:r>
      <w:r>
        <w:rPr>
          <w:rFonts w:hint="eastAsia" w:eastAsia="方正仿宋_GB2312" w:cs="Times New Roman"/>
          <w:kern w:val="0"/>
          <w:sz w:val="32"/>
          <w:szCs w:val="32"/>
          <w:lang w:val="en-US" w:eastAsia="zh-CN"/>
        </w:rPr>
        <w:t xml:space="preserve">           </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eastAsia" w:ascii="Times New Roman" w:hAnsi="Times New Roman" w:eastAsia="方正仿宋_GB2312" w:cs="Times New Roman"/>
          <w:kern w:val="0"/>
          <w:sz w:val="32"/>
          <w:szCs w:val="32"/>
          <w:lang w:eastAsia="zh-CN"/>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lang w:eastAsia="zh-CN"/>
        </w:rPr>
        <w:t>项目资金申报及使用情况</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eastAsia" w:eastAsia="楷体_GB2312" w:cs="Times New Roman"/>
          <w:b/>
          <w:color w:val="auto"/>
          <w:sz w:val="32"/>
          <w:szCs w:val="32"/>
          <w:lang w:val="zh-CN" w:eastAsia="zh-CN"/>
        </w:rPr>
      </w:pP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项目资金申报、计划及使用情况。</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color w:val="auto"/>
          <w:kern w:val="0"/>
          <w:sz w:val="32"/>
          <w:szCs w:val="32"/>
          <w:lang w:val="en-US" w:eastAsia="zh-CN"/>
        </w:rPr>
        <w:t>2023年1月，根据《盐边县财政局关于下达各单位春节前急待支付资金预算的通知》（盐财资行〔2023〕14号），</w:t>
      </w:r>
      <w:r>
        <w:rPr>
          <w:rFonts w:hint="default" w:ascii="Times New Roman" w:hAnsi="Times New Roman" w:eastAsia="方正仿宋_GB2312" w:cs="Times New Roman"/>
          <w:color w:val="auto"/>
          <w:kern w:val="0"/>
          <w:sz w:val="32"/>
          <w:szCs w:val="32"/>
          <w:lang w:eastAsia="zh-CN"/>
        </w:rPr>
        <w:t>盐边县</w:t>
      </w:r>
      <w:r>
        <w:rPr>
          <w:rFonts w:hint="default" w:ascii="Times New Roman" w:hAnsi="Times New Roman" w:eastAsia="方正仿宋_GB2312" w:cs="Times New Roman"/>
          <w:color w:val="auto"/>
          <w:kern w:val="0"/>
          <w:sz w:val="32"/>
          <w:szCs w:val="32"/>
        </w:rPr>
        <w:t>财政局下达</w:t>
      </w:r>
      <w:r>
        <w:rPr>
          <w:rFonts w:hint="default" w:ascii="Times New Roman" w:hAnsi="Times New Roman" w:eastAsia="方正仿宋_GB2312" w:cs="Times New Roman"/>
          <w:color w:val="auto"/>
          <w:kern w:val="0"/>
          <w:sz w:val="32"/>
          <w:szCs w:val="32"/>
          <w:lang w:eastAsia="zh-CN"/>
        </w:rPr>
        <w:t>经费</w:t>
      </w:r>
      <w:r>
        <w:rPr>
          <w:rFonts w:hint="default" w:ascii="Times New Roman" w:hAnsi="Times New Roman" w:eastAsia="方正仿宋_GB2312" w:cs="Times New Roman"/>
          <w:color w:val="auto"/>
          <w:kern w:val="0"/>
          <w:sz w:val="32"/>
          <w:szCs w:val="32"/>
          <w:lang w:val="en-US" w:eastAsia="zh-CN"/>
        </w:rPr>
        <w:t>11.51万元。</w:t>
      </w:r>
      <w:r>
        <w:rPr>
          <w:rFonts w:hint="default" w:ascii="Times New Roman" w:hAnsi="Times New Roman" w:eastAsia="方正仿宋_GB2312" w:cs="Times New Roman"/>
          <w:kern w:val="0"/>
          <w:sz w:val="32"/>
          <w:szCs w:val="32"/>
        </w:rPr>
        <w:t>严格按</w:t>
      </w:r>
      <w:r>
        <w:rPr>
          <w:rFonts w:hint="default" w:ascii="Times New Roman" w:hAnsi="Times New Roman" w:eastAsia="方正仿宋_GB2312" w:cs="Times New Roman"/>
          <w:kern w:val="0"/>
          <w:sz w:val="32"/>
          <w:szCs w:val="32"/>
          <w:lang w:eastAsia="zh-CN"/>
        </w:rPr>
        <w:t>资金分配方案实施使用和管理。</w:t>
      </w:r>
    </w:p>
    <w:p>
      <w:pPr>
        <w:pageBreakBefore w:val="0"/>
        <w:widowControl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（二）项目财务管理情况</w:t>
      </w:r>
      <w:r>
        <w:rPr>
          <w:rFonts w:hint="default" w:ascii="Times New Roman" w:hAnsi="Times New Roman" w:eastAsia="楷体_GB2312" w:cs="Times New Roman"/>
          <w:b/>
          <w:color w:val="auto"/>
          <w:sz w:val="32"/>
          <w:szCs w:val="32"/>
          <w:lang w:val="zh-CN" w:eastAsia="zh-CN"/>
        </w:rPr>
        <w:t>。</w:t>
      </w:r>
    </w:p>
    <w:p>
      <w:pPr>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eastAsia="黑体" w:cs="Times New Roman"/>
          <w:color w:val="auto"/>
          <w:kern w:val="2"/>
          <w:sz w:val="32"/>
          <w:szCs w:val="32"/>
          <w:lang w:val="zh-CN" w:eastAsia="zh-CN" w:bidi="ar-SA"/>
        </w:rPr>
        <w:t>三</w:t>
      </w:r>
      <w:r>
        <w:rPr>
          <w:rFonts w:hint="default" w:ascii="Times New Roman" w:hAnsi="Times New Roman" w:eastAsia="黑体" w:cs="Times New Roman"/>
          <w:color w:val="auto"/>
          <w:kern w:val="2"/>
          <w:sz w:val="32"/>
          <w:szCs w:val="32"/>
          <w:lang w:val="zh-CN" w:eastAsia="zh-CN" w:bidi="ar-SA"/>
        </w:rPr>
        <w:t>、</w:t>
      </w:r>
      <w:r>
        <w:rPr>
          <w:rFonts w:hint="eastAsia" w:eastAsia="黑体" w:cs="Times New Roman"/>
          <w:color w:val="auto"/>
          <w:kern w:val="2"/>
          <w:sz w:val="32"/>
          <w:szCs w:val="32"/>
          <w:lang w:val="zh-CN" w:eastAsia="zh-CN" w:bidi="ar-SA"/>
        </w:rPr>
        <w:t>项目实施及管理情况</w:t>
      </w:r>
    </w:p>
    <w:p>
      <w:pPr>
        <w:keepNext w:val="0"/>
        <w:keepLines w:val="0"/>
        <w:pageBreakBefore w:val="0"/>
        <w:widowControl w:val="0"/>
        <w:tabs>
          <w:tab w:val="left" w:pos="1911"/>
        </w:tabs>
        <w:kinsoku/>
        <w:wordWrap/>
        <w:overflowPunct/>
        <w:topLinePunct w:val="0"/>
        <w:bidi w:val="0"/>
        <w:spacing w:line="240" w:lineRule="auto"/>
        <w:ind w:firstLine="640" w:firstLineChars="200"/>
        <w:jc w:val="left"/>
        <w:textAlignment w:val="auto"/>
        <w:rPr>
          <w:rFonts w:hint="eastAsia" w:ascii="方正仿宋_GB2312" w:hAnsi="方正仿宋_GB2312" w:eastAsia="方正仿宋_GB2312" w:cs="方正仿宋_GB2312"/>
          <w:b w:val="0"/>
          <w:bCs/>
          <w:color w:val="auto"/>
          <w:sz w:val="32"/>
          <w:szCs w:val="32"/>
          <w:lang w:val="en-US"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实施方，行使项目法人的权利，承担项目法人的责任及义务，项目实施管理实行项目法人责任制、资金使用和项目公示制、资金拨付逐级审核制度，并及时解决了项目实施过程中出现的问题，以确保公共图书馆和文化馆免费开放的质量和效益。</w:t>
      </w:r>
      <w:r>
        <w:rPr>
          <w:rFonts w:hint="eastAsia" w:ascii="方正仿宋_GB2312" w:hAnsi="方正仿宋_GB2312" w:eastAsia="方正仿宋_GB2312" w:cs="方正仿宋_GB2312"/>
          <w:b w:val="0"/>
          <w:bCs/>
          <w:color w:val="auto"/>
          <w:sz w:val="32"/>
          <w:szCs w:val="32"/>
          <w:lang w:val="en-US" w:eastAsia="zh-CN"/>
        </w:rPr>
        <w:t xml:space="preserve">     </w:t>
      </w:r>
    </w:p>
    <w:p>
      <w:pPr>
        <w:keepNext w:val="0"/>
        <w:keepLines w:val="0"/>
        <w:pageBreakBefore w:val="0"/>
        <w:widowControl w:val="0"/>
        <w:tabs>
          <w:tab w:val="left" w:pos="1911"/>
        </w:tabs>
        <w:kinsoku/>
        <w:wordWrap/>
        <w:overflowPunct/>
        <w:topLinePunct w:val="0"/>
        <w:bidi w:val="0"/>
        <w:spacing w:line="240" w:lineRule="auto"/>
        <w:ind w:firstLine="640" w:firstLineChars="200"/>
        <w:jc w:val="left"/>
        <w:textAlignment w:val="auto"/>
        <w:rPr>
          <w:rFonts w:hint="eastAsia" w:ascii="黑体" w:hAnsi="黑体" w:eastAsia="黑体" w:cs="黑体"/>
          <w:kern w:val="0"/>
          <w:sz w:val="32"/>
          <w:szCs w:val="32"/>
          <w:lang w:val="en-US" w:eastAsia="zh-CN"/>
        </w:rPr>
      </w:pPr>
      <w:r>
        <w:rPr>
          <w:rFonts w:hint="eastAsia" w:ascii="黑体" w:hAnsi="黑体" w:eastAsia="黑体" w:cs="黑体"/>
          <w:b w:val="0"/>
          <w:bCs/>
          <w:color w:val="auto"/>
          <w:sz w:val="32"/>
          <w:szCs w:val="32"/>
          <w:lang w:val="en-US" w:eastAsia="zh-CN"/>
        </w:rPr>
        <w:t>四、</w:t>
      </w:r>
      <w:r>
        <w:rPr>
          <w:rFonts w:hint="eastAsia" w:ascii="黑体" w:hAnsi="黑体" w:eastAsia="黑体" w:cs="黑体"/>
          <w:color w:val="auto"/>
          <w:kern w:val="2"/>
          <w:sz w:val="32"/>
          <w:szCs w:val="32"/>
          <w:lang w:val="zh-CN" w:eastAsia="zh-CN" w:bidi="ar-SA"/>
        </w:rPr>
        <w:t>项目绩效情况</w:t>
      </w:r>
    </w:p>
    <w:p>
      <w:pPr>
        <w:keepNext w:val="0"/>
        <w:keepLines w:val="0"/>
        <w:pageBreakBefore w:val="0"/>
        <w:widowControl w:val="0"/>
        <w:kinsoku/>
        <w:wordWrap/>
        <w:overflowPunct/>
        <w:topLinePunct w:val="0"/>
        <w:bidi w:val="0"/>
        <w:spacing w:line="240" w:lineRule="auto"/>
        <w:ind w:firstLine="643" w:firstLineChars="200"/>
        <w:jc w:val="left"/>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（一）</w:t>
      </w:r>
      <w:r>
        <w:rPr>
          <w:rFonts w:hint="eastAsia" w:eastAsia="楷体_GB2312" w:cs="Times New Roman"/>
          <w:b/>
          <w:color w:val="auto"/>
          <w:sz w:val="32"/>
          <w:szCs w:val="32"/>
          <w:lang w:val="zh-CN" w:eastAsia="zh-CN"/>
        </w:rPr>
        <w:t>项目完成情况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kinsoku/>
        <w:wordWrap/>
        <w:overflowPunct/>
        <w:topLinePunct w:val="0"/>
        <w:bidi w:val="0"/>
        <w:spacing w:line="240" w:lineRule="auto"/>
        <w:ind w:firstLine="640" w:firstLineChars="200"/>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sz w:val="32"/>
          <w:szCs w:val="32"/>
          <w:lang w:eastAsia="zh-CN"/>
        </w:rPr>
        <w:t>本次表彰表扬大会以歌舞为主要形式，结合流程和内容，编创相应的本土特色节目，整台晚会共</w:t>
      </w:r>
      <w:r>
        <w:rPr>
          <w:rFonts w:hint="default" w:ascii="Times New Roman" w:hAnsi="Times New Roman" w:eastAsia="方正仿宋_GB2312" w:cs="Times New Roman"/>
          <w:sz w:val="32"/>
          <w:szCs w:val="32"/>
          <w:lang w:val="en-US" w:eastAsia="zh-CN"/>
        </w:rPr>
        <w:t>10个节目，总时长60分钟。</w:t>
      </w:r>
    </w:p>
    <w:p>
      <w:pPr>
        <w:keepNext w:val="0"/>
        <w:keepLines w:val="0"/>
        <w:pageBreakBefore w:val="0"/>
        <w:widowControl w:val="0"/>
        <w:numPr>
          <w:ilvl w:val="0"/>
          <w:numId w:val="0"/>
        </w:numPr>
        <w:tabs>
          <w:tab w:val="left" w:pos="1911"/>
        </w:tabs>
        <w:kinsoku/>
        <w:wordWrap/>
        <w:overflowPunct/>
        <w:topLinePunct w:val="0"/>
        <w:bidi w:val="0"/>
        <w:spacing w:line="240" w:lineRule="auto"/>
        <w:ind w:leftChars="200"/>
        <w:jc w:val="left"/>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（二）项目效益情况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kinsoku/>
        <w:wordWrap/>
        <w:overflowPunct/>
        <w:topLinePunct w:val="0"/>
        <w:bidi w:val="0"/>
        <w:spacing w:line="240" w:lineRule="auto"/>
        <w:ind w:firstLine="643" w:firstLineChars="200"/>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数量指标。</w:t>
      </w:r>
      <w:r>
        <w:rPr>
          <w:rFonts w:hint="default" w:ascii="Times New Roman" w:hAnsi="Times New Roman" w:eastAsia="方正仿宋_GB2312" w:cs="Times New Roman"/>
          <w:sz w:val="32"/>
          <w:szCs w:val="32"/>
          <w:lang w:eastAsia="zh-CN"/>
        </w:rPr>
        <w:t>编创相应的本土特色节目，整台晚会共</w:t>
      </w:r>
      <w:r>
        <w:rPr>
          <w:rFonts w:hint="default" w:ascii="Times New Roman" w:hAnsi="Times New Roman" w:eastAsia="方正仿宋_GB2312" w:cs="Times New Roman"/>
          <w:sz w:val="32"/>
          <w:szCs w:val="32"/>
          <w:lang w:val="en-US" w:eastAsia="zh-CN"/>
        </w:rPr>
        <w:t>10个节目，总时长60分钟。</w:t>
      </w:r>
    </w:p>
    <w:p>
      <w:pPr>
        <w:pStyle w:val="6"/>
        <w:keepNext w:val="0"/>
        <w:keepLines w:val="0"/>
        <w:pageBreakBefore w:val="0"/>
        <w:widowControl w:val="0"/>
        <w:numPr>
          <w:ilvl w:val="0"/>
          <w:numId w:val="0"/>
        </w:numPr>
        <w:kinsoku/>
        <w:wordWrap/>
        <w:overflowPunct/>
        <w:topLinePunct w:val="0"/>
        <w:bidi w:val="0"/>
        <w:spacing w:line="240" w:lineRule="auto"/>
        <w:ind w:firstLine="643"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kern w:val="0"/>
          <w:sz w:val="32"/>
          <w:szCs w:val="32"/>
          <w:lang w:val="en-US" w:eastAsia="zh-CN" w:bidi="ar-SA"/>
        </w:rPr>
        <w:t>2.效益指标。</w:t>
      </w:r>
      <w:r>
        <w:rPr>
          <w:rFonts w:hint="default" w:ascii="Times New Roman" w:hAnsi="Times New Roman" w:eastAsia="方正仿宋_GB2312" w:cs="Times New Roman"/>
          <w:sz w:val="32"/>
          <w:szCs w:val="32"/>
          <w:lang w:eastAsia="zh-CN"/>
        </w:rPr>
        <w:t>展示我县</w:t>
      </w:r>
      <w:r>
        <w:rPr>
          <w:rFonts w:hint="default" w:ascii="Times New Roman" w:hAnsi="Times New Roman" w:eastAsia="方正仿宋_GB2312" w:cs="Times New Roman"/>
          <w:sz w:val="32"/>
          <w:szCs w:val="32"/>
          <w:lang w:val="en-US" w:eastAsia="zh-CN"/>
        </w:rPr>
        <w:t>2021年取得的发展成就，尤其是在抗击新冠疫情和森林草原防灭火工作中取得的巨大成就，赞美盐边人民积极向上、努力拼搏的精神风貌。</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eastAsia="黑体" w:cs="Times New Roman"/>
          <w:color w:val="auto"/>
          <w:kern w:val="2"/>
          <w:sz w:val="32"/>
          <w:szCs w:val="32"/>
          <w:lang w:val="zh-CN" w:eastAsia="zh-CN" w:bidi="ar-SA"/>
        </w:rPr>
        <w:t>五</w:t>
      </w:r>
      <w:r>
        <w:rPr>
          <w:rFonts w:hint="default" w:ascii="Times New Roman" w:hAnsi="Times New Roman" w:eastAsia="黑体" w:cs="Times New Roman"/>
          <w:color w:val="auto"/>
          <w:kern w:val="2"/>
          <w:sz w:val="32"/>
          <w:szCs w:val="32"/>
          <w:lang w:val="zh-CN" w:eastAsia="zh-CN" w:bidi="ar-SA"/>
        </w:rPr>
        <w:t>、评价结论</w:t>
      </w:r>
      <w:r>
        <w:rPr>
          <w:rFonts w:hint="eastAsia" w:eastAsia="黑体" w:cs="Times New Roman"/>
          <w:color w:val="auto"/>
          <w:kern w:val="2"/>
          <w:sz w:val="32"/>
          <w:szCs w:val="32"/>
          <w:lang w:val="zh-CN" w:eastAsia="zh-CN" w:bidi="ar-SA"/>
        </w:rPr>
        <w:t>及建议</w:t>
      </w:r>
    </w:p>
    <w:p>
      <w:pPr>
        <w:keepNext w:val="0"/>
        <w:keepLines w:val="0"/>
        <w:pageBreakBefore w:val="0"/>
        <w:widowControl w:val="0"/>
        <w:numPr>
          <w:ilvl w:val="0"/>
          <w:numId w:val="0"/>
        </w:numPr>
        <w:tabs>
          <w:tab w:val="left" w:pos="1911"/>
        </w:tabs>
        <w:kinsoku/>
        <w:wordWrap/>
        <w:overflowPunct/>
        <w:topLinePunct w:val="0"/>
        <w:bidi w:val="0"/>
        <w:spacing w:line="240" w:lineRule="auto"/>
        <w:ind w:leftChars="200"/>
        <w:jc w:val="left"/>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（一）评价结论</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按照工作计划，完成</w:t>
      </w:r>
      <w:r>
        <w:rPr>
          <w:rFonts w:hint="default" w:ascii="Times New Roman" w:hAnsi="Times New Roman" w:eastAsia="方正仿宋_GB2312" w:cs="Times New Roman"/>
          <w:sz w:val="32"/>
          <w:szCs w:val="32"/>
          <w:lang w:val="en-US" w:eastAsia="zh-CN"/>
        </w:rPr>
        <w:t>2021年度总结表彰表扬大会暨2022年新春慰问演出</w:t>
      </w:r>
      <w:r>
        <w:rPr>
          <w:rFonts w:hint="default" w:ascii="Times New Roman" w:hAnsi="Times New Roman" w:eastAsia="方正仿宋_GB2312" w:cs="Times New Roman"/>
          <w:kern w:val="0"/>
          <w:sz w:val="32"/>
          <w:szCs w:val="32"/>
          <w:lang w:val="en-US" w:eastAsia="zh-CN"/>
        </w:rPr>
        <w:t>，</w:t>
      </w:r>
      <w:r>
        <w:rPr>
          <w:rFonts w:hint="default" w:ascii="Times New Roman" w:hAnsi="Times New Roman" w:eastAsia="方正仿宋_GB2312" w:cs="Times New Roman"/>
          <w:kern w:val="0"/>
          <w:sz w:val="32"/>
          <w:szCs w:val="32"/>
        </w:rPr>
        <w:t>预算支出</w:t>
      </w:r>
      <w:r>
        <w:rPr>
          <w:rFonts w:hint="default" w:ascii="Times New Roman" w:hAnsi="Times New Roman" w:eastAsia="方正仿宋_GB2312" w:cs="Times New Roman"/>
          <w:kern w:val="0"/>
          <w:sz w:val="32"/>
          <w:szCs w:val="32"/>
          <w:lang w:val="en-US" w:eastAsia="zh-CN"/>
        </w:rPr>
        <w:t>11.51</w:t>
      </w:r>
      <w:r>
        <w:rPr>
          <w:rFonts w:hint="default" w:ascii="Times New Roman" w:hAnsi="Times New Roman" w:eastAsia="方正仿宋_GB2312" w:cs="Times New Roman"/>
          <w:kern w:val="0"/>
          <w:sz w:val="32"/>
          <w:szCs w:val="32"/>
        </w:rPr>
        <w:t>万元，预算编制科学合理，资金管理及使用规范，自评得分</w:t>
      </w:r>
      <w:r>
        <w:rPr>
          <w:rFonts w:hint="default" w:ascii="Times New Roman" w:hAnsi="Times New Roman" w:eastAsia="方正仿宋_GB2312" w:cs="Times New Roman"/>
          <w:kern w:val="0"/>
          <w:sz w:val="32"/>
          <w:szCs w:val="32"/>
          <w:lang w:val="en-US" w:eastAsia="zh-CN"/>
        </w:rPr>
        <w:t>96</w:t>
      </w:r>
      <w:r>
        <w:rPr>
          <w:rFonts w:hint="default" w:ascii="Times New Roman" w:hAnsi="Times New Roman" w:eastAsia="方正仿宋_GB2312" w:cs="Times New Roman"/>
          <w:kern w:val="0"/>
          <w:sz w:val="32"/>
          <w:szCs w:val="32"/>
        </w:rPr>
        <w:t>分。</w:t>
      </w:r>
    </w:p>
    <w:p>
      <w:pPr>
        <w:keepNext w:val="0"/>
        <w:keepLines w:val="0"/>
        <w:pageBreakBefore w:val="0"/>
        <w:widowControl w:val="0"/>
        <w:numPr>
          <w:ilvl w:val="0"/>
          <w:numId w:val="0"/>
        </w:numPr>
        <w:tabs>
          <w:tab w:val="left" w:pos="1911"/>
        </w:tabs>
        <w:kinsoku/>
        <w:wordWrap/>
        <w:overflowPunct/>
        <w:topLinePunct w:val="0"/>
        <w:bidi w:val="0"/>
        <w:spacing w:line="240" w:lineRule="auto"/>
        <w:ind w:leftChars="200"/>
        <w:jc w:val="left"/>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（二）存在的问题及相关建议</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lang w:val="en-US" w:eastAsia="zh-CN"/>
        </w:rPr>
        <w:t>盐边县缺乏专业的舞蹈演出团队</w:t>
      </w:r>
      <w:r>
        <w:rPr>
          <w:rFonts w:hint="eastAsia" w:eastAsia="方正仿宋_GB2312" w:cs="Times New Roman"/>
          <w:kern w:val="0"/>
          <w:sz w:val="32"/>
          <w:szCs w:val="32"/>
          <w:lang w:val="en-US" w:eastAsia="zh-CN"/>
        </w:rPr>
        <w:t>，</w:t>
      </w:r>
      <w:r>
        <w:rPr>
          <w:rFonts w:hint="default" w:ascii="Times New Roman" w:hAnsi="Times New Roman" w:eastAsia="方正仿宋_GB2312" w:cs="Times New Roman"/>
          <w:kern w:val="0"/>
          <w:sz w:val="32"/>
          <w:szCs w:val="32"/>
        </w:rPr>
        <w:t>希望</w:t>
      </w:r>
      <w:r>
        <w:rPr>
          <w:rFonts w:hint="default" w:ascii="Times New Roman" w:hAnsi="Times New Roman" w:eastAsia="方正仿宋_GB2312" w:cs="Times New Roman"/>
          <w:kern w:val="0"/>
          <w:sz w:val="32"/>
          <w:szCs w:val="32"/>
          <w:lang w:eastAsia="zh-CN"/>
        </w:rPr>
        <w:t>加</w:t>
      </w:r>
      <w:r>
        <w:rPr>
          <w:rFonts w:hint="default" w:ascii="Times New Roman" w:hAnsi="Times New Roman" w:eastAsia="方正仿宋_GB2312" w:cs="Times New Roman"/>
          <w:kern w:val="0"/>
          <w:sz w:val="32"/>
          <w:szCs w:val="32"/>
          <w:lang w:val="en-US" w:eastAsia="zh-CN"/>
        </w:rPr>
        <w:t>强文艺人才和队伍建设，加大</w:t>
      </w:r>
      <w:r>
        <w:rPr>
          <w:rFonts w:hint="default" w:ascii="Times New Roman" w:hAnsi="Times New Roman" w:eastAsia="方正仿宋_GB2312" w:cs="Times New Roman"/>
          <w:kern w:val="0"/>
          <w:sz w:val="32"/>
          <w:szCs w:val="32"/>
          <w:lang w:eastAsia="zh-CN"/>
        </w:rPr>
        <w:t>经费支持。</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28"/>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28"/>
        </w:rPr>
        <w:t>附件2-</w:t>
      </w:r>
      <w:r>
        <w:rPr>
          <w:rFonts w:hint="default" w:ascii="Times New Roman" w:hAnsi="Times New Roman" w:eastAsia="黑体" w:cs="Times New Roman"/>
          <w:sz w:val="32"/>
          <w:szCs w:val="28"/>
          <w:lang w:val="en-US" w:eastAsia="zh-CN"/>
        </w:rPr>
        <w:t>5</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default" w:ascii="Times New Roman" w:hAnsi="Times New Roman" w:eastAsia="方正小标宋_GBK" w:cs="Times New Roman"/>
          <w:color w:val="auto"/>
          <w:kern w:val="2"/>
          <w:sz w:val="44"/>
          <w:szCs w:val="44"/>
          <w:lang w:val="en-US" w:eastAsia="zh-CN"/>
        </w:rPr>
      </w:pP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省级非物质文化遗产保护</w:t>
      </w:r>
      <w:r>
        <w:rPr>
          <w:rFonts w:hint="eastAsia" w:ascii="方正小标宋简体" w:hAnsi="方正小标宋简体" w:eastAsia="方正小标宋简体" w:cs="方正小标宋简体"/>
          <w:sz w:val="44"/>
          <w:szCs w:val="44"/>
          <w:lang w:val="en-US" w:eastAsia="zh-CN"/>
        </w:rPr>
        <w:t>传承项目</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default" w:ascii="Times New Roman" w:hAnsi="Times New Roman" w:eastAsia="黑体" w:cs="Times New Roman"/>
          <w:color w:val="auto"/>
          <w:kern w:val="2"/>
          <w:sz w:val="32"/>
          <w:szCs w:val="32"/>
          <w:lang w:val="zh-CN" w:eastAsia="zh-CN" w:bidi="ar-SA"/>
        </w:rPr>
        <w:t>一、项目概况</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（一）</w:t>
      </w:r>
      <w:r>
        <w:rPr>
          <w:rFonts w:hint="eastAsia" w:eastAsia="楷体_GB2312" w:cs="Times New Roman"/>
          <w:b/>
          <w:color w:val="auto"/>
          <w:sz w:val="32"/>
          <w:szCs w:val="32"/>
          <w:lang w:val="zh-CN" w:eastAsia="zh-CN"/>
        </w:rPr>
        <w:t>项目</w:t>
      </w:r>
      <w:r>
        <w:rPr>
          <w:rFonts w:hint="default" w:ascii="Times New Roman" w:hAnsi="Times New Roman" w:eastAsia="楷体_GB2312" w:cs="Times New Roman"/>
          <w:b/>
          <w:color w:val="auto"/>
          <w:sz w:val="32"/>
          <w:szCs w:val="32"/>
          <w:lang w:val="zh-CN" w:eastAsia="zh-CN"/>
        </w:rPr>
        <w:t>基本情况。</w:t>
      </w:r>
    </w:p>
    <w:p>
      <w:pPr>
        <w:keepNext w:val="0"/>
        <w:keepLines w:val="0"/>
        <w:pageBreakBefore w:val="0"/>
        <w:widowControl w:val="0"/>
        <w:kinsoku/>
        <w:wordWrap/>
        <w:overflowPunct/>
        <w:topLinePunct w:val="0"/>
        <w:bidi w:val="0"/>
        <w:spacing w:line="240" w:lineRule="auto"/>
        <w:ind w:firstLine="640" w:firstLineChars="200"/>
        <w:textAlignment w:val="auto"/>
        <w:rPr>
          <w:rFonts w:hint="default" w:ascii="Times New Roman" w:hAnsi="Times New Roman" w:eastAsia="方正仿宋_GB2312" w:cs="Times New Roman"/>
          <w:color w:val="000000"/>
          <w:sz w:val="32"/>
          <w:szCs w:val="32"/>
          <w:lang w:bidi="ar"/>
        </w:rPr>
      </w:pPr>
      <w:r>
        <w:rPr>
          <w:rFonts w:hint="default" w:ascii="Times New Roman" w:hAnsi="Times New Roman" w:eastAsia="方正仿宋_GB2312" w:cs="Times New Roman"/>
          <w:sz w:val="32"/>
          <w:szCs w:val="32"/>
        </w:rPr>
        <w:t>非物质文化遗产是民族文化的精华，保护非物质文化遗产，对于增强民族的自信心、自豪感，促进经济、社会、文化的全面协调发展，构建社会主义和谐社会，推进我县实施“文旅强县”的目标都起到</w:t>
      </w:r>
      <w:r>
        <w:rPr>
          <w:rFonts w:hint="default" w:ascii="Times New Roman" w:hAnsi="Times New Roman" w:eastAsia="方正仿宋_GB2312" w:cs="Times New Roman"/>
          <w:sz w:val="32"/>
          <w:szCs w:val="32"/>
          <w:lang w:eastAsia="zh-CN"/>
        </w:rPr>
        <w:t>了</w:t>
      </w:r>
      <w:r>
        <w:rPr>
          <w:rFonts w:hint="default" w:ascii="Times New Roman" w:hAnsi="Times New Roman" w:eastAsia="方正仿宋_GB2312" w:cs="Times New Roman"/>
          <w:sz w:val="32"/>
          <w:szCs w:val="32"/>
        </w:rPr>
        <w:t>积极的促进作用。目前我县</w:t>
      </w:r>
      <w:r>
        <w:rPr>
          <w:rFonts w:hint="default" w:ascii="Times New Roman" w:hAnsi="Times New Roman" w:eastAsia="方正仿宋_GB2312" w:cs="Times New Roman"/>
          <w:sz w:val="32"/>
          <w:szCs w:val="32"/>
          <w:lang w:val="en-US" w:eastAsia="zh-CN"/>
        </w:rPr>
        <w:t>有</w:t>
      </w:r>
      <w:r>
        <w:rPr>
          <w:rFonts w:hint="default" w:ascii="Times New Roman" w:hAnsi="Times New Roman" w:eastAsia="方正仿宋_GB2312" w:cs="Times New Roman"/>
          <w:sz w:val="32"/>
          <w:szCs w:val="32"/>
          <w:lang w:eastAsia="zh-CN"/>
        </w:rPr>
        <w:t>省级</w:t>
      </w:r>
      <w:r>
        <w:rPr>
          <w:rFonts w:hint="eastAsia" w:eastAsia="方正仿宋_GB2312" w:cs="Times New Roman"/>
          <w:sz w:val="32"/>
          <w:szCs w:val="32"/>
          <w:lang w:eastAsia="zh-CN"/>
        </w:rPr>
        <w:t>非遗代表性</w:t>
      </w:r>
      <w:r>
        <w:rPr>
          <w:rFonts w:hint="default" w:ascii="Times New Roman" w:hAnsi="Times New Roman" w:eastAsia="方正仿宋_GB2312" w:cs="Times New Roman"/>
          <w:sz w:val="32"/>
          <w:szCs w:val="32"/>
          <w:lang w:eastAsia="zh-CN"/>
        </w:rPr>
        <w:t>传承人</w:t>
      </w:r>
      <w:r>
        <w:rPr>
          <w:rFonts w:hint="default" w:ascii="Times New Roman" w:hAnsi="Times New Roman" w:eastAsia="方正仿宋_GB2312" w:cs="Times New Roman"/>
          <w:sz w:val="32"/>
          <w:szCs w:val="32"/>
          <w:lang w:val="en-US" w:eastAsia="zh-CN"/>
        </w:rPr>
        <w:t>4人。</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（二）</w:t>
      </w:r>
      <w:r>
        <w:rPr>
          <w:rFonts w:hint="eastAsia" w:eastAsia="楷体_GB2312" w:cs="Times New Roman"/>
          <w:b/>
          <w:color w:val="auto"/>
          <w:sz w:val="32"/>
          <w:szCs w:val="32"/>
          <w:lang w:val="zh-CN" w:eastAsia="zh-CN"/>
        </w:rPr>
        <w:t>项目绩效目标</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项目资金进行专款专用，实施目的达到：</w:t>
      </w:r>
      <w:r>
        <w:rPr>
          <w:rFonts w:hint="default" w:ascii="Times New Roman" w:hAnsi="Times New Roman" w:eastAsia="方正仿宋_GB2312" w:cs="Times New Roman"/>
          <w:sz w:val="32"/>
          <w:szCs w:val="32"/>
        </w:rPr>
        <w:t>完成</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w:t>
      </w:r>
      <w:r>
        <w:rPr>
          <w:rFonts w:hint="default" w:ascii="Times New Roman" w:hAnsi="Times New Roman" w:eastAsia="方正仿宋_GB2312" w:cs="Times New Roman"/>
          <w:sz w:val="32"/>
          <w:szCs w:val="32"/>
          <w:lang w:eastAsia="zh-CN"/>
        </w:rPr>
        <w:t>省级</w:t>
      </w:r>
      <w:r>
        <w:rPr>
          <w:rFonts w:hint="default" w:ascii="Times New Roman" w:hAnsi="Times New Roman" w:eastAsia="方正仿宋_GB2312" w:cs="Times New Roman"/>
          <w:sz w:val="32"/>
          <w:szCs w:val="32"/>
        </w:rPr>
        <w:t>非遗</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lang w:eastAsia="zh-CN"/>
        </w:rPr>
        <w:t>苗族斗釜歌、苗族绷鼓仪式、仡佬族送年节、傈僳族婚礼</w:t>
      </w:r>
      <w:r>
        <w:rPr>
          <w:rFonts w:hint="default" w:ascii="Times New Roman" w:hAnsi="Times New Roman" w:eastAsia="方正仿宋_GB2312" w:cs="Times New Roman"/>
          <w:sz w:val="32"/>
          <w:szCs w:val="32"/>
        </w:rPr>
        <w:t>项目的保护、传承和展示，</w:t>
      </w:r>
      <w:r>
        <w:rPr>
          <w:rFonts w:hint="default" w:ascii="Times New Roman" w:hAnsi="Times New Roman" w:eastAsia="方正仿宋_GB2312" w:cs="Times New Roman"/>
          <w:sz w:val="32"/>
          <w:szCs w:val="32"/>
          <w:lang w:eastAsia="zh-CN"/>
        </w:rPr>
        <w:t>传承</w:t>
      </w:r>
      <w:r>
        <w:rPr>
          <w:rFonts w:hint="default" w:ascii="Times New Roman" w:hAnsi="Times New Roman" w:eastAsia="方正仿宋_GB2312" w:cs="Times New Roman"/>
          <w:sz w:val="32"/>
          <w:szCs w:val="32"/>
        </w:rPr>
        <w:t>经费</w:t>
      </w:r>
      <w:r>
        <w:rPr>
          <w:rFonts w:hint="default" w:ascii="Times New Roman" w:hAnsi="Times New Roman" w:eastAsia="方正仿宋_GB2312" w:cs="Times New Roman"/>
          <w:sz w:val="32"/>
          <w:szCs w:val="32"/>
          <w:lang w:eastAsia="zh-CN"/>
        </w:rPr>
        <w:t>省级补助</w:t>
      </w:r>
      <w:r>
        <w:rPr>
          <w:rFonts w:hint="default" w:ascii="Times New Roman" w:hAnsi="Times New Roman" w:eastAsia="方正仿宋_GB2312" w:cs="Times New Roman"/>
          <w:sz w:val="32"/>
          <w:szCs w:val="32"/>
          <w:lang w:val="en-US" w:eastAsia="zh-CN"/>
        </w:rPr>
        <w:t>2.4</w:t>
      </w:r>
      <w:r>
        <w:rPr>
          <w:rFonts w:hint="default" w:ascii="Times New Roman" w:hAnsi="Times New Roman" w:eastAsia="方正仿宋_GB2312" w:cs="Times New Roman"/>
          <w:sz w:val="32"/>
          <w:szCs w:val="32"/>
        </w:rPr>
        <w:t>万元，完成</w:t>
      </w:r>
      <w:r>
        <w:rPr>
          <w:rFonts w:hint="default" w:ascii="Times New Roman" w:hAnsi="Times New Roman" w:eastAsia="方正仿宋_GB2312" w:cs="Times New Roman"/>
          <w:sz w:val="32"/>
          <w:szCs w:val="32"/>
          <w:lang w:val="en-US" w:eastAsia="zh-CN"/>
        </w:rPr>
        <w:t>4项</w:t>
      </w:r>
      <w:r>
        <w:rPr>
          <w:rFonts w:hint="default" w:ascii="Times New Roman" w:hAnsi="Times New Roman" w:eastAsia="方正仿宋_GB2312" w:cs="Times New Roman"/>
          <w:sz w:val="32"/>
          <w:szCs w:val="32"/>
        </w:rPr>
        <w:t>非遗项目的</w:t>
      </w:r>
      <w:r>
        <w:rPr>
          <w:rFonts w:hint="default" w:ascii="Times New Roman" w:hAnsi="Times New Roman" w:eastAsia="方正仿宋_GB2312" w:cs="Times New Roman"/>
          <w:sz w:val="32"/>
          <w:szCs w:val="32"/>
          <w:lang w:eastAsia="zh-CN"/>
        </w:rPr>
        <w:t>传承和保护，并给予传承人补助。</w:t>
      </w:r>
    </w:p>
    <w:p>
      <w:pPr>
        <w:keepNext w:val="0"/>
        <w:keepLines w:val="0"/>
        <w:pageBreakBefore w:val="0"/>
        <w:widowControl w:val="0"/>
        <w:numPr>
          <w:ilvl w:val="0"/>
          <w:numId w:val="4"/>
        </w:numPr>
        <w:tabs>
          <w:tab w:val="left" w:pos="1911"/>
        </w:tabs>
        <w:kinsoku/>
        <w:wordWrap/>
        <w:overflowPunct/>
        <w:topLinePunct w:val="0"/>
        <w:bidi w:val="0"/>
        <w:spacing w:line="240" w:lineRule="auto"/>
        <w:ind w:left="0" w:leftChars="0" w:firstLine="643" w:firstLineChars="200"/>
        <w:jc w:val="left"/>
        <w:textAlignment w:val="auto"/>
        <w:rPr>
          <w:rFonts w:hint="default" w:ascii="Times New Roman" w:hAnsi="Times New Roman" w:eastAsia="楷体_GB2312" w:cs="Times New Roman"/>
          <w:b/>
          <w:color w:val="auto"/>
          <w:sz w:val="32"/>
          <w:szCs w:val="32"/>
          <w:lang w:val="zh-CN" w:eastAsia="zh-CN"/>
        </w:rPr>
      </w:pPr>
      <w:r>
        <w:rPr>
          <w:rFonts w:hint="eastAsia" w:eastAsia="楷体_GB2312" w:cs="Times New Roman"/>
          <w:b/>
          <w:color w:val="auto"/>
          <w:sz w:val="32"/>
          <w:szCs w:val="32"/>
          <w:lang w:val="zh-CN" w:eastAsia="zh-CN"/>
        </w:rPr>
        <w:t>项目自评步骤及方法</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numPr>
          <w:ilvl w:val="0"/>
          <w:numId w:val="0"/>
        </w:numPr>
        <w:tabs>
          <w:tab w:val="left" w:pos="1911"/>
        </w:tabs>
        <w:kinsoku/>
        <w:wordWrap/>
        <w:overflowPunct/>
        <w:topLinePunct w:val="0"/>
        <w:bidi w:val="0"/>
        <w:spacing w:line="240" w:lineRule="auto"/>
        <w:ind w:firstLine="640" w:firstLineChars="200"/>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按照有关规定和工作安排，通过组建评估组，收集被评估项目相关资料查</w:t>
      </w:r>
      <w:r>
        <w:rPr>
          <w:rFonts w:hint="eastAsia" w:eastAsia="方正仿宋_GB2312" w:cs="Times New Roman"/>
          <w:kern w:val="0"/>
          <w:sz w:val="32"/>
          <w:szCs w:val="32"/>
          <w:lang w:eastAsia="zh-CN"/>
        </w:rPr>
        <w:t>，查</w:t>
      </w:r>
      <w:r>
        <w:rPr>
          <w:rFonts w:hint="default" w:ascii="Times New Roman" w:hAnsi="Times New Roman" w:eastAsia="方正仿宋_GB2312" w:cs="Times New Roman"/>
          <w:kern w:val="0"/>
          <w:sz w:val="32"/>
          <w:szCs w:val="32"/>
        </w:rPr>
        <w:t>阅资料、收集数据信息等，</w:t>
      </w:r>
      <w:r>
        <w:rPr>
          <w:rFonts w:hint="default" w:ascii="Times New Roman" w:hAnsi="Times New Roman" w:eastAsia="方正仿宋_GB2312" w:cs="Times New Roman"/>
          <w:kern w:val="0"/>
          <w:sz w:val="32"/>
          <w:szCs w:val="32"/>
          <w:lang w:val="en-US" w:eastAsia="zh-CN"/>
        </w:rPr>
        <w:t>通过对传承人进行考核，</w:t>
      </w:r>
      <w:r>
        <w:rPr>
          <w:rFonts w:hint="default" w:ascii="Times New Roman" w:hAnsi="Times New Roman" w:eastAsia="方正仿宋_GB2312" w:cs="Times New Roman"/>
          <w:kern w:val="0"/>
          <w:sz w:val="32"/>
          <w:szCs w:val="32"/>
        </w:rPr>
        <w:t>深入论证分析后，形成绩效评估报告；对项目进行监控，采用单位自评法、问卷调查法、座谈调研法等多种方法。</w:t>
      </w:r>
    </w:p>
    <w:p>
      <w:pPr>
        <w:keepNext w:val="0"/>
        <w:keepLines w:val="0"/>
        <w:pageBreakBefore w:val="0"/>
        <w:widowControl w:val="0"/>
        <w:numPr>
          <w:ilvl w:val="0"/>
          <w:numId w:val="0"/>
        </w:numPr>
        <w:kinsoku/>
        <w:wordWrap/>
        <w:overflowPunct/>
        <w:topLinePunct w:val="0"/>
        <w:bidi w:val="0"/>
        <w:spacing w:line="240" w:lineRule="auto"/>
        <w:ind w:firstLine="640" w:firstLineChars="200"/>
        <w:textAlignment w:val="auto"/>
        <w:rPr>
          <w:rFonts w:hint="default"/>
          <w:lang w:val="zh-CN" w:eastAsia="zh-CN"/>
        </w:rPr>
      </w:pPr>
      <w:r>
        <w:rPr>
          <w:rFonts w:hint="eastAsia" w:ascii="黑体" w:hAnsi="黑体" w:eastAsia="黑体" w:cs="黑体"/>
          <w:b w:val="0"/>
          <w:bCs/>
          <w:color w:val="auto"/>
          <w:sz w:val="32"/>
          <w:szCs w:val="32"/>
          <w:lang w:val="zh-CN" w:eastAsia="zh-CN"/>
        </w:rPr>
        <w:t>二、项目资金申报及使用情况</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eastAsia" w:eastAsia="楷体_GB2312" w:cs="Times New Roman"/>
          <w:b/>
          <w:color w:val="auto"/>
          <w:sz w:val="32"/>
          <w:szCs w:val="32"/>
          <w:lang w:val="zh-CN" w:eastAsia="zh-CN"/>
        </w:rPr>
      </w:pP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项目资金申报、计划及使用情况。</w:t>
      </w:r>
    </w:p>
    <w:p>
      <w:pPr>
        <w:keepNext w:val="0"/>
        <w:keepLines w:val="0"/>
        <w:pageBreakBefore w:val="0"/>
        <w:widowControl w:val="0"/>
        <w:kinsoku/>
        <w:wordWrap/>
        <w:overflowPunct/>
        <w:topLinePunct w:val="0"/>
        <w:bidi w:val="0"/>
        <w:spacing w:line="240" w:lineRule="auto"/>
        <w:ind w:firstLine="640" w:firstLineChars="200"/>
        <w:textAlignment w:val="auto"/>
        <w:rPr>
          <w:rFonts w:hint="default" w:ascii="Times New Roman" w:hAnsi="Times New Roman" w:eastAsia="方正仿宋_GB2312" w:cs="Times New Roman"/>
          <w:color w:val="auto"/>
          <w:kern w:val="0"/>
          <w:sz w:val="32"/>
          <w:szCs w:val="32"/>
          <w:lang w:eastAsia="zh-CN"/>
        </w:rPr>
      </w:pPr>
      <w:r>
        <w:rPr>
          <w:rFonts w:hint="default" w:ascii="Times New Roman" w:hAnsi="Times New Roman" w:eastAsia="方正仿宋_GB2312" w:cs="Times New Roman"/>
          <w:color w:val="auto"/>
          <w:kern w:val="0"/>
          <w:sz w:val="32"/>
          <w:szCs w:val="32"/>
          <w:lang w:val="en-US" w:eastAsia="zh-CN"/>
        </w:rPr>
        <w:t>2023年</w:t>
      </w:r>
      <w:r>
        <w:rPr>
          <w:rFonts w:hint="eastAsia" w:eastAsia="方正仿宋_GB2312" w:cs="Times New Roman"/>
          <w:color w:val="auto"/>
          <w:kern w:val="0"/>
          <w:sz w:val="32"/>
          <w:szCs w:val="32"/>
          <w:lang w:val="en-US" w:eastAsia="zh-CN"/>
        </w:rPr>
        <w:t>8</w:t>
      </w:r>
      <w:r>
        <w:rPr>
          <w:rFonts w:hint="default" w:ascii="Times New Roman" w:hAnsi="Times New Roman" w:eastAsia="方正仿宋_GB2312" w:cs="Times New Roman"/>
          <w:color w:val="auto"/>
          <w:kern w:val="0"/>
          <w:sz w:val="32"/>
          <w:szCs w:val="32"/>
          <w:lang w:val="en-US" w:eastAsia="zh-CN"/>
        </w:rPr>
        <w:t>月，根据《盐边县财政局关于下达</w:t>
      </w:r>
      <w:r>
        <w:rPr>
          <w:rFonts w:hint="eastAsia" w:eastAsia="方正仿宋_GB2312" w:cs="Times New Roman"/>
          <w:color w:val="auto"/>
          <w:kern w:val="0"/>
          <w:sz w:val="32"/>
          <w:szCs w:val="32"/>
          <w:lang w:val="en-US" w:eastAsia="zh-CN"/>
        </w:rPr>
        <w:t>2023年省级文化和旅游发展专项资资金（第二批）</w:t>
      </w:r>
      <w:r>
        <w:rPr>
          <w:rFonts w:hint="default" w:ascii="Times New Roman" w:hAnsi="Times New Roman" w:eastAsia="方正仿宋_GB2312" w:cs="Times New Roman"/>
          <w:color w:val="auto"/>
          <w:kern w:val="0"/>
          <w:sz w:val="32"/>
          <w:szCs w:val="32"/>
          <w:lang w:val="en-US" w:eastAsia="zh-CN"/>
        </w:rPr>
        <w:t>预算的通知》（盐财资行〔2023〕</w:t>
      </w:r>
      <w:r>
        <w:rPr>
          <w:rFonts w:hint="eastAsia" w:eastAsia="方正仿宋_GB2312" w:cs="Times New Roman"/>
          <w:color w:val="auto"/>
          <w:kern w:val="0"/>
          <w:sz w:val="32"/>
          <w:szCs w:val="32"/>
          <w:lang w:val="en-US" w:eastAsia="zh-CN"/>
        </w:rPr>
        <w:t>350</w:t>
      </w:r>
      <w:r>
        <w:rPr>
          <w:rFonts w:hint="default" w:ascii="Times New Roman" w:hAnsi="Times New Roman" w:eastAsia="方正仿宋_GB2312" w:cs="Times New Roman"/>
          <w:color w:val="auto"/>
          <w:kern w:val="0"/>
          <w:sz w:val="32"/>
          <w:szCs w:val="32"/>
          <w:lang w:val="en-US" w:eastAsia="zh-CN"/>
        </w:rPr>
        <w:t>号），</w:t>
      </w:r>
      <w:r>
        <w:rPr>
          <w:rFonts w:hint="default" w:ascii="Times New Roman" w:hAnsi="Times New Roman" w:eastAsia="方正仿宋_GB2312" w:cs="Times New Roman"/>
          <w:color w:val="auto"/>
          <w:kern w:val="0"/>
          <w:sz w:val="32"/>
          <w:szCs w:val="32"/>
          <w:lang w:eastAsia="zh-CN"/>
        </w:rPr>
        <w:t>盐边县</w:t>
      </w:r>
      <w:r>
        <w:rPr>
          <w:rFonts w:hint="default" w:ascii="Times New Roman" w:hAnsi="Times New Roman" w:eastAsia="方正仿宋_GB2312" w:cs="Times New Roman"/>
          <w:color w:val="auto"/>
          <w:kern w:val="0"/>
          <w:sz w:val="32"/>
          <w:szCs w:val="32"/>
        </w:rPr>
        <w:t>财政局下达</w:t>
      </w:r>
      <w:r>
        <w:rPr>
          <w:rFonts w:hint="eastAsia" w:eastAsia="方正仿宋_GB2312" w:cs="Times New Roman"/>
          <w:color w:val="auto"/>
          <w:kern w:val="0"/>
          <w:sz w:val="32"/>
          <w:szCs w:val="32"/>
          <w:lang w:eastAsia="zh-CN"/>
        </w:rPr>
        <w:t>省级非遗代表性传承人补助</w:t>
      </w:r>
      <w:r>
        <w:rPr>
          <w:rFonts w:hint="default" w:ascii="Times New Roman" w:hAnsi="Times New Roman" w:eastAsia="方正仿宋_GB2312" w:cs="Times New Roman"/>
          <w:color w:val="auto"/>
          <w:kern w:val="0"/>
          <w:sz w:val="32"/>
          <w:szCs w:val="32"/>
          <w:lang w:eastAsia="zh-CN"/>
        </w:rPr>
        <w:t>经费</w:t>
      </w:r>
      <w:r>
        <w:rPr>
          <w:rFonts w:hint="eastAsia" w:eastAsia="方正仿宋_GB2312" w:cs="Times New Roman"/>
          <w:color w:val="auto"/>
          <w:kern w:val="0"/>
          <w:sz w:val="32"/>
          <w:szCs w:val="32"/>
          <w:lang w:val="en-US" w:eastAsia="zh-CN"/>
        </w:rPr>
        <w:t>2.4</w:t>
      </w:r>
      <w:r>
        <w:rPr>
          <w:rFonts w:hint="default" w:ascii="Times New Roman" w:hAnsi="Times New Roman" w:eastAsia="方正仿宋_GB2312" w:cs="Times New Roman"/>
          <w:color w:val="auto"/>
          <w:kern w:val="0"/>
          <w:sz w:val="32"/>
          <w:szCs w:val="32"/>
          <w:lang w:val="en-US" w:eastAsia="zh-CN"/>
        </w:rPr>
        <w:t>万元。</w:t>
      </w:r>
      <w:r>
        <w:rPr>
          <w:rFonts w:hint="default" w:ascii="Times New Roman" w:hAnsi="Times New Roman" w:eastAsia="方正仿宋_GB2312" w:cs="Times New Roman"/>
          <w:color w:val="auto"/>
          <w:kern w:val="0"/>
          <w:sz w:val="32"/>
          <w:szCs w:val="32"/>
        </w:rPr>
        <w:t>严格按</w:t>
      </w:r>
      <w:r>
        <w:rPr>
          <w:rFonts w:hint="default" w:ascii="Times New Roman" w:hAnsi="Times New Roman" w:eastAsia="方正仿宋_GB2312" w:cs="Times New Roman"/>
          <w:color w:val="auto"/>
          <w:kern w:val="0"/>
          <w:sz w:val="32"/>
          <w:szCs w:val="32"/>
          <w:lang w:eastAsia="zh-CN"/>
        </w:rPr>
        <w:t>资金分配方案实施使用和管理。</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项目财务管理情况</w:t>
      </w:r>
      <w:r>
        <w:rPr>
          <w:rFonts w:hint="default" w:ascii="Times New Roman" w:hAnsi="Times New Roman" w:eastAsia="楷体_GB2312" w:cs="Times New Roman"/>
          <w:b/>
          <w:color w:val="auto"/>
          <w:sz w:val="32"/>
          <w:szCs w:val="32"/>
          <w:lang w:val="zh-CN" w:eastAsia="zh-CN"/>
        </w:rPr>
        <w:t>。</w:t>
      </w:r>
    </w:p>
    <w:p>
      <w:pPr>
        <w:pageBreakBefore w:val="0"/>
        <w:widowControl w:val="0"/>
        <w:numPr>
          <w:ilvl w:val="0"/>
          <w:numId w:val="0"/>
        </w:numPr>
        <w:kinsoku/>
        <w:wordWrap/>
        <w:overflowPunct/>
        <w:topLinePunct w:val="0"/>
        <w:autoSpaceDE/>
        <w:autoSpaceDN/>
        <w:bidi w:val="0"/>
        <w:spacing w:line="240" w:lineRule="auto"/>
        <w:ind w:firstLine="640" w:firstLineChars="200"/>
        <w:textAlignment w:val="auto"/>
        <w:rPr>
          <w:rFonts w:hint="default" w:ascii="Times New Roman" w:hAnsi="Times New Roman" w:eastAsia="方正仿宋_GB2312" w:cs="Times New Roman"/>
          <w:color w:val="auto"/>
          <w:kern w:val="0"/>
          <w:sz w:val="32"/>
          <w:szCs w:val="32"/>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keepNext w:val="0"/>
        <w:keepLines w:val="0"/>
        <w:pageBreakBefore w:val="0"/>
        <w:widowControl w:val="0"/>
        <w:numPr>
          <w:ilvl w:val="0"/>
          <w:numId w:val="0"/>
        </w:numPr>
        <w:kinsoku/>
        <w:wordWrap/>
        <w:overflowPunct/>
        <w:topLinePunct w:val="0"/>
        <w:bidi w:val="0"/>
        <w:spacing w:line="240" w:lineRule="auto"/>
        <w:ind w:firstLine="640" w:firstLineChars="200"/>
        <w:textAlignment w:val="auto"/>
        <w:rPr>
          <w:rFonts w:hint="eastAsia" w:ascii="黑体" w:hAnsi="黑体" w:eastAsia="黑体" w:cs="黑体"/>
          <w:b w:val="0"/>
          <w:bCs/>
          <w:color w:val="auto"/>
          <w:sz w:val="32"/>
          <w:szCs w:val="32"/>
          <w:lang w:val="zh-CN" w:eastAsia="zh-CN"/>
        </w:rPr>
      </w:pPr>
      <w:r>
        <w:rPr>
          <w:rFonts w:hint="eastAsia" w:ascii="黑体" w:hAnsi="黑体" w:eastAsia="黑体" w:cs="黑体"/>
          <w:b w:val="0"/>
          <w:bCs/>
          <w:color w:val="auto"/>
          <w:sz w:val="32"/>
          <w:szCs w:val="32"/>
          <w:lang w:val="zh-CN" w:eastAsia="zh-CN"/>
        </w:rPr>
        <w:t>三、项目实施及管理情况</w:t>
      </w:r>
    </w:p>
    <w:p>
      <w:pPr>
        <w:keepNext w:val="0"/>
        <w:keepLines w:val="0"/>
        <w:pageBreakBefore w:val="0"/>
        <w:widowControl w:val="0"/>
        <w:numPr>
          <w:ilvl w:val="0"/>
          <w:numId w:val="0"/>
        </w:numPr>
        <w:kinsoku/>
        <w:wordWrap/>
        <w:overflowPunct/>
        <w:topLinePunct w:val="0"/>
        <w:bidi w:val="0"/>
        <w:spacing w:line="240" w:lineRule="auto"/>
        <w:ind w:firstLine="640" w:firstLineChars="200"/>
        <w:textAlignment w:val="auto"/>
        <w:rPr>
          <w:rFonts w:hint="default"/>
          <w:lang w:val="zh-CN"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实施方，行使项目法人的权利，承担项目法人的责任及义务，项目实施管理实行项目法人责任制、资金使用和项目公示制、资金拨付逐级审核制度，并及时解决了项目实施过程中出现的问题，以确保公共图书馆和文化馆免费开放的质量和效益。</w:t>
      </w:r>
    </w:p>
    <w:p>
      <w:pPr>
        <w:keepNext w:val="0"/>
        <w:keepLines w:val="0"/>
        <w:pageBreakBefore w:val="0"/>
        <w:widowControl w:val="0"/>
        <w:numPr>
          <w:ilvl w:val="0"/>
          <w:numId w:val="0"/>
        </w:numPr>
        <w:kinsoku/>
        <w:wordWrap/>
        <w:overflowPunct/>
        <w:topLinePunct w:val="0"/>
        <w:bidi w:val="0"/>
        <w:spacing w:line="240" w:lineRule="auto"/>
        <w:ind w:firstLine="640" w:firstLineChars="200"/>
        <w:textAlignment w:val="auto"/>
        <w:rPr>
          <w:rFonts w:hint="eastAsia" w:ascii="黑体" w:hAnsi="黑体" w:eastAsia="黑体" w:cs="黑体"/>
          <w:b w:val="0"/>
          <w:bCs/>
          <w:color w:val="auto"/>
          <w:sz w:val="32"/>
          <w:szCs w:val="32"/>
          <w:lang w:val="zh-CN" w:eastAsia="zh-CN"/>
        </w:rPr>
      </w:pPr>
      <w:r>
        <w:rPr>
          <w:rFonts w:hint="eastAsia" w:ascii="黑体" w:hAnsi="黑体" w:eastAsia="黑体" w:cs="黑体"/>
          <w:b w:val="0"/>
          <w:bCs/>
          <w:color w:val="auto"/>
          <w:sz w:val="32"/>
          <w:szCs w:val="32"/>
          <w:lang w:val="zh-CN" w:eastAsia="zh-CN"/>
        </w:rPr>
        <w:t>四、项目绩效情况</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项目完成情况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shd w:val="clear" w:color="auto" w:fill="FFFFFF"/>
          <w:lang w:val="en-US" w:eastAsia="zh-CN"/>
        </w:rPr>
        <w:t>.</w:t>
      </w:r>
      <w:r>
        <w:rPr>
          <w:rFonts w:hint="default" w:ascii="Times New Roman" w:hAnsi="Times New Roman" w:eastAsia="方正仿宋_GB2312" w:cs="Times New Roman"/>
          <w:b/>
          <w:bCs/>
          <w:kern w:val="0"/>
          <w:sz w:val="32"/>
          <w:szCs w:val="32"/>
        </w:rPr>
        <w:t>项目整体内容。</w:t>
      </w:r>
      <w:r>
        <w:rPr>
          <w:rFonts w:hint="default" w:ascii="Times New Roman" w:hAnsi="Times New Roman" w:eastAsia="方正仿宋_GB2312" w:cs="Times New Roman"/>
          <w:sz w:val="32"/>
          <w:szCs w:val="32"/>
        </w:rPr>
        <w:t>完成</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w:t>
      </w:r>
      <w:r>
        <w:rPr>
          <w:rFonts w:hint="default" w:ascii="Times New Roman" w:hAnsi="Times New Roman" w:eastAsia="方正仿宋_GB2312" w:cs="Times New Roman"/>
          <w:sz w:val="32"/>
          <w:szCs w:val="32"/>
          <w:lang w:eastAsia="zh-CN"/>
        </w:rPr>
        <w:t>省级</w:t>
      </w:r>
      <w:r>
        <w:rPr>
          <w:rFonts w:hint="default" w:ascii="Times New Roman" w:hAnsi="Times New Roman" w:eastAsia="方正仿宋_GB2312" w:cs="Times New Roman"/>
          <w:sz w:val="32"/>
          <w:szCs w:val="32"/>
        </w:rPr>
        <w:t>非遗</w:t>
      </w:r>
      <w:r>
        <w:rPr>
          <w:rFonts w:hint="default" w:ascii="Times New Roman" w:hAnsi="Times New Roman" w:eastAsia="方正仿宋_GB2312" w:cs="Times New Roman"/>
          <w:sz w:val="32"/>
          <w:szCs w:val="32"/>
          <w:lang w:eastAsia="zh-CN"/>
        </w:rPr>
        <w:t>：苗族斗釜歌、苗族绷鼓仪式、仡佬族送年节、傈僳族婚礼</w:t>
      </w:r>
      <w:r>
        <w:rPr>
          <w:rFonts w:hint="default" w:ascii="Times New Roman" w:hAnsi="Times New Roman" w:eastAsia="方正仿宋_GB2312" w:cs="Times New Roman"/>
          <w:sz w:val="32"/>
          <w:szCs w:val="32"/>
        </w:rPr>
        <w:t>项目的保护、传承和展示</w:t>
      </w:r>
      <w:r>
        <w:rPr>
          <w:rFonts w:hint="default" w:ascii="Times New Roman" w:hAnsi="Times New Roman" w:eastAsia="方正仿宋_GB2312" w:cs="Times New Roman"/>
          <w:sz w:val="32"/>
          <w:szCs w:val="32"/>
          <w:lang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项目绩效目标。</w:t>
      </w:r>
      <w:r>
        <w:rPr>
          <w:rFonts w:hint="default" w:ascii="Times New Roman" w:hAnsi="Times New Roman" w:eastAsia="方正仿宋_GB2312" w:cs="Times New Roman"/>
          <w:sz w:val="32"/>
          <w:szCs w:val="32"/>
        </w:rPr>
        <w:t>为了我县非遗项目都能得到更好的保护、传承和展示，对项目实施制定了可行的实施方案，对项目开展的传承、展示工作及传承人传习活动做了要求，</w:t>
      </w:r>
      <w:r>
        <w:rPr>
          <w:rFonts w:hint="default" w:ascii="Times New Roman" w:hAnsi="Times New Roman" w:eastAsia="方正仿宋_GB2312" w:cs="Times New Roman"/>
          <w:sz w:val="32"/>
          <w:szCs w:val="32"/>
          <w:lang w:eastAsia="zh-CN"/>
        </w:rPr>
        <w:t>每个传承人每年开展传承活动不少于</w:t>
      </w:r>
      <w:r>
        <w:rPr>
          <w:rFonts w:hint="default" w:ascii="Times New Roman" w:hAnsi="Times New Roman" w:eastAsia="方正仿宋_GB2312" w:cs="Times New Roman"/>
          <w:sz w:val="32"/>
          <w:szCs w:val="32"/>
          <w:lang w:val="en-US" w:eastAsia="zh-CN"/>
        </w:rPr>
        <w:t>5次，</w:t>
      </w:r>
      <w:r>
        <w:rPr>
          <w:rFonts w:hint="default" w:ascii="Times New Roman" w:hAnsi="Times New Roman" w:eastAsia="方正仿宋_GB2312" w:cs="Times New Roman"/>
          <w:sz w:val="32"/>
          <w:szCs w:val="32"/>
        </w:rPr>
        <w:t>并于年底进行量化考核。</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项目效益情况</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数量指标。</w:t>
      </w:r>
      <w:r>
        <w:rPr>
          <w:rFonts w:hint="default" w:ascii="Times New Roman" w:hAnsi="Times New Roman" w:eastAsia="方正仿宋_GB2312" w:cs="Times New Roman"/>
          <w:sz w:val="32"/>
          <w:szCs w:val="32"/>
        </w:rPr>
        <w:t>完成</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w:t>
      </w:r>
      <w:r>
        <w:rPr>
          <w:rFonts w:hint="default" w:ascii="Times New Roman" w:hAnsi="Times New Roman" w:eastAsia="方正仿宋_GB2312" w:cs="Times New Roman"/>
          <w:sz w:val="32"/>
          <w:szCs w:val="32"/>
          <w:lang w:eastAsia="zh-CN"/>
        </w:rPr>
        <w:t>省级</w:t>
      </w:r>
      <w:r>
        <w:rPr>
          <w:rFonts w:hint="default" w:ascii="Times New Roman" w:hAnsi="Times New Roman" w:eastAsia="方正仿宋_GB2312" w:cs="Times New Roman"/>
          <w:sz w:val="32"/>
          <w:szCs w:val="32"/>
        </w:rPr>
        <w:t>非遗</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lang w:eastAsia="zh-CN"/>
        </w:rPr>
        <w:t>苗族斗釜歌、苗族绷鼓仪式、仡佬族送年节、傈僳族婚礼</w:t>
      </w:r>
      <w:r>
        <w:rPr>
          <w:rFonts w:hint="default" w:ascii="Times New Roman" w:hAnsi="Times New Roman" w:eastAsia="方正仿宋_GB2312" w:cs="Times New Roman"/>
          <w:sz w:val="32"/>
          <w:szCs w:val="32"/>
        </w:rPr>
        <w:t>项目的保护、传承和展示</w:t>
      </w:r>
      <w:r>
        <w:rPr>
          <w:rFonts w:hint="default" w:ascii="Times New Roman" w:hAnsi="Times New Roman" w:eastAsia="方正仿宋_GB2312" w:cs="Times New Roman"/>
          <w:sz w:val="32"/>
          <w:szCs w:val="32"/>
          <w:lang w:eastAsia="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质量指标。</w:t>
      </w:r>
      <w:r>
        <w:rPr>
          <w:rFonts w:hint="default" w:ascii="Times New Roman" w:hAnsi="Times New Roman" w:eastAsia="方正仿宋_GB2312" w:cs="Times New Roman"/>
          <w:kern w:val="0"/>
          <w:sz w:val="32"/>
          <w:szCs w:val="32"/>
        </w:rPr>
        <w:t>项目质量完成较好，通过</w:t>
      </w:r>
      <w:r>
        <w:rPr>
          <w:rFonts w:hint="default" w:ascii="Times New Roman" w:hAnsi="Times New Roman" w:eastAsia="方正仿宋_GB2312" w:cs="Times New Roman"/>
          <w:kern w:val="0"/>
          <w:sz w:val="32"/>
          <w:szCs w:val="32"/>
          <w:lang w:val="en-US" w:eastAsia="zh-CN"/>
        </w:rPr>
        <w:t>传承人开展传承活动，使我县的非遗文化得到了更好的传承和保护。</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kern w:val="0"/>
          <w:sz w:val="32"/>
          <w:szCs w:val="32"/>
          <w:lang w:val="en-US" w:eastAsia="zh-CN"/>
        </w:rPr>
        <w:t>3.</w:t>
      </w:r>
      <w:r>
        <w:rPr>
          <w:rFonts w:hint="default" w:ascii="Times New Roman" w:hAnsi="Times New Roman" w:eastAsia="方正仿宋_GB2312" w:cs="Times New Roman"/>
          <w:b/>
          <w:bCs/>
          <w:kern w:val="0"/>
          <w:sz w:val="32"/>
          <w:szCs w:val="32"/>
        </w:rPr>
        <w:t>成本指标。</w:t>
      </w:r>
      <w:r>
        <w:rPr>
          <w:rFonts w:hint="default" w:ascii="Times New Roman" w:hAnsi="Times New Roman" w:eastAsia="方正仿宋_GB2312" w:cs="Times New Roman"/>
          <w:sz w:val="32"/>
          <w:szCs w:val="32"/>
        </w:rPr>
        <w:t>完成</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w:t>
      </w:r>
      <w:r>
        <w:rPr>
          <w:rFonts w:hint="default" w:ascii="Times New Roman" w:hAnsi="Times New Roman" w:eastAsia="方正仿宋_GB2312" w:cs="Times New Roman"/>
          <w:sz w:val="32"/>
          <w:szCs w:val="32"/>
          <w:lang w:eastAsia="zh-CN"/>
        </w:rPr>
        <w:t>省级</w:t>
      </w:r>
      <w:r>
        <w:rPr>
          <w:rFonts w:hint="default" w:ascii="Times New Roman" w:hAnsi="Times New Roman" w:eastAsia="方正仿宋_GB2312" w:cs="Times New Roman"/>
          <w:sz w:val="32"/>
          <w:szCs w:val="32"/>
        </w:rPr>
        <w:t>非遗</w:t>
      </w:r>
      <w:r>
        <w:rPr>
          <w:rFonts w:hint="default" w:ascii="Times New Roman" w:hAnsi="Times New Roman" w:eastAsia="方正仿宋_GB2312" w:cs="Times New Roman"/>
          <w:sz w:val="32"/>
          <w:szCs w:val="32"/>
          <w:lang w:eastAsia="zh-CN"/>
        </w:rPr>
        <w:t>：苗族斗釜歌、苗族绷鼓仪式、仡佬族送年节、傈僳族婚礼）</w:t>
      </w:r>
      <w:r>
        <w:rPr>
          <w:rFonts w:hint="default" w:ascii="Times New Roman" w:hAnsi="Times New Roman" w:eastAsia="方正仿宋_GB2312" w:cs="Times New Roman"/>
          <w:sz w:val="32"/>
          <w:szCs w:val="32"/>
        </w:rPr>
        <w:t>项目的保护、传承和展示</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预算资金2.4万元。</w:t>
      </w:r>
    </w:p>
    <w:p>
      <w:pPr>
        <w:pStyle w:val="6"/>
        <w:keepNext w:val="0"/>
        <w:keepLines w:val="0"/>
        <w:pageBreakBefore w:val="0"/>
        <w:widowControl w:val="0"/>
        <w:tabs>
          <w:tab w:val="left" w:pos="2160"/>
        </w:tabs>
        <w:kinsoku/>
        <w:wordWrap/>
        <w:overflowPunct/>
        <w:topLinePunct w:val="0"/>
        <w:bidi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ascii="Times New Roman" w:eastAsia="黑体" w:cs="Times New Roman"/>
          <w:color w:val="auto"/>
          <w:kern w:val="2"/>
          <w:sz w:val="32"/>
          <w:szCs w:val="32"/>
          <w:lang w:val="zh-CN" w:eastAsia="zh-CN" w:bidi="ar-SA"/>
        </w:rPr>
        <w:t>五</w:t>
      </w:r>
      <w:r>
        <w:rPr>
          <w:rFonts w:hint="default" w:ascii="Times New Roman" w:hAnsi="Times New Roman" w:eastAsia="黑体" w:cs="Times New Roman"/>
          <w:color w:val="auto"/>
          <w:kern w:val="2"/>
          <w:sz w:val="32"/>
          <w:szCs w:val="32"/>
          <w:lang w:val="zh-CN" w:eastAsia="zh-CN" w:bidi="ar-SA"/>
        </w:rPr>
        <w:t>、评价结论</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一</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评价结论</w:t>
      </w:r>
      <w:r>
        <w:rPr>
          <w:rFonts w:hint="default" w:ascii="Times New Roman" w:hAnsi="Times New Roman" w:eastAsia="楷体_GB2312" w:cs="Times New Roman"/>
          <w:b/>
          <w:color w:val="auto"/>
          <w:sz w:val="32"/>
          <w:szCs w:val="32"/>
          <w:lang w:val="zh-CN" w:eastAsia="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按照工作计划，完成</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rPr>
        <w:t>项</w:t>
      </w:r>
      <w:r>
        <w:rPr>
          <w:rFonts w:hint="default" w:ascii="Times New Roman" w:hAnsi="Times New Roman" w:eastAsia="方正仿宋_GB2312" w:cs="Times New Roman"/>
          <w:sz w:val="32"/>
          <w:szCs w:val="32"/>
          <w:lang w:eastAsia="zh-CN"/>
        </w:rPr>
        <w:t>省级</w:t>
      </w:r>
      <w:r>
        <w:rPr>
          <w:rFonts w:hint="default" w:ascii="Times New Roman" w:hAnsi="Times New Roman" w:eastAsia="方正仿宋_GB2312" w:cs="Times New Roman"/>
          <w:sz w:val="32"/>
          <w:szCs w:val="32"/>
        </w:rPr>
        <w:t>非遗</w:t>
      </w:r>
      <w:r>
        <w:rPr>
          <w:rFonts w:hint="default" w:ascii="Times New Roman" w:hAnsi="Times New Roman" w:eastAsia="方正仿宋_GB2312" w:cs="Times New Roman"/>
          <w:sz w:val="32"/>
          <w:szCs w:val="32"/>
          <w:lang w:eastAsia="zh-CN"/>
        </w:rPr>
        <w:t>：苗族斗釜歌、苗族绷鼓仪式、仡佬族送年节、傈僳族婚礼）</w:t>
      </w:r>
      <w:r>
        <w:rPr>
          <w:rFonts w:hint="default" w:ascii="Times New Roman" w:hAnsi="Times New Roman" w:eastAsia="方正仿宋_GB2312" w:cs="Times New Roman"/>
          <w:sz w:val="32"/>
          <w:szCs w:val="32"/>
        </w:rPr>
        <w:t>项目的保护、传承和展示</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kern w:val="0"/>
          <w:sz w:val="32"/>
          <w:szCs w:val="32"/>
        </w:rPr>
        <w:t>预算支出</w:t>
      </w:r>
      <w:r>
        <w:rPr>
          <w:rFonts w:hint="default" w:ascii="Times New Roman" w:hAnsi="Times New Roman" w:eastAsia="方正仿宋_GB2312" w:cs="Times New Roman"/>
          <w:kern w:val="0"/>
          <w:sz w:val="32"/>
          <w:szCs w:val="32"/>
          <w:lang w:val="en-US" w:eastAsia="zh-CN"/>
        </w:rPr>
        <w:t>2.4</w:t>
      </w:r>
      <w:r>
        <w:rPr>
          <w:rFonts w:hint="default" w:ascii="Times New Roman" w:hAnsi="Times New Roman" w:eastAsia="方正仿宋_GB2312" w:cs="Times New Roman"/>
          <w:kern w:val="0"/>
          <w:sz w:val="32"/>
          <w:szCs w:val="32"/>
        </w:rPr>
        <w:t>万元，预算编制科学合理，资金管理及使用规范，自评得分</w:t>
      </w:r>
      <w:r>
        <w:rPr>
          <w:rFonts w:hint="default" w:ascii="Times New Roman" w:hAnsi="Times New Roman" w:eastAsia="方正仿宋_GB2312" w:cs="Times New Roman"/>
          <w:kern w:val="0"/>
          <w:sz w:val="32"/>
          <w:szCs w:val="32"/>
          <w:lang w:val="en-US" w:eastAsia="zh-CN"/>
        </w:rPr>
        <w:t>94</w:t>
      </w:r>
      <w:r>
        <w:rPr>
          <w:rFonts w:hint="default" w:ascii="Times New Roman" w:hAnsi="Times New Roman" w:eastAsia="方正仿宋_GB2312" w:cs="Times New Roman"/>
          <w:kern w:val="0"/>
          <w:sz w:val="32"/>
          <w:szCs w:val="32"/>
        </w:rPr>
        <w:t>分。</w:t>
      </w:r>
    </w:p>
    <w:p>
      <w:pPr>
        <w:keepNext w:val="0"/>
        <w:keepLines w:val="0"/>
        <w:pageBreakBefore w:val="0"/>
        <w:widowControl w:val="0"/>
        <w:kinsoku/>
        <w:wordWrap/>
        <w:overflowPunct/>
        <w:topLinePunct w:val="0"/>
        <w:bidi w:val="0"/>
        <w:spacing w:line="240" w:lineRule="auto"/>
        <w:ind w:firstLine="643" w:firstLineChars="200"/>
        <w:textAlignment w:val="auto"/>
        <w:rPr>
          <w:rFonts w:hint="default" w:ascii="Times New Roman" w:hAnsi="Times New Roman" w:eastAsia="楷体_GB2312" w:cs="Times New Roman"/>
          <w:b/>
          <w:color w:val="auto"/>
          <w:sz w:val="32"/>
          <w:szCs w:val="32"/>
          <w:lang w:val="zh-CN" w:eastAsia="zh-CN"/>
        </w:rPr>
      </w:pP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二</w:t>
      </w:r>
      <w:r>
        <w:rPr>
          <w:rFonts w:hint="default" w:ascii="Times New Roman" w:hAnsi="Times New Roman" w:eastAsia="楷体_GB2312" w:cs="Times New Roman"/>
          <w:b/>
          <w:color w:val="auto"/>
          <w:sz w:val="32"/>
          <w:szCs w:val="32"/>
          <w:lang w:val="zh-CN" w:eastAsia="zh-CN"/>
        </w:rPr>
        <w:t>）</w:t>
      </w:r>
      <w:r>
        <w:rPr>
          <w:rFonts w:hint="eastAsia" w:eastAsia="楷体_GB2312" w:cs="Times New Roman"/>
          <w:b/>
          <w:color w:val="auto"/>
          <w:sz w:val="32"/>
          <w:szCs w:val="32"/>
          <w:lang w:val="zh-CN" w:eastAsia="zh-CN"/>
        </w:rPr>
        <w:t>存在的问题及建议</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r>
        <w:rPr>
          <w:rFonts w:hint="default" w:ascii="Times New Roman" w:hAnsi="Times New Roman" w:eastAsia="方正仿宋_GB2312" w:cs="Times New Roman"/>
          <w:kern w:val="0"/>
          <w:sz w:val="32"/>
          <w:szCs w:val="32"/>
          <w:lang w:val="en-US" w:eastAsia="zh-CN"/>
        </w:rPr>
        <w:t>盐边县大部分非遗项目面临后继无人的情况</w:t>
      </w:r>
      <w:r>
        <w:rPr>
          <w:rFonts w:hint="eastAsia" w:eastAsia="方正仿宋_GB2312" w:cs="Times New Roman"/>
          <w:kern w:val="0"/>
          <w:sz w:val="32"/>
          <w:szCs w:val="32"/>
          <w:lang w:val="en-US" w:eastAsia="zh-CN"/>
        </w:rPr>
        <w:t>，</w:t>
      </w:r>
      <w:r>
        <w:rPr>
          <w:rFonts w:hint="default" w:ascii="Times New Roman" w:hAnsi="Times New Roman" w:eastAsia="方正仿宋_GB2312" w:cs="Times New Roman"/>
          <w:kern w:val="0"/>
          <w:sz w:val="32"/>
          <w:szCs w:val="32"/>
        </w:rPr>
        <w:t>希望</w:t>
      </w:r>
      <w:r>
        <w:rPr>
          <w:rFonts w:hint="default" w:ascii="Times New Roman" w:hAnsi="Times New Roman" w:eastAsia="方正仿宋_GB2312" w:cs="Times New Roman"/>
          <w:kern w:val="0"/>
          <w:sz w:val="32"/>
          <w:szCs w:val="32"/>
          <w:lang w:eastAsia="zh-CN"/>
        </w:rPr>
        <w:t>加大经费</w:t>
      </w:r>
      <w:r>
        <w:rPr>
          <w:rFonts w:hint="default" w:ascii="Times New Roman" w:hAnsi="Times New Roman" w:eastAsia="方正仿宋_GB2312" w:cs="Times New Roman"/>
          <w:kern w:val="0"/>
          <w:sz w:val="32"/>
          <w:szCs w:val="32"/>
          <w:lang w:val="en-US" w:eastAsia="zh-CN"/>
        </w:rPr>
        <w:t>投入，培养非遗传承人</w:t>
      </w:r>
      <w:r>
        <w:rPr>
          <w:rFonts w:hint="default" w:ascii="Times New Roman" w:hAnsi="Times New Roman" w:eastAsia="方正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28"/>
        </w:rPr>
        <w:t>附件2-</w:t>
      </w:r>
      <w:r>
        <w:rPr>
          <w:rFonts w:hint="default" w:ascii="Times New Roman" w:hAnsi="Times New Roman" w:eastAsia="黑体" w:cs="Times New Roman"/>
          <w:sz w:val="32"/>
          <w:szCs w:val="28"/>
          <w:lang w:val="en-US" w:eastAsia="zh-CN"/>
        </w:rPr>
        <w:t>6</w:t>
      </w: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default" w:ascii="Times New Roman" w:hAnsi="Times New Roman" w:eastAsia="方正小标宋_GBK" w:cs="Times New Roman"/>
          <w:color w:val="auto"/>
          <w:kern w:val="2"/>
          <w:sz w:val="44"/>
          <w:szCs w:val="44"/>
          <w:lang w:val="en-US" w:eastAsia="zh-CN"/>
        </w:rPr>
      </w:pPr>
    </w:p>
    <w:p>
      <w:pPr>
        <w:pStyle w:val="35"/>
        <w:keepNext w:val="0"/>
        <w:keepLines w:val="0"/>
        <w:pageBreakBefore w:val="0"/>
        <w:widowControl w:val="0"/>
        <w:kinsoku/>
        <w:wordWrap/>
        <w:overflowPunct/>
        <w:topLinePunct w:val="0"/>
        <w:autoSpaceDE/>
        <w:autoSpaceDN/>
        <w:bidi w:val="0"/>
        <w:adjustRightInd/>
        <w:snapToGrid/>
        <w:spacing w:line="0" w:lineRule="atLeast"/>
        <w:ind w:left="420" w:hanging="420"/>
        <w:jc w:val="center"/>
        <w:textAlignment w:val="auto"/>
        <w:rPr>
          <w:rFonts w:hint="eastAsia" w:ascii="方正小标宋简体" w:hAnsi="方正小标宋简体" w:eastAsia="方正小标宋简体" w:cs="方正小标宋简体"/>
          <w:color w:val="auto"/>
          <w:kern w:val="2"/>
          <w:sz w:val="44"/>
          <w:szCs w:val="44"/>
          <w:lang w:val="en-US"/>
        </w:rPr>
      </w:pPr>
      <w:r>
        <w:rPr>
          <w:rFonts w:hint="eastAsia" w:ascii="方正小标宋简体" w:hAnsi="方正小标宋简体" w:eastAsia="方正小标宋简体" w:cs="方正小标宋简体"/>
          <w:color w:val="auto"/>
          <w:kern w:val="2"/>
          <w:sz w:val="44"/>
          <w:szCs w:val="44"/>
          <w:lang w:val="en-US" w:eastAsia="zh-CN"/>
        </w:rPr>
        <w:t>傈僳族非物质文化遗产保护传承及创新发展</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color w:val="auto"/>
          <w:kern w:val="2"/>
          <w:sz w:val="44"/>
          <w:szCs w:val="44"/>
          <w:lang w:val="en-US"/>
        </w:rPr>
        <w:t>专项预算项目绩效评价报告</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default" w:ascii="Times New Roman" w:hAnsi="Times New Roman" w:eastAsia="黑体" w:cs="Times New Roman"/>
          <w:color w:val="auto"/>
          <w:kern w:val="2"/>
          <w:sz w:val="32"/>
          <w:szCs w:val="32"/>
          <w:lang w:val="zh-CN" w:eastAsia="zh-CN" w:bidi="ar-SA"/>
        </w:rPr>
        <w:t>一、项目概况</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（一）</w:t>
      </w:r>
      <w:r>
        <w:rPr>
          <w:rFonts w:hint="eastAsia" w:eastAsia="方正楷体_GB2312" w:cs="Times New Roman"/>
          <w:b/>
          <w:bCs w:val="0"/>
          <w:sz w:val="32"/>
          <w:szCs w:val="32"/>
          <w:lang w:val="zh-CN"/>
        </w:rPr>
        <w:t>项目</w:t>
      </w:r>
      <w:r>
        <w:rPr>
          <w:rFonts w:hint="default" w:ascii="Times New Roman" w:hAnsi="Times New Roman" w:eastAsia="方正楷体_GB2312" w:cs="Times New Roman"/>
          <w:b/>
          <w:bCs w:val="0"/>
          <w:sz w:val="32"/>
          <w:szCs w:val="32"/>
          <w:lang w:val="zh-CN"/>
        </w:rPr>
        <w:t>基本情况。</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为了加强傈僳族非物质文化遗产传承保护，使傈僳族非物质文化遗产在创新中发展壮大，开展傈僳族文化宣传、挖掘、保护、课题研究、培训、文化展演、文化创作、文化交流等活动，发展民族文化产业。</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（二）</w:t>
      </w:r>
      <w:r>
        <w:rPr>
          <w:rFonts w:hint="eastAsia" w:eastAsia="方正楷体_GB2312" w:cs="Times New Roman"/>
          <w:b/>
          <w:bCs w:val="0"/>
          <w:sz w:val="32"/>
          <w:szCs w:val="32"/>
          <w:lang w:val="zh-CN"/>
        </w:rPr>
        <w:t>项目绩效目标</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lang w:eastAsia="zh-CN"/>
        </w:rPr>
        <w:t>打造“阿木诗依”傈僳霓裳设计工作室，让傈僳族非遗技艺得到更好的拓展和创新。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2.</w:t>
      </w:r>
      <w:r>
        <w:rPr>
          <w:rFonts w:hint="default" w:ascii="Times New Roman" w:hAnsi="Times New Roman" w:eastAsia="方正仿宋_GB2312" w:cs="Times New Roman"/>
          <w:sz w:val="32"/>
          <w:szCs w:val="32"/>
          <w:lang w:eastAsia="zh-CN"/>
        </w:rPr>
        <w:t>深层次开展“非遗+高校”协同创新发展新模式，提高傈僳族非遗社会影响力，助力乡村振兴。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3.</w:t>
      </w:r>
      <w:r>
        <w:rPr>
          <w:rFonts w:hint="default" w:ascii="Times New Roman" w:hAnsi="Times New Roman" w:eastAsia="方正仿宋_GB2312" w:cs="Times New Roman"/>
          <w:sz w:val="32"/>
          <w:szCs w:val="32"/>
          <w:lang w:eastAsia="zh-CN"/>
        </w:rPr>
        <w:t>完善硬件设施设备，充分发挥盐边县傈僳族非物质文化遗产传习中心效能，长期性不定期开展传承人培训，年度开展4场传承人集中培训，开展传承人进校园10场次。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eastAsia="zh-CN"/>
        </w:rPr>
        <w:t>以傈僳族非遗+课题研究+研培计划等与四川大学视像整合与媒介艺术研究中心、西南民族大学商学院、西南民族大学艺术学院、四川音乐学院开启深度合作，协同创新发展。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5.</w:t>
      </w:r>
      <w:r>
        <w:rPr>
          <w:rFonts w:hint="default" w:ascii="Times New Roman" w:hAnsi="Times New Roman" w:eastAsia="方正仿宋_GB2312" w:cs="Times New Roman"/>
          <w:sz w:val="32"/>
          <w:szCs w:val="32"/>
          <w:lang w:eastAsia="zh-CN"/>
        </w:rPr>
        <w:t>开展研究以及文创孵化成果呈现，计划将15个文创产品系列推向市场，让非遗可持续发展，同时也让传承人受益。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6.</w:t>
      </w:r>
      <w:r>
        <w:rPr>
          <w:rFonts w:hint="default" w:ascii="Times New Roman" w:hAnsi="Times New Roman" w:eastAsia="方正仿宋_GB2312" w:cs="Times New Roman"/>
          <w:sz w:val="32"/>
          <w:szCs w:val="32"/>
          <w:lang w:eastAsia="zh-CN"/>
        </w:rPr>
        <w:t>开展傈僳族非遗项目艺术创作，完成一首歌曲和一个舞蹈的编创和宣传。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7.</w:t>
      </w:r>
      <w:r>
        <w:rPr>
          <w:rFonts w:hint="default" w:ascii="Times New Roman" w:hAnsi="Times New Roman" w:eastAsia="方正仿宋_GB2312" w:cs="Times New Roman"/>
          <w:sz w:val="32"/>
          <w:szCs w:val="32"/>
          <w:lang w:eastAsia="zh-CN"/>
        </w:rPr>
        <w:t>在盐边县傈僳族非物质文化遗产传习中心开展舞台展演活动，宣传傈僳族传统文化，推动文旅深度融合发展。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lang w:eastAsia="zh-CN"/>
        </w:rPr>
        <w:t>在盐边县傈僳族非物质文化遗产传习中心开展省级非遗代表性项目“傈僳族婚礼”活态传承5场。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9.</w:t>
      </w:r>
      <w:r>
        <w:rPr>
          <w:rFonts w:hint="default" w:ascii="Times New Roman" w:hAnsi="Times New Roman" w:eastAsia="方正仿宋_GB2312" w:cs="Times New Roman"/>
          <w:sz w:val="32"/>
          <w:szCs w:val="32"/>
          <w:lang w:eastAsia="zh-CN"/>
        </w:rPr>
        <w:t>开展傈僳族非遗项目视频拍摄和宣传，让更多的人了解傈僳族文化。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10.</w:t>
      </w:r>
      <w:r>
        <w:rPr>
          <w:rFonts w:hint="default" w:ascii="Times New Roman" w:hAnsi="Times New Roman" w:eastAsia="方正仿宋_GB2312" w:cs="Times New Roman"/>
          <w:sz w:val="32"/>
          <w:szCs w:val="32"/>
          <w:lang w:eastAsia="zh-CN"/>
        </w:rPr>
        <w:t>开展一期傈僳族非遗项目摄影展，扩大参与度。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11.</w:t>
      </w:r>
      <w:r>
        <w:rPr>
          <w:rFonts w:hint="default" w:ascii="Times New Roman" w:hAnsi="Times New Roman" w:eastAsia="方正仿宋_GB2312" w:cs="Times New Roman"/>
          <w:sz w:val="32"/>
          <w:szCs w:val="32"/>
          <w:lang w:eastAsia="zh-CN"/>
        </w:rPr>
        <w:t>组织开展2期傈僳族非遗代表性传承人对外交流活动，扩大视野，取长补短，增强对傈僳族传统文化的研究和挖掘。</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（三）</w:t>
      </w:r>
      <w:r>
        <w:rPr>
          <w:rFonts w:hint="eastAsia" w:eastAsia="方正楷体_GB2312" w:cs="Times New Roman"/>
          <w:b/>
          <w:bCs w:val="0"/>
          <w:sz w:val="32"/>
          <w:szCs w:val="32"/>
          <w:lang w:val="zh-CN"/>
        </w:rPr>
        <w:t>项目自评步骤及方法</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按照有关规定和工作安排，通过组建评估组，收集被评估项目相关基础资料，查阅资料、收集数据信息等，</w:t>
      </w:r>
      <w:r>
        <w:rPr>
          <w:rFonts w:hint="default" w:ascii="Times New Roman" w:hAnsi="Times New Roman" w:eastAsia="方正仿宋_GB2312" w:cs="Times New Roman"/>
          <w:kern w:val="0"/>
          <w:sz w:val="32"/>
          <w:szCs w:val="32"/>
          <w:lang w:val="en-US" w:eastAsia="zh-CN"/>
        </w:rPr>
        <w:t>通过对</w:t>
      </w:r>
      <w:r>
        <w:rPr>
          <w:rFonts w:hint="eastAsia" w:eastAsia="方正仿宋_GB2312" w:cs="Times New Roman"/>
          <w:kern w:val="0"/>
          <w:sz w:val="32"/>
          <w:szCs w:val="32"/>
          <w:lang w:val="en-US" w:eastAsia="zh-CN"/>
        </w:rPr>
        <w:t>项目</w:t>
      </w:r>
      <w:r>
        <w:rPr>
          <w:rFonts w:hint="default" w:ascii="Times New Roman" w:hAnsi="Times New Roman" w:eastAsia="方正仿宋_GB2312" w:cs="Times New Roman"/>
          <w:kern w:val="0"/>
          <w:sz w:val="32"/>
          <w:szCs w:val="32"/>
          <w:lang w:val="en-US" w:eastAsia="zh-CN"/>
        </w:rPr>
        <w:t>进行考核，</w:t>
      </w:r>
      <w:r>
        <w:rPr>
          <w:rFonts w:hint="default" w:ascii="Times New Roman" w:hAnsi="Times New Roman" w:eastAsia="方正仿宋_GB2312" w:cs="Times New Roman"/>
          <w:kern w:val="0"/>
          <w:sz w:val="32"/>
          <w:szCs w:val="32"/>
        </w:rPr>
        <w:t>深入论证分析，形成绩效评估报告；对项目进行监控，采用单位自评法、问卷调查法、座谈调研法等多种方法。</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eastAsia="黑体" w:cs="Times New Roman"/>
          <w:color w:val="auto"/>
          <w:kern w:val="2"/>
          <w:sz w:val="32"/>
          <w:szCs w:val="32"/>
          <w:lang w:val="zh-CN" w:eastAsia="zh-CN" w:bidi="ar-SA"/>
        </w:rPr>
        <w:t>二、</w:t>
      </w:r>
      <w:r>
        <w:rPr>
          <w:rFonts w:hint="default" w:ascii="Times New Roman" w:hAnsi="Times New Roman" w:eastAsia="黑体" w:cs="Times New Roman"/>
          <w:color w:val="auto"/>
          <w:kern w:val="2"/>
          <w:sz w:val="32"/>
          <w:szCs w:val="32"/>
          <w:lang w:val="zh-CN" w:eastAsia="zh-CN" w:bidi="ar-SA"/>
        </w:rPr>
        <w:t>项目</w:t>
      </w:r>
      <w:r>
        <w:rPr>
          <w:rFonts w:hint="eastAsia" w:eastAsia="黑体" w:cs="Times New Roman"/>
          <w:color w:val="auto"/>
          <w:kern w:val="2"/>
          <w:sz w:val="32"/>
          <w:szCs w:val="32"/>
          <w:lang w:val="zh-CN" w:eastAsia="zh-CN" w:bidi="ar-SA"/>
        </w:rPr>
        <w:t>资金申报及使用情况</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一</w:t>
      </w: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项目资金申报、计划及使用情况</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color w:val="auto"/>
          <w:kern w:val="0"/>
          <w:sz w:val="32"/>
          <w:szCs w:val="32"/>
          <w:lang w:eastAsia="zh-CN"/>
        </w:rPr>
      </w:pPr>
      <w:r>
        <w:rPr>
          <w:rFonts w:hint="default" w:ascii="Times New Roman" w:hAnsi="Times New Roman" w:eastAsia="方正仿宋_GB2312" w:cs="Times New Roman"/>
          <w:color w:val="auto"/>
          <w:kern w:val="0"/>
          <w:sz w:val="32"/>
          <w:szCs w:val="32"/>
          <w:lang w:val="en-US" w:eastAsia="zh-CN"/>
        </w:rPr>
        <w:t>2023年12月，根据《盐边县财政局关于下达2023年省级文化和旅游发展专项资金（第三批）预算的通知》（盐财资行〔2023〕586号），</w:t>
      </w:r>
      <w:r>
        <w:rPr>
          <w:rFonts w:hint="default" w:ascii="Times New Roman" w:hAnsi="Times New Roman" w:eastAsia="方正仿宋_GB2312" w:cs="Times New Roman"/>
          <w:color w:val="auto"/>
          <w:kern w:val="0"/>
          <w:sz w:val="32"/>
          <w:szCs w:val="32"/>
          <w:lang w:eastAsia="zh-CN"/>
        </w:rPr>
        <w:t>盐边县</w:t>
      </w:r>
      <w:r>
        <w:rPr>
          <w:rFonts w:hint="default" w:ascii="Times New Roman" w:hAnsi="Times New Roman" w:eastAsia="方正仿宋_GB2312" w:cs="Times New Roman"/>
          <w:color w:val="auto"/>
          <w:kern w:val="0"/>
          <w:sz w:val="32"/>
          <w:szCs w:val="32"/>
        </w:rPr>
        <w:t>财政局下达</w:t>
      </w:r>
      <w:r>
        <w:rPr>
          <w:rFonts w:hint="default" w:ascii="Times New Roman" w:hAnsi="Times New Roman" w:eastAsia="方正仿宋_GB2312" w:cs="Times New Roman"/>
          <w:color w:val="auto"/>
          <w:sz w:val="32"/>
          <w:szCs w:val="32"/>
          <w:lang w:eastAsia="zh-CN"/>
        </w:rPr>
        <w:t>傈僳族非物质文化遗产保护传承及创新发展</w:t>
      </w:r>
      <w:r>
        <w:rPr>
          <w:rFonts w:hint="default" w:ascii="Times New Roman" w:hAnsi="Times New Roman" w:eastAsia="方正仿宋_GB2312" w:cs="Times New Roman"/>
          <w:color w:val="auto"/>
          <w:kern w:val="0"/>
          <w:sz w:val="32"/>
          <w:szCs w:val="32"/>
          <w:lang w:eastAsia="zh-CN"/>
        </w:rPr>
        <w:t>经费</w:t>
      </w:r>
      <w:r>
        <w:rPr>
          <w:rFonts w:hint="default" w:ascii="Times New Roman" w:hAnsi="Times New Roman" w:eastAsia="方正仿宋_GB2312" w:cs="Times New Roman"/>
          <w:color w:val="auto"/>
          <w:kern w:val="0"/>
          <w:sz w:val="32"/>
          <w:szCs w:val="32"/>
          <w:lang w:val="en-US" w:eastAsia="zh-CN"/>
        </w:rPr>
        <w:t>30万元</w:t>
      </w:r>
      <w:r>
        <w:rPr>
          <w:rFonts w:hint="eastAsia" w:eastAsia="方正仿宋_GB2312" w:cs="Times New Roman"/>
          <w:color w:val="auto"/>
          <w:kern w:val="0"/>
          <w:sz w:val="32"/>
          <w:szCs w:val="32"/>
          <w:lang w:val="en-US" w:eastAsia="zh-CN"/>
        </w:rPr>
        <w:t>，资金到位率100%</w:t>
      </w:r>
      <w:r>
        <w:rPr>
          <w:rFonts w:hint="default" w:ascii="Times New Roman" w:hAnsi="Times New Roman" w:eastAsia="方正仿宋_GB2312" w:cs="Times New Roman"/>
          <w:color w:val="auto"/>
          <w:kern w:val="0"/>
          <w:sz w:val="32"/>
          <w:szCs w:val="32"/>
          <w:lang w:val="en-US" w:eastAsia="zh-CN"/>
        </w:rPr>
        <w:t>。</w:t>
      </w:r>
      <w:r>
        <w:rPr>
          <w:rFonts w:hint="default" w:ascii="Times New Roman" w:hAnsi="Times New Roman" w:eastAsia="方正仿宋_GB2312" w:cs="Times New Roman"/>
          <w:color w:val="auto"/>
          <w:kern w:val="0"/>
          <w:sz w:val="32"/>
          <w:szCs w:val="32"/>
        </w:rPr>
        <w:t>严格按</w:t>
      </w:r>
      <w:r>
        <w:rPr>
          <w:rFonts w:hint="default" w:ascii="Times New Roman" w:hAnsi="Times New Roman" w:eastAsia="方正仿宋_GB2312" w:cs="Times New Roman"/>
          <w:color w:val="auto"/>
          <w:kern w:val="0"/>
          <w:sz w:val="32"/>
          <w:szCs w:val="32"/>
          <w:lang w:eastAsia="zh-CN"/>
        </w:rPr>
        <w:t>资金分配方案实施使用和管理。</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二</w:t>
      </w:r>
      <w:r>
        <w:rPr>
          <w:rFonts w:hint="default" w:ascii="Times New Roman" w:hAnsi="Times New Roman" w:eastAsia="方正楷体_GB2312" w:cs="Times New Roman"/>
          <w:b/>
          <w:bCs w:val="0"/>
          <w:sz w:val="32"/>
          <w:szCs w:val="32"/>
          <w:lang w:val="zh-CN"/>
        </w:rPr>
        <w:t>）项目</w:t>
      </w:r>
      <w:r>
        <w:rPr>
          <w:rFonts w:hint="eastAsia" w:eastAsia="方正楷体_GB2312" w:cs="Times New Roman"/>
          <w:b/>
          <w:bCs w:val="0"/>
          <w:sz w:val="32"/>
          <w:szCs w:val="32"/>
          <w:lang w:val="zh-CN"/>
        </w:rPr>
        <w:t>财务管理情况</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eastAsia" w:ascii="方正仿宋_GB2312" w:hAnsi="方正仿宋_GB2312" w:eastAsia="方正仿宋_GB2312" w:cs="方正仿宋_GB2312"/>
          <w:color w:val="auto"/>
          <w:sz w:val="32"/>
          <w:szCs w:val="32"/>
          <w:lang w:val="zh-CN"/>
        </w:rPr>
      </w:pPr>
      <w:r>
        <w:rPr>
          <w:rFonts w:hint="eastAsia" w:ascii="方正仿宋_GB2312" w:hAnsi="方正仿宋_GB2312" w:eastAsia="方正仿宋_GB2312" w:cs="方正仿宋_GB2312"/>
          <w:color w:val="auto"/>
          <w:sz w:val="32"/>
          <w:szCs w:val="32"/>
          <w:lang w:val="zh-CN"/>
        </w:rPr>
        <w:t>该项目严格执行财务管理制度，账务处理及时，会计核算规范。</w:t>
      </w:r>
    </w:p>
    <w:p>
      <w:pPr>
        <w:keepNext w:val="0"/>
        <w:keepLines w:val="0"/>
        <w:pageBreakBefore w:val="0"/>
        <w:widowControl w:val="0"/>
        <w:numPr>
          <w:ilvl w:val="0"/>
          <w:numId w:val="5"/>
        </w:numPr>
        <w:kinsoku/>
        <w:wordWrap/>
        <w:overflowPunct/>
        <w:topLinePunct w:val="0"/>
        <w:bidi w:val="0"/>
        <w:spacing w:line="240" w:lineRule="auto"/>
        <w:ind w:firstLine="640" w:firstLineChars="200"/>
        <w:textAlignment w:val="auto"/>
        <w:rPr>
          <w:rFonts w:hint="eastAsia" w:eastAsia="黑体" w:cs="Times New Roman"/>
          <w:color w:val="auto"/>
          <w:kern w:val="2"/>
          <w:sz w:val="32"/>
          <w:szCs w:val="32"/>
          <w:lang w:val="zh-CN" w:eastAsia="zh-CN" w:bidi="ar-SA"/>
        </w:rPr>
      </w:pPr>
      <w:r>
        <w:rPr>
          <w:rFonts w:hint="default" w:ascii="Times New Roman" w:hAnsi="Times New Roman" w:eastAsia="黑体" w:cs="Times New Roman"/>
          <w:color w:val="auto"/>
          <w:kern w:val="2"/>
          <w:sz w:val="32"/>
          <w:szCs w:val="32"/>
          <w:lang w:val="zh-CN" w:eastAsia="zh-CN" w:bidi="ar-SA"/>
        </w:rPr>
        <w:t>项目</w:t>
      </w:r>
      <w:r>
        <w:rPr>
          <w:rFonts w:hint="eastAsia" w:eastAsia="黑体" w:cs="Times New Roman"/>
          <w:color w:val="auto"/>
          <w:kern w:val="2"/>
          <w:sz w:val="32"/>
          <w:szCs w:val="32"/>
          <w:lang w:val="zh-CN" w:eastAsia="zh-CN" w:bidi="ar-SA"/>
        </w:rPr>
        <w:t>实施及管理情况</w:t>
      </w:r>
    </w:p>
    <w:p>
      <w:pPr>
        <w:keepNext w:val="0"/>
        <w:keepLines w:val="0"/>
        <w:pageBreakBefore w:val="0"/>
        <w:widowControl w:val="0"/>
        <w:numPr>
          <w:ilvl w:val="0"/>
          <w:numId w:val="0"/>
        </w:numPr>
        <w:kinsoku/>
        <w:wordWrap/>
        <w:overflowPunct/>
        <w:topLinePunct w:val="0"/>
        <w:bidi w:val="0"/>
        <w:spacing w:line="240" w:lineRule="auto"/>
        <w:ind w:firstLine="640" w:firstLineChars="200"/>
        <w:textAlignment w:val="auto"/>
        <w:rPr>
          <w:rFonts w:hint="default"/>
          <w:lang w:val="zh-CN" w:eastAsia="zh-CN"/>
        </w:rPr>
      </w:pPr>
      <w:r>
        <w:rPr>
          <w:rFonts w:hint="eastAsia" w:ascii="方正仿宋_GB2312" w:hAnsi="方正仿宋_GB2312" w:eastAsia="方正仿宋_GB2312" w:cs="方正仿宋_GB2312"/>
          <w:b w:val="0"/>
          <w:bCs/>
          <w:color w:val="auto"/>
          <w:sz w:val="32"/>
          <w:szCs w:val="32"/>
          <w:lang w:val="zh-CN" w:eastAsia="zh-CN"/>
        </w:rPr>
        <w:t>县文广旅局实施行业监管，由盐边县文化馆担任项目实施方，行使项目法人的权利，承担项目法人的责任及义务，项目实施管理实行项目法人责任制、资金使用和项目公示制、资金拨付逐级审核制度，并及时解决了项目实施过程中出现的问题，以确保公共图书馆和文化馆免费开放的质量和效益。</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eastAsia="黑体" w:cs="Times New Roman"/>
          <w:color w:val="auto"/>
          <w:kern w:val="2"/>
          <w:sz w:val="32"/>
          <w:szCs w:val="32"/>
          <w:lang w:val="zh-CN" w:eastAsia="zh-CN" w:bidi="ar-SA"/>
        </w:rPr>
        <w:t>四、项目绩效情况</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仿宋_GB2312" w:cs="Times New Roman"/>
          <w:b/>
          <w:bCs/>
          <w:kern w:val="0"/>
          <w:sz w:val="32"/>
          <w:szCs w:val="32"/>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一</w:t>
      </w:r>
      <w:r>
        <w:rPr>
          <w:rFonts w:hint="default" w:ascii="Times New Roman" w:hAnsi="Times New Roman" w:eastAsia="方正楷体_GB2312" w:cs="Times New Roman"/>
          <w:b/>
          <w:bCs w:val="0"/>
          <w:sz w:val="32"/>
          <w:szCs w:val="32"/>
          <w:lang w:val="zh-CN"/>
        </w:rPr>
        <w:t>）项目</w:t>
      </w:r>
      <w:r>
        <w:rPr>
          <w:rFonts w:hint="eastAsia" w:eastAsia="方正楷体_GB2312" w:cs="Times New Roman"/>
          <w:b/>
          <w:bCs w:val="0"/>
          <w:sz w:val="32"/>
          <w:szCs w:val="32"/>
          <w:lang w:val="zh-CN"/>
        </w:rPr>
        <w:t>完成情况</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1.</w:t>
      </w:r>
      <w:r>
        <w:rPr>
          <w:rFonts w:hint="default" w:ascii="Times New Roman" w:hAnsi="Times New Roman" w:eastAsia="方正仿宋_GB2312" w:cs="Times New Roman"/>
          <w:sz w:val="32"/>
          <w:szCs w:val="32"/>
          <w:lang w:eastAsia="zh-CN"/>
        </w:rPr>
        <w:t>打造“阿木诗依”傈僳霓裳设计工作室，让傈僳族非遗技艺得到更好的拓展和创新。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2.</w:t>
      </w:r>
      <w:r>
        <w:rPr>
          <w:rFonts w:hint="default" w:ascii="Times New Roman" w:hAnsi="Times New Roman" w:eastAsia="方正仿宋_GB2312" w:cs="Times New Roman"/>
          <w:sz w:val="32"/>
          <w:szCs w:val="32"/>
          <w:lang w:eastAsia="zh-CN"/>
        </w:rPr>
        <w:t>深层次开展“非遗+高校”协同创新发展新模式，提高傈僳族非遗社会影响力，助力乡村振兴。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3.</w:t>
      </w:r>
      <w:r>
        <w:rPr>
          <w:rFonts w:hint="default" w:ascii="Times New Roman" w:hAnsi="Times New Roman" w:eastAsia="方正仿宋_GB2312" w:cs="Times New Roman"/>
          <w:sz w:val="32"/>
          <w:szCs w:val="32"/>
          <w:lang w:eastAsia="zh-CN"/>
        </w:rPr>
        <w:t>完善硬件设施设备，充分发挥盐边县傈僳族非物质文化遗产传习中心效能，长期性不定期开展传承人培训，年度开展4场传承人集中培训，开展传承人进校园10场次。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4.</w:t>
      </w:r>
      <w:r>
        <w:rPr>
          <w:rFonts w:hint="default" w:ascii="Times New Roman" w:hAnsi="Times New Roman" w:eastAsia="方正仿宋_GB2312" w:cs="Times New Roman"/>
          <w:sz w:val="32"/>
          <w:szCs w:val="32"/>
          <w:lang w:eastAsia="zh-CN"/>
        </w:rPr>
        <w:t>以傈僳族非遗+课题研究+研培计划等与四川大学视像整合与媒介艺术研究中心、西南民族大学商学院、西南民族大学艺术学院、四川音乐学院开启深度合作，协同创新发展。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5.</w:t>
      </w:r>
      <w:r>
        <w:rPr>
          <w:rFonts w:hint="default" w:ascii="Times New Roman" w:hAnsi="Times New Roman" w:eastAsia="方正仿宋_GB2312" w:cs="Times New Roman"/>
          <w:sz w:val="32"/>
          <w:szCs w:val="32"/>
          <w:lang w:eastAsia="zh-CN"/>
        </w:rPr>
        <w:t>开展研究以及文创孵化成果呈现，计划将15个</w:t>
      </w:r>
      <w:r>
        <w:rPr>
          <w:rFonts w:hint="eastAsia" w:eastAsia="方正仿宋_GB2312" w:cs="Times New Roman"/>
          <w:sz w:val="32"/>
          <w:szCs w:val="32"/>
          <w:lang w:eastAsia="zh-CN"/>
        </w:rPr>
        <w:t>文创产品</w:t>
      </w:r>
      <w:r>
        <w:rPr>
          <w:rFonts w:hint="default" w:ascii="Times New Roman" w:hAnsi="Times New Roman" w:eastAsia="方正仿宋_GB2312" w:cs="Times New Roman"/>
          <w:sz w:val="32"/>
          <w:szCs w:val="32"/>
          <w:lang w:eastAsia="zh-CN"/>
        </w:rPr>
        <w:t>系列推向市场，让非遗可持续发展</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lang w:eastAsia="zh-CN"/>
        </w:rPr>
        <w:t>同时也让传承人受益。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6.</w:t>
      </w:r>
      <w:r>
        <w:rPr>
          <w:rFonts w:hint="default" w:ascii="Times New Roman" w:hAnsi="Times New Roman" w:eastAsia="方正仿宋_GB2312" w:cs="Times New Roman"/>
          <w:sz w:val="32"/>
          <w:szCs w:val="32"/>
          <w:lang w:eastAsia="zh-CN"/>
        </w:rPr>
        <w:t>开展傈僳族非遗项目艺术创作，完成一首歌曲和一个舞蹈的编创和宣传。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7.</w:t>
      </w:r>
      <w:r>
        <w:rPr>
          <w:rFonts w:hint="default" w:ascii="Times New Roman" w:hAnsi="Times New Roman" w:eastAsia="方正仿宋_GB2312" w:cs="Times New Roman"/>
          <w:sz w:val="32"/>
          <w:szCs w:val="32"/>
          <w:lang w:eastAsia="zh-CN"/>
        </w:rPr>
        <w:t>在盐边县傈僳族非物质文化遗产传习中心开展舞台展演活动，宣传傈僳族传统文化，推动文旅深度融合发展。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8.</w:t>
      </w:r>
      <w:r>
        <w:rPr>
          <w:rFonts w:hint="default" w:ascii="Times New Roman" w:hAnsi="Times New Roman" w:eastAsia="方正仿宋_GB2312" w:cs="Times New Roman"/>
          <w:sz w:val="32"/>
          <w:szCs w:val="32"/>
          <w:lang w:eastAsia="zh-CN"/>
        </w:rPr>
        <w:t>在盐边县傈僳族非物质文化遗产传习中心开展省级非遗代表性项目“傈僳族婚礼”活态传承5场。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9.</w:t>
      </w:r>
      <w:r>
        <w:rPr>
          <w:rFonts w:hint="default" w:ascii="Times New Roman" w:hAnsi="Times New Roman" w:eastAsia="方正仿宋_GB2312" w:cs="Times New Roman"/>
          <w:sz w:val="32"/>
          <w:szCs w:val="32"/>
          <w:lang w:eastAsia="zh-CN"/>
        </w:rPr>
        <w:t>开展傈僳族非遗项目视频拍摄和宣传，让更多的人了解傈僳族文化。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10.</w:t>
      </w:r>
      <w:r>
        <w:rPr>
          <w:rFonts w:hint="default" w:ascii="Times New Roman" w:hAnsi="Times New Roman" w:eastAsia="方正仿宋_GB2312" w:cs="Times New Roman"/>
          <w:sz w:val="32"/>
          <w:szCs w:val="32"/>
          <w:lang w:eastAsia="zh-CN"/>
        </w:rPr>
        <w:t>开展一期傈僳族非遗项目摄影展，扩大参与度。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eastAsia" w:eastAsia="方正仿宋_GB2312" w:cs="Times New Roman"/>
          <w:sz w:val="32"/>
          <w:szCs w:val="32"/>
          <w:lang w:val="en-US" w:eastAsia="zh-CN"/>
        </w:rPr>
        <w:t>11.</w:t>
      </w:r>
      <w:r>
        <w:rPr>
          <w:rFonts w:hint="default" w:ascii="Times New Roman" w:hAnsi="Times New Roman" w:eastAsia="方正仿宋_GB2312" w:cs="Times New Roman"/>
          <w:sz w:val="32"/>
          <w:szCs w:val="32"/>
          <w:lang w:eastAsia="zh-CN"/>
        </w:rPr>
        <w:t>组织开展2期傈僳族非遗代表性传承人对外交流活动，扩大视野，取长补短，增强对傈僳族传统文化的研究和挖掘。</w:t>
      </w:r>
    </w:p>
    <w:p>
      <w:pPr>
        <w:keepNext w:val="0"/>
        <w:keepLines w:val="0"/>
        <w:pageBreakBefore w:val="0"/>
        <w:widowControl w:val="0"/>
        <w:kinsoku/>
        <w:wordWrap/>
        <w:overflowPunct/>
        <w:topLinePunct w:val="0"/>
        <w:autoSpaceDE w:val="0"/>
        <w:autoSpaceDN w:val="0"/>
        <w:bidi w:val="0"/>
        <w:adjustRightInd w:val="0"/>
        <w:spacing w:line="240" w:lineRule="auto"/>
        <w:ind w:firstLine="643" w:firstLineChars="200"/>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二</w:t>
      </w: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项目效益情况</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b/>
          <w:bCs/>
          <w:kern w:val="0"/>
          <w:sz w:val="32"/>
          <w:szCs w:val="32"/>
        </w:rPr>
      </w:pPr>
      <w:r>
        <w:rPr>
          <w:rFonts w:hint="default" w:ascii="Times New Roman" w:hAnsi="Times New Roman" w:eastAsia="方正仿宋_GB2312" w:cs="Times New Roman"/>
          <w:b/>
          <w:bCs/>
          <w:kern w:val="0"/>
          <w:sz w:val="32"/>
          <w:szCs w:val="32"/>
        </w:rPr>
        <w:t>1</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数量指标。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（1）打造“阿木诗依”傈僳霓裳设计工作室，让傈僳族非遗技艺得到更好的拓展和创新。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（2）深层次开展“非遗+高校”协同创新发展新模式，提高傈僳族非遗社会影响力，助力乡村振兴。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（3）完善硬件设施设备，充分发挥盐边县傈僳族非物质文化遗产传习中心效能，长期性不定期开展传承人培训，年度开展4场传承人集中培训，开展传承人进校园10场次。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4</w:t>
      </w:r>
      <w:r>
        <w:rPr>
          <w:rFonts w:hint="default" w:ascii="Times New Roman" w:hAnsi="Times New Roman" w:eastAsia="方正仿宋_GB2312" w:cs="Times New Roman"/>
          <w:sz w:val="32"/>
          <w:szCs w:val="32"/>
          <w:lang w:eastAsia="zh-CN"/>
        </w:rPr>
        <w:t>）以傈僳族非遗+课题研究+研培计划等与四川大学视像整合与媒介艺术研究中心、西南民族大学商学院、西南民族大学艺术学院、四川音乐学院开启深度合作，协同创新发展。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（5）开展研究以及文创孵化成果呈现，计划将15个</w:t>
      </w:r>
      <w:r>
        <w:rPr>
          <w:rFonts w:hint="eastAsia" w:eastAsia="方正仿宋_GB2312" w:cs="Times New Roman"/>
          <w:sz w:val="32"/>
          <w:szCs w:val="32"/>
          <w:lang w:eastAsia="zh-CN"/>
        </w:rPr>
        <w:t>文创产品</w:t>
      </w:r>
      <w:r>
        <w:rPr>
          <w:rFonts w:hint="default" w:ascii="Times New Roman" w:hAnsi="Times New Roman" w:eastAsia="方正仿宋_GB2312" w:cs="Times New Roman"/>
          <w:sz w:val="32"/>
          <w:szCs w:val="32"/>
          <w:lang w:eastAsia="zh-CN"/>
        </w:rPr>
        <w:t>系列推向市场，让非遗可持续发展</w:t>
      </w:r>
      <w:r>
        <w:rPr>
          <w:rFonts w:hint="eastAsia" w:eastAsia="方正仿宋_GB2312" w:cs="Times New Roman"/>
          <w:sz w:val="32"/>
          <w:szCs w:val="32"/>
          <w:lang w:eastAsia="zh-CN"/>
        </w:rPr>
        <w:t>，</w:t>
      </w:r>
      <w:r>
        <w:rPr>
          <w:rFonts w:hint="default" w:ascii="Times New Roman" w:hAnsi="Times New Roman" w:eastAsia="方正仿宋_GB2312" w:cs="Times New Roman"/>
          <w:sz w:val="32"/>
          <w:szCs w:val="32"/>
          <w:lang w:eastAsia="zh-CN"/>
        </w:rPr>
        <w:t>同时也让传承人受益。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eastAsia="zh-CN"/>
        </w:rPr>
        <w:t>（6）开展傈僳族非遗项目艺术创作，完成一首歌曲和一个舞蹈的编创和宣传。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（7）</w:t>
      </w:r>
      <w:r>
        <w:rPr>
          <w:rFonts w:hint="default" w:ascii="Times New Roman" w:hAnsi="Times New Roman" w:eastAsia="方正仿宋_GB2312" w:cs="Times New Roman"/>
          <w:sz w:val="32"/>
          <w:szCs w:val="32"/>
          <w:lang w:eastAsia="zh-CN"/>
        </w:rPr>
        <w:t>在盐边县傈僳族非物质文化遗产传习中心开展舞台展演活动，宣传傈僳族传统文化，推动文旅深度融合发展。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（8）</w:t>
      </w:r>
      <w:r>
        <w:rPr>
          <w:rFonts w:hint="default" w:ascii="Times New Roman" w:hAnsi="Times New Roman" w:eastAsia="方正仿宋_GB2312" w:cs="Times New Roman"/>
          <w:sz w:val="32"/>
          <w:szCs w:val="32"/>
          <w:lang w:eastAsia="zh-CN"/>
        </w:rPr>
        <w:t>在盐边县傈僳族非物质文化遗产传习中心开展省级非遗代表性项目“傈僳族婚礼”活态传承5场。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（9）</w:t>
      </w:r>
      <w:r>
        <w:rPr>
          <w:rFonts w:hint="default" w:ascii="Times New Roman" w:hAnsi="Times New Roman" w:eastAsia="方正仿宋_GB2312" w:cs="Times New Roman"/>
          <w:sz w:val="32"/>
          <w:szCs w:val="32"/>
          <w:lang w:eastAsia="zh-CN"/>
        </w:rPr>
        <w:t>开展傈僳族非遗项目视频拍摄和宣传，让更多的人了解傈僳族文化。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Times New Roman" w:hAnsi="Times New Roman" w:eastAsia="方正仿宋_GB2312" w:cs="Times New Roman"/>
          <w:sz w:val="32"/>
          <w:szCs w:val="32"/>
          <w:lang w:val="en-US" w:eastAsia="zh-CN"/>
        </w:rPr>
        <w:t>（10）</w:t>
      </w:r>
      <w:r>
        <w:rPr>
          <w:rFonts w:hint="default" w:ascii="Times New Roman" w:hAnsi="Times New Roman" w:eastAsia="方正仿宋_GB2312" w:cs="Times New Roman"/>
          <w:sz w:val="32"/>
          <w:szCs w:val="32"/>
          <w:lang w:eastAsia="zh-CN"/>
        </w:rPr>
        <w:t>开展一期傈僳族非遗项目摄影展，扩大参与度。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2312" w:cs="Times New Roman"/>
          <w:b/>
          <w:bCs/>
          <w:kern w:val="0"/>
          <w:sz w:val="32"/>
          <w:szCs w:val="32"/>
        </w:rPr>
      </w:pPr>
      <w:r>
        <w:rPr>
          <w:rFonts w:hint="default" w:ascii="Times New Roman" w:hAnsi="Times New Roman" w:eastAsia="方正仿宋_GB2312" w:cs="Times New Roman"/>
          <w:sz w:val="32"/>
          <w:szCs w:val="32"/>
          <w:lang w:eastAsia="zh-CN"/>
        </w:rPr>
        <w:t>（1</w:t>
      </w:r>
      <w:r>
        <w:rPr>
          <w:rFonts w:hint="default"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lang w:eastAsia="zh-CN"/>
        </w:rPr>
        <w:t>组织开展2期傈僳族非遗代表性传承人对外交流活动，扩大视野，取长补短，增强对傈僳族传统文化的研究和挖掘。</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kern w:val="0"/>
          <w:sz w:val="32"/>
          <w:szCs w:val="32"/>
          <w:lang w:val="en-US" w:eastAsia="zh-CN"/>
        </w:rPr>
      </w:pPr>
      <w:r>
        <w:rPr>
          <w:rFonts w:hint="default" w:ascii="Times New Roman" w:hAnsi="Times New Roman" w:eastAsia="方正仿宋_GB2312" w:cs="Times New Roman"/>
          <w:b/>
          <w:bCs/>
          <w:kern w:val="0"/>
          <w:sz w:val="32"/>
          <w:szCs w:val="32"/>
        </w:rPr>
        <w:t>2</w:t>
      </w:r>
      <w:r>
        <w:rPr>
          <w:rFonts w:hint="default" w:ascii="Times New Roman" w:hAnsi="Times New Roman" w:eastAsia="方正仿宋_GB2312" w:cs="Times New Roman"/>
          <w:b/>
          <w:bCs/>
          <w:kern w:val="0"/>
          <w:sz w:val="32"/>
          <w:szCs w:val="32"/>
          <w:lang w:val="en-US" w:eastAsia="zh-CN"/>
        </w:rPr>
        <w:t>.</w:t>
      </w:r>
      <w:r>
        <w:rPr>
          <w:rFonts w:hint="default" w:ascii="Times New Roman" w:hAnsi="Times New Roman" w:eastAsia="方正仿宋_GB2312" w:cs="Times New Roman"/>
          <w:b/>
          <w:bCs/>
          <w:kern w:val="0"/>
          <w:sz w:val="32"/>
          <w:szCs w:val="32"/>
        </w:rPr>
        <w:t>质量指标。</w:t>
      </w:r>
      <w:r>
        <w:rPr>
          <w:rFonts w:hint="default" w:ascii="Times New Roman" w:hAnsi="Times New Roman" w:eastAsia="方正仿宋_GB2312" w:cs="Times New Roman"/>
          <w:color w:val="auto"/>
          <w:sz w:val="32"/>
          <w:szCs w:val="32"/>
          <w:lang w:eastAsia="zh-CN"/>
        </w:rPr>
        <w:t>傈僳族非物质文化遗产保护传承及创新发展</w:t>
      </w:r>
      <w:r>
        <w:rPr>
          <w:rFonts w:hint="default" w:ascii="Times New Roman" w:hAnsi="Times New Roman" w:eastAsia="方正仿宋_GB2312" w:cs="Times New Roman"/>
          <w:kern w:val="0"/>
          <w:sz w:val="32"/>
          <w:szCs w:val="32"/>
        </w:rPr>
        <w:t>项目质量完成较好，</w:t>
      </w:r>
      <w:r>
        <w:rPr>
          <w:rFonts w:hint="default" w:ascii="Times New Roman" w:hAnsi="Times New Roman" w:eastAsia="方正仿宋_GB2312" w:cs="Times New Roman"/>
          <w:kern w:val="0"/>
          <w:sz w:val="32"/>
          <w:szCs w:val="32"/>
          <w:lang w:val="en-US" w:eastAsia="zh-CN"/>
        </w:rPr>
        <w:t>使我县的非遗文化得到了更好的传承和保护。</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b/>
          <w:bCs/>
          <w:kern w:val="0"/>
          <w:sz w:val="32"/>
          <w:szCs w:val="32"/>
          <w:lang w:val="en-US" w:eastAsia="zh-CN"/>
        </w:rPr>
        <w:t>3.</w:t>
      </w:r>
      <w:r>
        <w:rPr>
          <w:rFonts w:hint="default" w:ascii="Times New Roman" w:hAnsi="Times New Roman" w:eastAsia="方正仿宋_GB2312" w:cs="Times New Roman"/>
          <w:b/>
          <w:bCs/>
          <w:kern w:val="0"/>
          <w:sz w:val="32"/>
          <w:szCs w:val="32"/>
        </w:rPr>
        <w:t>成本指标。</w:t>
      </w:r>
      <w:r>
        <w:rPr>
          <w:rFonts w:hint="default" w:ascii="Times New Roman" w:hAnsi="Times New Roman" w:eastAsia="方正仿宋_GB2312" w:cs="Times New Roman"/>
          <w:sz w:val="32"/>
          <w:szCs w:val="32"/>
        </w:rPr>
        <w:t>完成</w:t>
      </w:r>
      <w:r>
        <w:rPr>
          <w:rFonts w:hint="default" w:ascii="Times New Roman" w:hAnsi="Times New Roman" w:eastAsia="方正仿宋_GB2312" w:cs="Times New Roman"/>
          <w:color w:val="auto"/>
          <w:sz w:val="32"/>
          <w:szCs w:val="32"/>
          <w:lang w:eastAsia="zh-CN"/>
        </w:rPr>
        <w:t>傈僳族非物质文化遗产保护传承及创新发展</w:t>
      </w:r>
      <w:r>
        <w:rPr>
          <w:rFonts w:hint="default" w:ascii="Times New Roman" w:hAnsi="Times New Roman" w:eastAsia="方正仿宋_GB2312" w:cs="Times New Roman"/>
          <w:kern w:val="0"/>
          <w:sz w:val="32"/>
          <w:szCs w:val="32"/>
        </w:rPr>
        <w:t>项目</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预算资金</w:t>
      </w:r>
      <w:r>
        <w:rPr>
          <w:rFonts w:hint="eastAsia" w:eastAsia="方正仿宋_GB2312" w:cs="Times New Roman"/>
          <w:sz w:val="32"/>
          <w:szCs w:val="32"/>
          <w:lang w:val="en-US" w:eastAsia="zh-CN"/>
        </w:rPr>
        <w:t>30</w:t>
      </w:r>
      <w:r>
        <w:rPr>
          <w:rFonts w:hint="default" w:ascii="Times New Roman" w:hAnsi="Times New Roman" w:eastAsia="方正仿宋_GB2312" w:cs="Times New Roman"/>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val="0"/>
        <w:spacing w:line="240" w:lineRule="auto"/>
        <w:ind w:firstLine="640" w:firstLineChars="200"/>
        <w:textAlignment w:val="auto"/>
        <w:rPr>
          <w:rFonts w:hint="default" w:ascii="Times New Roman" w:hAnsi="Times New Roman" w:eastAsia="黑体" w:cs="Times New Roman"/>
          <w:color w:val="auto"/>
          <w:kern w:val="2"/>
          <w:sz w:val="32"/>
          <w:szCs w:val="32"/>
          <w:lang w:val="zh-CN" w:eastAsia="zh-CN" w:bidi="ar-SA"/>
        </w:rPr>
      </w:pPr>
      <w:r>
        <w:rPr>
          <w:rFonts w:hint="eastAsia" w:eastAsia="黑体" w:cs="Times New Roman"/>
          <w:color w:val="auto"/>
          <w:kern w:val="2"/>
          <w:sz w:val="32"/>
          <w:szCs w:val="32"/>
          <w:lang w:val="zh-CN" w:eastAsia="zh-CN" w:bidi="ar-SA"/>
        </w:rPr>
        <w:t>五</w:t>
      </w:r>
      <w:r>
        <w:rPr>
          <w:rFonts w:hint="default" w:ascii="Times New Roman" w:hAnsi="Times New Roman" w:eastAsia="黑体" w:cs="Times New Roman"/>
          <w:color w:val="auto"/>
          <w:kern w:val="2"/>
          <w:sz w:val="32"/>
          <w:szCs w:val="32"/>
          <w:lang w:val="zh-CN" w:eastAsia="zh-CN" w:bidi="ar-SA"/>
        </w:rPr>
        <w:t>、评价结论</w:t>
      </w:r>
      <w:r>
        <w:rPr>
          <w:rFonts w:hint="eastAsia" w:eastAsia="黑体" w:cs="Times New Roman"/>
          <w:color w:val="auto"/>
          <w:kern w:val="2"/>
          <w:sz w:val="32"/>
          <w:szCs w:val="32"/>
          <w:lang w:val="zh-CN" w:eastAsia="zh-CN" w:bidi="ar-SA"/>
        </w:rPr>
        <w:t>及建议</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一</w:t>
      </w: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评价结论</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按照工作计划，完成</w:t>
      </w:r>
      <w:r>
        <w:rPr>
          <w:rFonts w:hint="default" w:ascii="Times New Roman" w:hAnsi="Times New Roman" w:eastAsia="方正仿宋_GB2312" w:cs="Times New Roman"/>
          <w:color w:val="auto"/>
          <w:sz w:val="32"/>
          <w:szCs w:val="32"/>
          <w:lang w:eastAsia="zh-CN"/>
        </w:rPr>
        <w:t>傈僳族非物质文化遗产保护传承及创新发展</w:t>
      </w:r>
      <w:r>
        <w:rPr>
          <w:rFonts w:hint="default" w:ascii="Times New Roman" w:hAnsi="Times New Roman" w:eastAsia="方正仿宋_GB2312" w:cs="Times New Roman"/>
          <w:kern w:val="0"/>
          <w:sz w:val="32"/>
          <w:szCs w:val="32"/>
        </w:rPr>
        <w:t>项目预算支出</w:t>
      </w:r>
      <w:r>
        <w:rPr>
          <w:rFonts w:hint="eastAsia" w:eastAsia="方正仿宋_GB2312" w:cs="Times New Roman"/>
          <w:kern w:val="0"/>
          <w:sz w:val="32"/>
          <w:szCs w:val="32"/>
          <w:lang w:val="en-US" w:eastAsia="zh-CN"/>
        </w:rPr>
        <w:t>30</w:t>
      </w:r>
      <w:r>
        <w:rPr>
          <w:rFonts w:hint="default" w:ascii="Times New Roman" w:hAnsi="Times New Roman" w:eastAsia="方正仿宋_GB2312" w:cs="Times New Roman"/>
          <w:kern w:val="0"/>
          <w:sz w:val="32"/>
          <w:szCs w:val="32"/>
        </w:rPr>
        <w:t>万元，预算编制科学合理，资金管理及使用规范，自评得分</w:t>
      </w:r>
      <w:r>
        <w:rPr>
          <w:rFonts w:hint="eastAsia" w:eastAsia="方正仿宋_GB2312" w:cs="Times New Roman"/>
          <w:kern w:val="0"/>
          <w:sz w:val="32"/>
          <w:szCs w:val="32"/>
          <w:lang w:val="en-US" w:eastAsia="zh-CN"/>
        </w:rPr>
        <w:t>73</w:t>
      </w:r>
      <w:r>
        <w:rPr>
          <w:rFonts w:hint="default" w:ascii="Times New Roman" w:hAnsi="Times New Roman" w:eastAsia="方正仿宋_GB2312" w:cs="Times New Roman"/>
          <w:kern w:val="0"/>
          <w:sz w:val="32"/>
          <w:szCs w:val="32"/>
        </w:rPr>
        <w:t>分</w:t>
      </w:r>
      <w:r>
        <w:rPr>
          <w:rFonts w:hint="eastAsia" w:eastAsia="方正仿宋_GB2312" w:cs="Times New Roman"/>
          <w:kern w:val="0"/>
          <w:sz w:val="32"/>
          <w:szCs w:val="32"/>
          <w:lang w:eastAsia="zh-CN"/>
        </w:rPr>
        <w:t>，原因为资金下达较晚，于</w:t>
      </w:r>
      <w:r>
        <w:rPr>
          <w:rFonts w:hint="eastAsia" w:eastAsia="方正仿宋_GB2312" w:cs="Times New Roman"/>
          <w:kern w:val="0"/>
          <w:sz w:val="32"/>
          <w:szCs w:val="32"/>
          <w:lang w:val="en-US" w:eastAsia="zh-CN"/>
        </w:rPr>
        <w:t>2023年12月下达，有部分项目于2024年完成，资金计划于2024年支付</w:t>
      </w:r>
      <w:r>
        <w:rPr>
          <w:rFonts w:hint="default" w:ascii="Times New Roman" w:hAnsi="Times New Roman" w:eastAsia="方正仿宋_GB2312" w:cs="Times New Roman"/>
          <w:kern w:val="0"/>
          <w:sz w:val="32"/>
          <w:szCs w:val="32"/>
        </w:rPr>
        <w:t>。</w:t>
      </w:r>
    </w:p>
    <w:p>
      <w:pPr>
        <w:keepNext w:val="0"/>
        <w:keepLines w:val="0"/>
        <w:pageBreakBefore w:val="0"/>
        <w:widowControl w:val="0"/>
        <w:tabs>
          <w:tab w:val="left" w:pos="1911"/>
        </w:tabs>
        <w:kinsoku/>
        <w:wordWrap/>
        <w:overflowPunct/>
        <w:topLinePunct w:val="0"/>
        <w:bidi w:val="0"/>
        <w:spacing w:line="240" w:lineRule="auto"/>
        <w:ind w:firstLine="710" w:firstLineChars="221"/>
        <w:jc w:val="left"/>
        <w:textAlignment w:val="auto"/>
        <w:rPr>
          <w:rFonts w:hint="default" w:ascii="Times New Roman" w:hAnsi="Times New Roman" w:eastAsia="方正楷体_GB2312" w:cs="Times New Roman"/>
          <w:b/>
          <w:bCs w:val="0"/>
          <w:sz w:val="32"/>
          <w:szCs w:val="32"/>
          <w:lang w:val="zh-CN"/>
        </w:rPr>
      </w:pP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二</w:t>
      </w:r>
      <w:r>
        <w:rPr>
          <w:rFonts w:hint="default" w:ascii="Times New Roman" w:hAnsi="Times New Roman" w:eastAsia="方正楷体_GB2312" w:cs="Times New Roman"/>
          <w:b/>
          <w:bCs w:val="0"/>
          <w:sz w:val="32"/>
          <w:szCs w:val="32"/>
          <w:lang w:val="zh-CN"/>
        </w:rPr>
        <w:t>）</w:t>
      </w:r>
      <w:r>
        <w:rPr>
          <w:rFonts w:hint="eastAsia" w:eastAsia="方正楷体_GB2312" w:cs="Times New Roman"/>
          <w:b/>
          <w:bCs w:val="0"/>
          <w:sz w:val="32"/>
          <w:szCs w:val="32"/>
          <w:lang w:val="zh-CN"/>
        </w:rPr>
        <w:t>存在的问题及建议</w:t>
      </w:r>
      <w:r>
        <w:rPr>
          <w:rFonts w:hint="default" w:ascii="Times New Roman" w:hAnsi="Times New Roman" w:eastAsia="方正楷体_GB2312" w:cs="Times New Roman"/>
          <w:b/>
          <w:bCs w:val="0"/>
          <w:sz w:val="32"/>
          <w:szCs w:val="32"/>
          <w:lang w:val="zh-CN"/>
        </w:rPr>
        <w:t>。</w:t>
      </w:r>
    </w:p>
    <w:p>
      <w:pPr>
        <w:keepNext w:val="0"/>
        <w:keepLines w:val="0"/>
        <w:pageBreakBefore w:val="0"/>
        <w:widowControl w:val="0"/>
        <w:tabs>
          <w:tab w:val="left" w:pos="1911"/>
        </w:tabs>
        <w:kinsoku/>
        <w:wordWrap/>
        <w:overflowPunct/>
        <w:topLinePunct w:val="0"/>
        <w:bidi w:val="0"/>
        <w:spacing w:line="240" w:lineRule="auto"/>
        <w:ind w:firstLine="640" w:firstLineChars="200"/>
        <w:jc w:val="left"/>
        <w:textAlignment w:val="auto"/>
        <w:rPr>
          <w:rFonts w:hint="default" w:ascii="Times New Roman" w:hAnsi="Times New Roman" w:eastAsia="方正仿宋_GB2312" w:cs="Times New Roman"/>
          <w:kern w:val="0"/>
          <w:sz w:val="32"/>
          <w:szCs w:val="32"/>
          <w:lang w:eastAsia="zh-CN"/>
        </w:rPr>
      </w:pPr>
      <w:r>
        <w:rPr>
          <w:rFonts w:hint="eastAsia" w:eastAsia="方正仿宋_GB2312" w:cs="Times New Roman"/>
          <w:kern w:val="0"/>
          <w:sz w:val="32"/>
          <w:szCs w:val="32"/>
          <w:lang w:val="en-US" w:eastAsia="zh-CN"/>
        </w:rPr>
        <w:t>缺乏经费支持，傈僳族非物质文化遗产文创产品生产有限，销路不广。</w:t>
      </w:r>
      <w:r>
        <w:rPr>
          <w:rFonts w:hint="default" w:ascii="Times New Roman" w:hAnsi="Times New Roman" w:eastAsia="方正仿宋_GB2312" w:cs="Times New Roman"/>
          <w:kern w:val="0"/>
          <w:sz w:val="32"/>
          <w:szCs w:val="32"/>
        </w:rPr>
        <w:t>希望</w:t>
      </w:r>
      <w:r>
        <w:rPr>
          <w:rFonts w:hint="default" w:ascii="Times New Roman" w:hAnsi="Times New Roman" w:eastAsia="方正仿宋_GB2312" w:cs="Times New Roman"/>
          <w:kern w:val="0"/>
          <w:sz w:val="32"/>
          <w:szCs w:val="32"/>
          <w:lang w:eastAsia="zh-CN"/>
        </w:rPr>
        <w:t>加大经费</w:t>
      </w:r>
      <w:r>
        <w:rPr>
          <w:rFonts w:hint="default" w:ascii="Times New Roman" w:hAnsi="Times New Roman" w:eastAsia="方正仿宋_GB2312" w:cs="Times New Roman"/>
          <w:kern w:val="0"/>
          <w:sz w:val="32"/>
          <w:szCs w:val="32"/>
          <w:lang w:val="en-US" w:eastAsia="zh-CN"/>
        </w:rPr>
        <w:t>投入</w:t>
      </w:r>
      <w:r>
        <w:rPr>
          <w:rFonts w:hint="eastAsia" w:eastAsia="方正仿宋_GB2312" w:cs="Times New Roman"/>
          <w:kern w:val="0"/>
          <w:sz w:val="32"/>
          <w:szCs w:val="32"/>
          <w:lang w:val="en-US" w:eastAsia="zh-CN"/>
        </w:rPr>
        <w:t>和宣传力度</w:t>
      </w:r>
      <w:r>
        <w:rPr>
          <w:rFonts w:hint="default" w:ascii="Times New Roman" w:hAnsi="Times New Roman" w:eastAsia="方正仿宋_GB2312" w:cs="Times New Roman"/>
          <w:kern w:val="0"/>
          <w:sz w:val="32"/>
          <w:szCs w:val="32"/>
          <w:lang w:val="en-US" w:eastAsia="zh-CN"/>
        </w:rPr>
        <w:t>，</w:t>
      </w:r>
      <w:r>
        <w:rPr>
          <w:rFonts w:hint="eastAsia" w:eastAsia="方正仿宋_GB2312" w:cs="Times New Roman"/>
          <w:kern w:val="0"/>
          <w:sz w:val="32"/>
          <w:szCs w:val="32"/>
          <w:lang w:val="en-US" w:eastAsia="zh-CN"/>
        </w:rPr>
        <w:t>培养傈僳族非遗传承人队伍，发展非遗文创产业。</w:t>
      </w: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tabs>
          <w:tab w:val="left" w:pos="1911"/>
        </w:tabs>
        <w:kinsoku/>
        <w:wordWrap/>
        <w:overflowPunct/>
        <w:topLinePunct w:val="0"/>
        <w:bidi w:val="0"/>
        <w:spacing w:line="240" w:lineRule="auto"/>
        <w:ind w:firstLine="707" w:firstLineChars="221"/>
        <w:jc w:val="left"/>
        <w:textAlignment w:val="auto"/>
        <w:rPr>
          <w:rFonts w:hint="default" w:ascii="Times New Roman" w:hAnsi="Times New Roman" w:eastAsia="方正仿宋_GB2312" w:cs="Times New Roman"/>
          <w:kern w:val="0"/>
          <w:sz w:val="32"/>
          <w:szCs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44"/>
          <w:szCs w:val="44"/>
          <w:lang w:val="en-US" w:eastAsia="zh-CN"/>
        </w:rPr>
      </w:pPr>
      <w:r>
        <w:rPr>
          <w:rFonts w:hint="eastAsia" w:ascii="黑体" w:hAnsi="黑体" w:eastAsia="黑体" w:cs="黑体"/>
          <w:color w:val="auto"/>
          <w:sz w:val="44"/>
          <w:szCs w:val="44"/>
          <w:lang w:eastAsia="zh-CN"/>
        </w:rPr>
        <w:t>第五部分</w:t>
      </w:r>
      <w:r>
        <w:rPr>
          <w:rFonts w:hint="eastAsia" w:ascii="黑体" w:hAnsi="黑体" w:eastAsia="黑体" w:cs="黑体"/>
          <w:color w:val="auto"/>
          <w:sz w:val="44"/>
          <w:szCs w:val="44"/>
          <w:lang w:val="en-US" w:eastAsia="zh-CN"/>
        </w:rPr>
        <w:t xml:space="preserve"> 附表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一、收入支出决算总表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二、收入决算表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三、支出决算表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四、财政拨款收入支出决算总表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五、财政拨款支出决算明细表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六、一般公共预算财政拨款支出决算表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七、一般公共预算财政拨款支出决算明细表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八、一般公共预算财政拨款基本支出决算表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九、一般公共预算财政拨款项目支出决算表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十、政府性基金预算财政拨款收入支出决算表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十一、国有资本经营预算财政拨款收入支出决算表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十二、国有资本经营预算财政拨款支出决算表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十三、财政拨款“三公”经费支出决算表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方正仿宋_GB2312" w:cs="Times New Roman"/>
          <w:color w:val="auto"/>
          <w:sz w:val="32"/>
          <w:szCs w:val="32"/>
        </w:rPr>
      </w:pP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AA168A-5807-43C9-8E56-F745F68058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6ADE501-A799-4998-8891-EFBBEE20ABBD}"/>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8185FF0-527B-4233-B1C9-F320A6644F25}"/>
  </w:font>
  <w:font w:name="仿宋">
    <w:panose1 w:val="02010609060101010101"/>
    <w:charset w:val="86"/>
    <w:family w:val="modern"/>
    <w:pitch w:val="default"/>
    <w:sig w:usb0="800002BF" w:usb1="38CF7CFA" w:usb2="00000016" w:usb3="00000000" w:csb0="00040001" w:csb1="00000000"/>
    <w:embedRegular r:id="rId4" w:fontKey="{86F1F307-0657-48EB-9B62-96CDD7CA07CB}"/>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embedRegular r:id="rId5" w:fontKey="{DA8EBD96-CFC3-469C-9085-AC654737EA3F}"/>
  </w:font>
  <w:font w:name="方正仿宋_GB2312">
    <w:panose1 w:val="02000000000000000000"/>
    <w:charset w:val="86"/>
    <w:family w:val="auto"/>
    <w:pitch w:val="default"/>
    <w:sig w:usb0="00000000" w:usb1="00000000" w:usb2="00000000" w:usb3="00000000" w:csb0="00000000" w:csb1="00000000"/>
    <w:embedRegular r:id="rId6" w:fontKey="{6E4F4F5A-7E57-4CB1-8BD7-D9695EC3C560}"/>
  </w:font>
  <w:font w:name="方正楷体_GB2312">
    <w:panose1 w:val="02000000000000000000"/>
    <w:charset w:val="86"/>
    <w:family w:val="auto"/>
    <w:pitch w:val="default"/>
    <w:sig w:usb0="00000000" w:usb1="00000000" w:usb2="00000000" w:usb3="00000000" w:csb0="00000000" w:csb1="00000000"/>
    <w:embedRegular r:id="rId7" w:fontKey="{3531CCCD-F5CE-46EA-9667-7A39D040C31E}"/>
  </w:font>
  <w:font w:name="方正楷体简体">
    <w:altName w:val="楷体_GB2312"/>
    <w:panose1 w:val="03000509000000000000"/>
    <w:charset w:val="86"/>
    <w:family w:val="auto"/>
    <w:pitch w:val="default"/>
    <w:sig w:usb0="00000000" w:usb1="00000000" w:usb2="00000000" w:usb3="00000000" w:csb0="00040000" w:csb1="00000000"/>
    <w:embedRegular r:id="rId8" w:fontKey="{1D4DAD26-554F-4E08-821D-27817BB4A737}"/>
  </w:font>
  <w:font w:name="楷体_GB2312">
    <w:panose1 w:val="02010609030101010101"/>
    <w:charset w:val="86"/>
    <w:family w:val="auto"/>
    <w:pitch w:val="default"/>
    <w:sig w:usb0="00000001" w:usb1="080E0000" w:usb2="00000000" w:usb3="00000000" w:csb0="00040000" w:csb1="00000000"/>
    <w:embedRegular r:id="rId9" w:fontKey="{433D9C77-C6BE-4D77-8A6B-06E3B8F7037B}"/>
  </w:font>
  <w:font w:name="方正小标宋_GBK">
    <w:panose1 w:val="03000509000000000000"/>
    <w:charset w:val="86"/>
    <w:family w:val="auto"/>
    <w:pitch w:val="default"/>
    <w:sig w:usb0="00000001" w:usb1="080E0000" w:usb2="00000000" w:usb3="00000000" w:csb0="00040000" w:csb1="00000000"/>
    <w:embedRegular r:id="rId10" w:fontKey="{BAF073BC-8A9C-47C1-8345-BCBFB4A05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pPr>
                  </w:p>
                </w:txbxContent>
              </v:textbox>
            </v:shape>
          </w:pict>
        </mc:Fallback>
      </mc:AlternateContent>
    </w:r>
    <w:sdt>
      <w:sdtPr>
        <w:id w:val="-1994781956"/>
      </w:sdtPr>
      <w:sdtContent/>
    </w:sdt>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1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sdt>
      <w:sdtPr>
        <w:id w:val="147469705"/>
      </w:sdtPr>
      <w:sdtContent/>
    </w:sdt>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39F56"/>
    <w:multiLevelType w:val="singleLevel"/>
    <w:tmpl w:val="B6539F56"/>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0892BE74"/>
    <w:multiLevelType w:val="singleLevel"/>
    <w:tmpl w:val="0892BE74"/>
    <w:lvl w:ilvl="0" w:tentative="0">
      <w:start w:val="3"/>
      <w:numFmt w:val="chineseCounting"/>
      <w:suff w:val="nothing"/>
      <w:lvlText w:val="%1、"/>
      <w:lvlJc w:val="left"/>
      <w:rPr>
        <w:rFonts w:hint="eastAsia"/>
      </w:rPr>
    </w:lvl>
  </w:abstractNum>
  <w:abstractNum w:abstractNumId="3">
    <w:nsid w:val="21BE972A"/>
    <w:multiLevelType w:val="singleLevel"/>
    <w:tmpl w:val="21BE972A"/>
    <w:lvl w:ilvl="0" w:tentative="0">
      <w:start w:val="3"/>
      <w:numFmt w:val="chineseCounting"/>
      <w:suff w:val="nothing"/>
      <w:lvlText w:val="（%1）"/>
      <w:lvlJc w:val="left"/>
      <w:rPr>
        <w:rFonts w:hint="eastAsia"/>
      </w:rPr>
    </w:lvl>
  </w:abstractNum>
  <w:abstractNum w:abstractNumId="4">
    <w:nsid w:val="299B6D87"/>
    <w:multiLevelType w:val="singleLevel"/>
    <w:tmpl w:val="299B6D87"/>
    <w:lvl w:ilvl="0" w:tentative="0">
      <w:start w:val="2"/>
      <w:numFmt w:val="decimal"/>
      <w:suff w:val="nothing"/>
      <w:lvlText w:val="（%1）"/>
      <w:lvlJc w:val="left"/>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mMGQ0ZTdmOGEwODA0MTQ0NDFlYWVlZmY1NWY4MGIifQ=="/>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6C5A66"/>
    <w:rsid w:val="07996F6E"/>
    <w:rsid w:val="07DFD8BA"/>
    <w:rsid w:val="089B34C7"/>
    <w:rsid w:val="08A62D39"/>
    <w:rsid w:val="0A2032A3"/>
    <w:rsid w:val="0B1456B2"/>
    <w:rsid w:val="0B467F4C"/>
    <w:rsid w:val="0BC8771C"/>
    <w:rsid w:val="0D35B1ED"/>
    <w:rsid w:val="0D7535CC"/>
    <w:rsid w:val="0D756D97"/>
    <w:rsid w:val="0D90284F"/>
    <w:rsid w:val="0E352801"/>
    <w:rsid w:val="0E55627C"/>
    <w:rsid w:val="0E7ED1F5"/>
    <w:rsid w:val="0F98263C"/>
    <w:rsid w:val="101860EC"/>
    <w:rsid w:val="10611EED"/>
    <w:rsid w:val="10C055FF"/>
    <w:rsid w:val="118107EC"/>
    <w:rsid w:val="12E110C3"/>
    <w:rsid w:val="131A436F"/>
    <w:rsid w:val="1396764E"/>
    <w:rsid w:val="13D50BC4"/>
    <w:rsid w:val="13F5616D"/>
    <w:rsid w:val="14E82BDD"/>
    <w:rsid w:val="14F54707"/>
    <w:rsid w:val="16492A93"/>
    <w:rsid w:val="16BB723D"/>
    <w:rsid w:val="17F9714D"/>
    <w:rsid w:val="1824312D"/>
    <w:rsid w:val="1918F934"/>
    <w:rsid w:val="192F45C0"/>
    <w:rsid w:val="1B463DC0"/>
    <w:rsid w:val="1BE8440E"/>
    <w:rsid w:val="1BFD118B"/>
    <w:rsid w:val="1C8B7306"/>
    <w:rsid w:val="1C982D8B"/>
    <w:rsid w:val="1D155CEE"/>
    <w:rsid w:val="1DFBC4B3"/>
    <w:rsid w:val="1E740ACF"/>
    <w:rsid w:val="1F19C781"/>
    <w:rsid w:val="1F33FCE5"/>
    <w:rsid w:val="1F7F7398"/>
    <w:rsid w:val="1FD2DB6F"/>
    <w:rsid w:val="1FF35744"/>
    <w:rsid w:val="1FF6BC77"/>
    <w:rsid w:val="1FF9236D"/>
    <w:rsid w:val="2333840E"/>
    <w:rsid w:val="23860B96"/>
    <w:rsid w:val="240371BF"/>
    <w:rsid w:val="257C638F"/>
    <w:rsid w:val="259E44C2"/>
    <w:rsid w:val="26751740"/>
    <w:rsid w:val="26D44D6F"/>
    <w:rsid w:val="27A958BA"/>
    <w:rsid w:val="282823E5"/>
    <w:rsid w:val="29FD04D3"/>
    <w:rsid w:val="29FD3F85"/>
    <w:rsid w:val="2BFF7BC6"/>
    <w:rsid w:val="2C8A61B5"/>
    <w:rsid w:val="2CD59C95"/>
    <w:rsid w:val="2DF04E50"/>
    <w:rsid w:val="2E2131D4"/>
    <w:rsid w:val="2EFD05E5"/>
    <w:rsid w:val="2F040D46"/>
    <w:rsid w:val="2F1275B6"/>
    <w:rsid w:val="2F4F95CE"/>
    <w:rsid w:val="2FACAFDD"/>
    <w:rsid w:val="2FAE5751"/>
    <w:rsid w:val="2FB1A395"/>
    <w:rsid w:val="2FCF0B76"/>
    <w:rsid w:val="2FD9A7D8"/>
    <w:rsid w:val="319F7F4E"/>
    <w:rsid w:val="32EB01F1"/>
    <w:rsid w:val="3304709D"/>
    <w:rsid w:val="36AA5135"/>
    <w:rsid w:val="36BE0DA7"/>
    <w:rsid w:val="376B6AA6"/>
    <w:rsid w:val="376D39B2"/>
    <w:rsid w:val="37E16F03"/>
    <w:rsid w:val="37F53A3B"/>
    <w:rsid w:val="384A4E91"/>
    <w:rsid w:val="38D469F0"/>
    <w:rsid w:val="38F78389"/>
    <w:rsid w:val="397BAF1F"/>
    <w:rsid w:val="39E7B272"/>
    <w:rsid w:val="39F7642F"/>
    <w:rsid w:val="39FF7B37"/>
    <w:rsid w:val="3AB79AF3"/>
    <w:rsid w:val="3AFDCB77"/>
    <w:rsid w:val="3B7EF35A"/>
    <w:rsid w:val="3B9FDB6C"/>
    <w:rsid w:val="3BF5BC2F"/>
    <w:rsid w:val="3BF7C23A"/>
    <w:rsid w:val="3BFF223E"/>
    <w:rsid w:val="3C335039"/>
    <w:rsid w:val="3C6EC0A1"/>
    <w:rsid w:val="3CDB0824"/>
    <w:rsid w:val="3CEBA265"/>
    <w:rsid w:val="3D054690"/>
    <w:rsid w:val="3D6A7F9F"/>
    <w:rsid w:val="3D7E7F4D"/>
    <w:rsid w:val="3D98207C"/>
    <w:rsid w:val="3D9CF30A"/>
    <w:rsid w:val="3DB01C3A"/>
    <w:rsid w:val="3DFF5A3E"/>
    <w:rsid w:val="3E78745D"/>
    <w:rsid w:val="3E8356BB"/>
    <w:rsid w:val="3EEE77E9"/>
    <w:rsid w:val="3F394AF5"/>
    <w:rsid w:val="3FAB369E"/>
    <w:rsid w:val="3FBE5714"/>
    <w:rsid w:val="3FDD8615"/>
    <w:rsid w:val="3FDFB2FF"/>
    <w:rsid w:val="3FF4CAE0"/>
    <w:rsid w:val="3FF75FAF"/>
    <w:rsid w:val="3FF7B227"/>
    <w:rsid w:val="41DE6CFC"/>
    <w:rsid w:val="44E268DA"/>
    <w:rsid w:val="457F4F6B"/>
    <w:rsid w:val="45E56105"/>
    <w:rsid w:val="467E44DD"/>
    <w:rsid w:val="4737FB58"/>
    <w:rsid w:val="47ECCB02"/>
    <w:rsid w:val="47FA6A3F"/>
    <w:rsid w:val="49D7AE48"/>
    <w:rsid w:val="4A0F7CE8"/>
    <w:rsid w:val="4A3F6C7E"/>
    <w:rsid w:val="4A627F82"/>
    <w:rsid w:val="4B0E749A"/>
    <w:rsid w:val="4B4F25DA"/>
    <w:rsid w:val="4BBB4781"/>
    <w:rsid w:val="4BD709A5"/>
    <w:rsid w:val="4BDD9BFF"/>
    <w:rsid w:val="4BE068DB"/>
    <w:rsid w:val="4C6D496D"/>
    <w:rsid w:val="4D577224"/>
    <w:rsid w:val="4DBF1CEB"/>
    <w:rsid w:val="4DBF6A6B"/>
    <w:rsid w:val="4DF6A672"/>
    <w:rsid w:val="4EAB630A"/>
    <w:rsid w:val="4ECE2238"/>
    <w:rsid w:val="4F7EA413"/>
    <w:rsid w:val="4FAB812F"/>
    <w:rsid w:val="4FE9BD67"/>
    <w:rsid w:val="4FEE4C07"/>
    <w:rsid w:val="4FFB052F"/>
    <w:rsid w:val="537E6D0A"/>
    <w:rsid w:val="53AB6B88"/>
    <w:rsid w:val="53F74C96"/>
    <w:rsid w:val="54962B9B"/>
    <w:rsid w:val="555E7D76"/>
    <w:rsid w:val="5583522D"/>
    <w:rsid w:val="57BD3DD4"/>
    <w:rsid w:val="57F9CD1E"/>
    <w:rsid w:val="5A1D0200"/>
    <w:rsid w:val="5AF92295"/>
    <w:rsid w:val="5AF9D8E9"/>
    <w:rsid w:val="5BDD38BD"/>
    <w:rsid w:val="5BDD79E6"/>
    <w:rsid w:val="5BEF797A"/>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357883"/>
    <w:rsid w:val="61637887"/>
    <w:rsid w:val="61CA71D5"/>
    <w:rsid w:val="61D93EA4"/>
    <w:rsid w:val="61DC0176"/>
    <w:rsid w:val="62391E63"/>
    <w:rsid w:val="62422353"/>
    <w:rsid w:val="627EE9EA"/>
    <w:rsid w:val="63B23AA5"/>
    <w:rsid w:val="647F5392"/>
    <w:rsid w:val="64E322C4"/>
    <w:rsid w:val="65670581"/>
    <w:rsid w:val="65D72C46"/>
    <w:rsid w:val="65FB93B9"/>
    <w:rsid w:val="6632587A"/>
    <w:rsid w:val="6633C463"/>
    <w:rsid w:val="66D830CF"/>
    <w:rsid w:val="67B90F7D"/>
    <w:rsid w:val="67D55B77"/>
    <w:rsid w:val="67EE7F84"/>
    <w:rsid w:val="686F5F53"/>
    <w:rsid w:val="68757459"/>
    <w:rsid w:val="697F058F"/>
    <w:rsid w:val="6AFFCEAF"/>
    <w:rsid w:val="6B13746D"/>
    <w:rsid w:val="6B96E9E6"/>
    <w:rsid w:val="6BCE57B5"/>
    <w:rsid w:val="6BFEA4DB"/>
    <w:rsid w:val="6BFFB662"/>
    <w:rsid w:val="6C4A05C8"/>
    <w:rsid w:val="6CFF4FB8"/>
    <w:rsid w:val="6D6BD6E0"/>
    <w:rsid w:val="6D77E73C"/>
    <w:rsid w:val="6DBF5E93"/>
    <w:rsid w:val="6DFF077E"/>
    <w:rsid w:val="6E7E3605"/>
    <w:rsid w:val="6E7FDCC7"/>
    <w:rsid w:val="6ED6A62E"/>
    <w:rsid w:val="6ED77D7F"/>
    <w:rsid w:val="6EE00B15"/>
    <w:rsid w:val="6EE737B2"/>
    <w:rsid w:val="6EEB2329"/>
    <w:rsid w:val="6EECE67A"/>
    <w:rsid w:val="6F381221"/>
    <w:rsid w:val="6F6B44D0"/>
    <w:rsid w:val="6F6F90A8"/>
    <w:rsid w:val="6F6FB3EB"/>
    <w:rsid w:val="6F8731EA"/>
    <w:rsid w:val="6FBC2ADD"/>
    <w:rsid w:val="6FD57C00"/>
    <w:rsid w:val="6FEFFFD8"/>
    <w:rsid w:val="6FF5CC65"/>
    <w:rsid w:val="6FFB47EC"/>
    <w:rsid w:val="6FFF034A"/>
    <w:rsid w:val="712A28F1"/>
    <w:rsid w:val="715C0E4B"/>
    <w:rsid w:val="71FFD401"/>
    <w:rsid w:val="72233669"/>
    <w:rsid w:val="72734D90"/>
    <w:rsid w:val="7332FE48"/>
    <w:rsid w:val="73AD73D5"/>
    <w:rsid w:val="73B6EB34"/>
    <w:rsid w:val="73C45B0B"/>
    <w:rsid w:val="73F81D9D"/>
    <w:rsid w:val="73FA497D"/>
    <w:rsid w:val="744731E5"/>
    <w:rsid w:val="74BBD01D"/>
    <w:rsid w:val="74ED5379"/>
    <w:rsid w:val="74F0792B"/>
    <w:rsid w:val="75DEEEC2"/>
    <w:rsid w:val="75F47DE6"/>
    <w:rsid w:val="767C3593"/>
    <w:rsid w:val="767F479D"/>
    <w:rsid w:val="76E3355F"/>
    <w:rsid w:val="76F742AF"/>
    <w:rsid w:val="76F7BE7D"/>
    <w:rsid w:val="76FF5125"/>
    <w:rsid w:val="773570D3"/>
    <w:rsid w:val="77597F31"/>
    <w:rsid w:val="776F6FFA"/>
    <w:rsid w:val="7777A522"/>
    <w:rsid w:val="77858688"/>
    <w:rsid w:val="778769C8"/>
    <w:rsid w:val="77CB741A"/>
    <w:rsid w:val="77D7BE3A"/>
    <w:rsid w:val="77DC22F5"/>
    <w:rsid w:val="782D7F92"/>
    <w:rsid w:val="79122420"/>
    <w:rsid w:val="797E3A6C"/>
    <w:rsid w:val="79CF70E2"/>
    <w:rsid w:val="79D7FD79"/>
    <w:rsid w:val="79E75806"/>
    <w:rsid w:val="79EE5BA4"/>
    <w:rsid w:val="7A564117"/>
    <w:rsid w:val="7A641148"/>
    <w:rsid w:val="7A6F8BF5"/>
    <w:rsid w:val="7A894339"/>
    <w:rsid w:val="7ACF82B5"/>
    <w:rsid w:val="7AFF28C9"/>
    <w:rsid w:val="7AFF72A0"/>
    <w:rsid w:val="7AFF7572"/>
    <w:rsid w:val="7B5C5271"/>
    <w:rsid w:val="7B6C7DFB"/>
    <w:rsid w:val="7B7D76A7"/>
    <w:rsid w:val="7BAE2FE2"/>
    <w:rsid w:val="7BAF6951"/>
    <w:rsid w:val="7BBFBED0"/>
    <w:rsid w:val="7BC3E394"/>
    <w:rsid w:val="7BF3FE4C"/>
    <w:rsid w:val="7BFB5035"/>
    <w:rsid w:val="7BFDE17E"/>
    <w:rsid w:val="7CBFC87B"/>
    <w:rsid w:val="7CDB468E"/>
    <w:rsid w:val="7CFE0F48"/>
    <w:rsid w:val="7D3DE31C"/>
    <w:rsid w:val="7D7EC23E"/>
    <w:rsid w:val="7D7F8A13"/>
    <w:rsid w:val="7DBBCB01"/>
    <w:rsid w:val="7DC765D0"/>
    <w:rsid w:val="7DDB0EE0"/>
    <w:rsid w:val="7DFF51D8"/>
    <w:rsid w:val="7E634199"/>
    <w:rsid w:val="7E8ADEBF"/>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Body Text"/>
    <w:basedOn w:val="1"/>
    <w:next w:val="1"/>
    <w:link w:val="26"/>
    <w:qFormat/>
    <w:uiPriority w:val="99"/>
    <w:pPr>
      <w:spacing w:beforeLines="30"/>
    </w:pPr>
    <w:rPr>
      <w:rFonts w:ascii="仿宋_GB2312" w:eastAsia="仿宋_GB2312"/>
      <w:kern w:val="0"/>
      <w:sz w:val="30"/>
    </w:rPr>
  </w:style>
  <w:style w:type="paragraph" w:styleId="7">
    <w:name w:val="Body Text Indent"/>
    <w:basedOn w:val="1"/>
    <w:next w:val="8"/>
    <w:qFormat/>
    <w:uiPriority w:val="0"/>
    <w:pPr>
      <w:spacing w:after="120"/>
      <w:ind w:left="200" w:leftChars="200"/>
    </w:pPr>
    <w:rPr>
      <w:rFonts w:ascii="仿宋_GB2312"/>
      <w:szCs w:val="32"/>
    </w:rPr>
  </w:style>
  <w:style w:type="paragraph" w:styleId="8">
    <w:name w:val="Body Text First Indent 2"/>
    <w:basedOn w:val="7"/>
    <w:unhideWhenUsed/>
    <w:qFormat/>
    <w:uiPriority w:val="99"/>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pPr>
      <w:suppressAutoHyphens w:val="0"/>
    </w:pPr>
    <w:rPr>
      <w:rFonts w:ascii="宋体" w:hAnsi="Times New Roman"/>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footnote text"/>
    <w:basedOn w:val="1"/>
    <w:next w:val="8"/>
    <w:semiHidden/>
    <w:qFormat/>
    <w:uiPriority w:val="0"/>
    <w:pPr>
      <w:snapToGrid w:val="0"/>
      <w:jc w:val="left"/>
    </w:pPr>
    <w:rPr>
      <w:sz w:val="18"/>
      <w:szCs w:val="18"/>
    </w:rPr>
  </w:style>
  <w:style w:type="paragraph" w:styleId="16">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6"/>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3"/>
    <w:qFormat/>
    <w:uiPriority w:val="9"/>
    <w:rPr>
      <w:rFonts w:ascii="Times New Roman" w:hAnsi="Times New Roman"/>
      <w:b/>
      <w:bCs/>
      <w:kern w:val="44"/>
      <w:sz w:val="44"/>
      <w:szCs w:val="44"/>
    </w:rPr>
  </w:style>
  <w:style w:type="character" w:customStyle="1" w:styleId="30">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1"/>
    <w:semiHidden/>
    <w:qFormat/>
    <w:uiPriority w:val="99"/>
    <w:rPr>
      <w:rFonts w:ascii="Times New Roman" w:hAnsi="Times New Roman"/>
      <w:kern w:val="2"/>
      <w:sz w:val="18"/>
      <w:szCs w:val="18"/>
    </w:rPr>
  </w:style>
  <w:style w:type="character" w:customStyle="1" w:styleId="33">
    <w:name w:val="标题 3 字符"/>
    <w:basedOn w:val="17"/>
    <w:link w:val="5"/>
    <w:qFormat/>
    <w:uiPriority w:val="9"/>
    <w:rPr>
      <w:rFonts w:ascii="Times New Roman" w:hAnsi="Times New Roman"/>
      <w:b/>
      <w:bCs/>
      <w:kern w:val="2"/>
      <w:sz w:val="32"/>
      <w:szCs w:val="32"/>
    </w:rPr>
  </w:style>
  <w:style w:type="paragraph" w:customStyle="1" w:styleId="34">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character" w:customStyle="1" w:styleId="36">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zh-CN" altLang="zh-CN" sz="1400" b="0" i="0" u="none" strike="noStrike" cap="none" baseline="0">
                <a:effectLst/>
              </a:rPr>
              <a:t>收、支决算总计变动情况图</a:t>
            </a:r>
            <a:endParaRPr lang="zh-CN"/>
          </a:p>
        </c:rich>
      </c:tx>
      <c:layout/>
      <c:overlay val="0"/>
      <c:spPr>
        <a:noFill/>
        <a:ln>
          <a:noFill/>
        </a:ln>
        <a:effectLst/>
      </c:spPr>
    </c:title>
    <c:autoTitleDeleted val="0"/>
    <c:plotArea>
      <c:layout>
        <c:manualLayout>
          <c:layoutTarget val="inner"/>
          <c:xMode val="edge"/>
          <c:yMode val="edge"/>
          <c:x val="0.0564170479171683"/>
          <c:y val="0.104437564499484"/>
          <c:w val="0.926777910285895"/>
          <c:h val="0.649170912459472"/>
        </c:manualLayout>
      </c:layout>
      <c:barChart>
        <c:barDir val="col"/>
        <c:grouping val="clustered"/>
        <c:varyColors val="0"/>
        <c:ser>
          <c:idx val="0"/>
          <c:order val="0"/>
          <c:tx>
            <c:strRef>
              <c:f>Sheet1!$B$1</c:f>
              <c:strCache>
                <c:ptCount val="1"/>
                <c:pt idx="0">
                  <c:v>收入</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2022年</c:v>
                </c:pt>
                <c:pt idx="1">
                  <c:v>2023年</c:v>
                </c:pt>
              </c:strCache>
            </c:strRef>
          </c:cat>
          <c:val>
            <c:numRef>
              <c:f>Sheet1!$B$2:$B$5</c:f>
              <c:numCache>
                <c:formatCode>General</c:formatCode>
                <c:ptCount val="4"/>
                <c:pt idx="0">
                  <c:v>193.64</c:v>
                </c:pt>
                <c:pt idx="1">
                  <c:v>280.19</c:v>
                </c:pt>
              </c:numCache>
            </c:numRef>
          </c:val>
        </c:ser>
        <c:ser>
          <c:idx val="1"/>
          <c:order val="1"/>
          <c:tx>
            <c:strRef>
              <c:f>Sheet1!$C$1</c:f>
              <c:strCache>
                <c:ptCount val="1"/>
                <c:pt idx="0">
                  <c:v>支出</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2022年</c:v>
                </c:pt>
                <c:pt idx="1">
                  <c:v>2023年</c:v>
                </c:pt>
              </c:strCache>
            </c:strRef>
          </c:cat>
          <c:val>
            <c:numRef>
              <c:f>Sheet1!$C$2:$C$5</c:f>
              <c:numCache>
                <c:formatCode>General</c:formatCode>
                <c:ptCount val="4"/>
                <c:pt idx="0">
                  <c:v>193.64</c:v>
                </c:pt>
                <c:pt idx="1">
                  <c:v>280.19</c:v>
                </c:pt>
              </c:numCache>
            </c:numRef>
          </c:val>
        </c:ser>
        <c:dLbls>
          <c:showLegendKey val="0"/>
          <c:showVal val="1"/>
          <c:showCatName val="0"/>
          <c:showSerName val="0"/>
          <c:showPercent val="0"/>
          <c:showBubbleSize val="0"/>
        </c:dLbls>
        <c:gapWidth val="100"/>
        <c:overlap val="-24"/>
        <c:axId val="301277264"/>
        <c:axId val="303464960"/>
      </c:barChart>
      <c:catAx>
        <c:axId val="30127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03464960"/>
        <c:crosses val="autoZero"/>
        <c:auto val="1"/>
        <c:lblAlgn val="ctr"/>
        <c:lblOffset val="100"/>
        <c:noMultiLvlLbl val="0"/>
      </c:catAx>
      <c:valAx>
        <c:axId val="30346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01277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dPt>
          <c:dPt>
            <c:idx val="7"/>
            <c:bubble3D val="0"/>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0%</c:formatCode>
                <c:ptCount val="8"/>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2718539865514"/>
          <c:y val="0.0630517023959647"/>
        </c:manualLayout>
      </c:layout>
      <c:overlay val="0"/>
      <c:spPr>
        <a:noFill/>
        <a:ln>
          <a:noFill/>
        </a:ln>
        <a:effectLst/>
      </c:spPr>
      <c:txPr>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0.4426</c:v>
                </c:pt>
                <c:pt idx="1">
                  <c:v>0.5574</c:v>
                </c:pt>
                <c:pt idx="2" c:formatCode="General">
                  <c:v>0</c:v>
                </c:pt>
                <c:pt idx="3" c:formatCode="General">
                  <c:v>0</c:v>
                </c:pt>
                <c:pt idx="4" c:formatCode="General">
                  <c:v>0</c:v>
                </c:pt>
              </c:numCache>
            </c:numRef>
          </c:val>
        </c:ser>
        <c:ser>
          <c:idx val="1"/>
          <c:order val="1"/>
          <c:tx>
            <c:strRef>
              <c:f>Sheet1!$C$1</c:f>
              <c:strCache>
                <c:ptCount val="1"/>
                <c:pt idx="0">
                  <c:v>列1</c:v>
                </c:pt>
              </c:strCache>
            </c:strRef>
          </c:tx>
          <c:explosion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Sheet1!$C$2:$C$6</c:f>
              <c:numCache>
                <c:formatCode>General</c:formatCode>
                <c:ptCount val="5"/>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zh-CN" altLang="zh-CN" sz="1400" b="0" i="0" u="none" strike="noStrike" cap="none" baseline="0">
                <a:effectLst/>
              </a:rPr>
              <a:t>财政拨款收、支决算总计变动情况图</a:t>
            </a:r>
            <a:endParaRPr lang="zh-CN"/>
          </a:p>
        </c:rich>
      </c:tx>
      <c:layout>
        <c:manualLayout>
          <c:xMode val="edge"/>
          <c:yMode val="edge"/>
          <c:x val="0.217939437809145"/>
          <c:y val="0.0242446848190974"/>
        </c:manualLayout>
      </c:layout>
      <c:overlay val="0"/>
      <c:spPr>
        <a:noFill/>
        <a:ln>
          <a:noFill/>
        </a:ln>
        <a:effectLst/>
      </c:spPr>
    </c:title>
    <c:autoTitleDeleted val="0"/>
    <c:plotArea>
      <c:layout>
        <c:manualLayout>
          <c:layoutTarget val="inner"/>
          <c:xMode val="edge"/>
          <c:yMode val="edge"/>
          <c:x val="0.0589455905416817"/>
          <c:y val="0.0983765727578505"/>
          <c:w val="0.926777910285895"/>
          <c:h val="0.649170912459472"/>
        </c:manualLayout>
      </c:layout>
      <c:barChart>
        <c:barDir val="col"/>
        <c:grouping val="clustered"/>
        <c:varyColors val="0"/>
        <c:ser>
          <c:idx val="0"/>
          <c:order val="0"/>
          <c:tx>
            <c:strRef>
              <c:f>Sheet1!$B$1</c:f>
              <c:strCache>
                <c:ptCount val="1"/>
                <c:pt idx="0">
                  <c:v>收入</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2022年</c:v>
                </c:pt>
                <c:pt idx="1">
                  <c:v>2023年</c:v>
                </c:pt>
              </c:strCache>
            </c:strRef>
          </c:cat>
          <c:val>
            <c:numRef>
              <c:f>Sheet1!$B$2:$B$5</c:f>
              <c:numCache>
                <c:formatCode>General</c:formatCode>
                <c:ptCount val="4"/>
                <c:pt idx="0">
                  <c:v>193.64</c:v>
                </c:pt>
                <c:pt idx="1">
                  <c:v>280.19</c:v>
                </c:pt>
              </c:numCache>
            </c:numRef>
          </c:val>
        </c:ser>
        <c:ser>
          <c:idx val="1"/>
          <c:order val="1"/>
          <c:tx>
            <c:strRef>
              <c:f>Sheet1!$C$1</c:f>
              <c:strCache>
                <c:ptCount val="1"/>
                <c:pt idx="0">
                  <c:v>支出</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2022年</c:v>
                </c:pt>
                <c:pt idx="1">
                  <c:v>2023年</c:v>
                </c:pt>
              </c:strCache>
            </c:strRef>
          </c:cat>
          <c:val>
            <c:numRef>
              <c:f>Sheet1!$C$2:$C$5</c:f>
              <c:numCache>
                <c:formatCode>General</c:formatCode>
                <c:ptCount val="4"/>
                <c:pt idx="0">
                  <c:v>193.64</c:v>
                </c:pt>
                <c:pt idx="1">
                  <c:v>280.19</c:v>
                </c:pt>
              </c:numCache>
            </c:numRef>
          </c:val>
        </c:ser>
        <c:dLbls>
          <c:showLegendKey val="0"/>
          <c:showVal val="1"/>
          <c:showCatName val="0"/>
          <c:showSerName val="0"/>
          <c:showPercent val="0"/>
          <c:showBubbleSize val="0"/>
        </c:dLbls>
        <c:gapWidth val="100"/>
        <c:overlap val="-24"/>
        <c:axId val="301277264"/>
        <c:axId val="303464960"/>
      </c:barChart>
      <c:catAx>
        <c:axId val="30127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03464960"/>
        <c:crosses val="autoZero"/>
        <c:auto val="1"/>
        <c:lblAlgn val="ctr"/>
        <c:lblOffset val="100"/>
        <c:noMultiLvlLbl val="0"/>
      </c:catAx>
      <c:valAx>
        <c:axId val="30346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301277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一般公共预算财政拨款支出决算变动情况</a:t>
            </a:r>
            <a:endParaRPr lang="zh-CN" altLang="en-US"/>
          </a:p>
        </c:rich>
      </c:tx>
      <c:layout/>
      <c:overlay val="0"/>
      <c:spPr>
        <a:noFill/>
        <a:ln>
          <a:noFill/>
        </a:ln>
        <a:effectLst/>
      </c:spPr>
    </c:title>
    <c:autoTitleDeleted val="0"/>
    <c:plotArea>
      <c:layout>
        <c:manualLayout>
          <c:layoutTarget val="inner"/>
          <c:xMode val="edge"/>
          <c:yMode val="edge"/>
          <c:x val="0.087719720683843"/>
          <c:y val="0.157275541795666"/>
          <c:w val="0.908668432458464"/>
          <c:h val="0.341259029927761"/>
        </c:manualLayout>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Sheet1!$A$2:$A$5</c:f>
              <c:strCache>
                <c:ptCount val="4"/>
                <c:pt idx="0">
                  <c:v>一般公共预算财政拨款支出</c:v>
                </c:pt>
              </c:strCache>
            </c:strRef>
          </c:cat>
          <c:val>
            <c:numRef>
              <c:f>Sheet1!$B$2:$B$5</c:f>
              <c:numCache>
                <c:formatCode>General</c:formatCode>
                <c:ptCount val="4"/>
                <c:pt idx="0">
                  <c:v>193.64</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Sheet1!$A$2:$A$5</c:f>
              <c:strCache>
                <c:ptCount val="4"/>
                <c:pt idx="0">
                  <c:v>一般公共预算财政拨款支出</c:v>
                </c:pt>
              </c:strCache>
            </c:strRef>
          </c:cat>
          <c:val>
            <c:numRef>
              <c:f>Sheet1!$C$2:$C$5</c:f>
              <c:numCache>
                <c:formatCode>General</c:formatCode>
                <c:ptCount val="4"/>
                <c:pt idx="0">
                  <c:v>280.19</c:v>
                </c:pt>
              </c:numCache>
            </c:numRef>
          </c:val>
        </c:ser>
        <c:dLbls>
          <c:showLegendKey val="0"/>
          <c:showVal val="0"/>
          <c:showCatName val="0"/>
          <c:showSerName val="0"/>
          <c:showPercent val="0"/>
          <c:showBubbleSize val="0"/>
        </c:dLbls>
        <c:gapWidth val="86"/>
        <c:overlap val="-100"/>
        <c:axId val="303464568"/>
        <c:axId val="303465744"/>
      </c:barChart>
      <c:catAx>
        <c:axId val="30346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3465744"/>
        <c:crosses val="autoZero"/>
        <c:auto val="1"/>
        <c:lblAlgn val="ctr"/>
        <c:lblOffset val="100"/>
        <c:noMultiLvlLbl val="0"/>
      </c:catAx>
      <c:valAx>
        <c:axId val="30346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3464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0860215053763"/>
          <c:y val="0.0157728706624606"/>
        </c:manualLayout>
      </c:layout>
      <c:overlay val="0"/>
      <c:spPr>
        <a:noFill/>
        <a:ln>
          <a:noFill/>
        </a:ln>
        <a:effectLst/>
      </c:spPr>
      <c:txPr>
        <a:bodyPr rot="0" spcFirstLastPara="1"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2"/>
              </a:solidFill>
              <a:ln>
                <a:noFill/>
              </a:ln>
              <a:effectLst>
                <a:outerShdw blurRad="63500" sx="102000" sy="102000" algn="ctr" rotWithShape="0">
                  <a:prstClr val="black">
                    <a:alpha val="20000"/>
                  </a:prstClr>
                </a:outerShdw>
              </a:effectLst>
            </c:spPr>
          </c:dPt>
          <c:dPt>
            <c:idx val="1"/>
            <c:bubble3D val="0"/>
            <c:spPr>
              <a:solidFill>
                <a:schemeClr val="accent4"/>
              </a:solidFill>
              <a:ln>
                <a:noFill/>
              </a:ln>
              <a:effectLst>
                <a:outerShdw blurRad="63500" sx="102000" sy="102000" algn="ctr" rotWithShape="0">
                  <a:prstClr val="black">
                    <a:alpha val="20000"/>
                  </a:prstClr>
                </a:outerShdw>
              </a:effectLst>
            </c:spPr>
          </c:dPt>
          <c:dPt>
            <c:idx val="2"/>
            <c:bubble3D val="0"/>
            <c:spPr>
              <a:solidFill>
                <a:schemeClr val="accent6"/>
              </a:solidFill>
              <a:ln>
                <a:noFill/>
              </a:ln>
              <a:effectLst>
                <a:outerShdw blurRad="63500" sx="102000" sy="102000" algn="ctr" rotWithShape="0">
                  <a:prstClr val="black">
                    <a:alpha val="20000"/>
                  </a:prstClr>
                </a:outerShdw>
              </a:effectLst>
            </c:spPr>
          </c:dPt>
          <c:dPt>
            <c:idx val="3"/>
            <c:bubble3D val="0"/>
            <c:spPr>
              <a:solidFill>
                <a:schemeClr val="accent2">
                  <a:lumMod val="60000"/>
                </a:schemeClr>
              </a:solidFill>
              <a:ln>
                <a:noFill/>
              </a:ln>
              <a:effectLst>
                <a:outerShdw blurRad="63500" sx="102000" sy="102000" algn="ctr" rotWithShape="0">
                  <a:prstClr val="black">
                    <a:alpha val="20000"/>
                  </a:prstClr>
                </a:outerShdw>
              </a:effectLst>
            </c:spPr>
          </c:dPt>
          <c:dPt>
            <c:idx val="4"/>
            <c:bubble3D val="0"/>
            <c:spPr>
              <a:solidFill>
                <a:schemeClr val="accent4">
                  <a:lumMod val="60000"/>
                </a:schemeClr>
              </a:solidFill>
              <a:ln>
                <a:noFill/>
              </a:ln>
              <a:effectLst>
                <a:outerShdw blurRad="63500" sx="102000" sy="102000" algn="ctr" rotWithShape="0">
                  <a:prstClr val="black">
                    <a:alpha val="20000"/>
                  </a:prstClr>
                </a:outerShdw>
              </a:effectLst>
            </c:spPr>
          </c:dPt>
          <c:dLbls>
            <c:dLbl>
              <c:idx val="0"/>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6"/>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2">
                          <a:lumMod val="60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spc="0" baseline="0">
                      <a:solidFill>
                        <a:schemeClr val="accent4">
                          <a:lumMod val="60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一般公共文化服务支出</c:v>
                </c:pt>
                <c:pt idx="1">
                  <c:v>文化旅游体育与传媒支出</c:v>
                </c:pt>
                <c:pt idx="2">
                  <c:v>社会保障和就业</c:v>
                </c:pt>
                <c:pt idx="3">
                  <c:v>卫生健康支出</c:v>
                </c:pt>
                <c:pt idx="4">
                  <c:v>住房保障支出</c:v>
                </c:pt>
              </c:strCache>
            </c:strRef>
          </c:cat>
          <c:val>
            <c:numRef>
              <c:f>Sheet1!$B$2:$B$6</c:f>
              <c:numCache>
                <c:formatCode>0.00%</c:formatCode>
                <c:ptCount val="5"/>
                <c:pt idx="0">
                  <c:v>0</c:v>
                </c:pt>
                <c:pt idx="1">
                  <c:v>0.8484</c:v>
                </c:pt>
                <c:pt idx="2">
                  <c:v>0.0965</c:v>
                </c:pt>
                <c:pt idx="3">
                  <c:v>0.0848</c:v>
                </c:pt>
                <c:pt idx="4">
                  <c:v>0.0248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47</Pages>
  <Words>16193</Words>
  <Characters>18144</Characters>
  <Lines>72</Lines>
  <Paragraphs>20</Paragraphs>
  <TotalTime>21</TotalTime>
  <ScaleCrop>false</ScaleCrop>
  <LinksUpToDate>false</LinksUpToDate>
  <CharactersWithSpaces>18198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Administrator</cp:lastModifiedBy>
  <cp:lastPrinted>2023-08-03T10:35:00Z</cp:lastPrinted>
  <dcterms:modified xsi:type="dcterms:W3CDTF">2024-10-31T09:40:12Z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6B3730327E1B42BAAD47D3096161D5E9_13</vt:lpwstr>
  </property>
</Properties>
</file>