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549C9">
      <w:pPr>
        <w:spacing w:line="600" w:lineRule="exact"/>
        <w:jc w:val="left"/>
        <w:outlineLvl w:val="0"/>
        <w:rPr>
          <w:rFonts w:ascii="方正小标宋简体" w:hAnsi="宋体" w:eastAsia="方正小标宋简体"/>
          <w:szCs w:val="21"/>
        </w:rPr>
      </w:pPr>
      <w:bookmarkStart w:id="0" w:name="_Toc15306267"/>
    </w:p>
    <w:p w14:paraId="0B9B09A6">
      <w:pPr>
        <w:pStyle w:val="2"/>
        <w:spacing w:before="93"/>
      </w:pPr>
    </w:p>
    <w:p w14:paraId="0287E41B">
      <w:pPr>
        <w:spacing w:line="600" w:lineRule="exact"/>
        <w:jc w:val="center"/>
        <w:outlineLvl w:val="0"/>
        <w:rPr>
          <w:rFonts w:ascii="方正小标宋简体" w:hAnsi="宋体" w:eastAsia="方正小标宋简体"/>
          <w:sz w:val="72"/>
          <w:szCs w:val="72"/>
        </w:rPr>
      </w:pPr>
    </w:p>
    <w:p w14:paraId="23CBB62B">
      <w:pPr>
        <w:spacing w:line="600" w:lineRule="exact"/>
        <w:jc w:val="center"/>
        <w:outlineLvl w:val="0"/>
        <w:rPr>
          <w:rFonts w:ascii="方正小标宋简体" w:hAnsi="宋体" w:eastAsia="方正小标宋简体"/>
          <w:sz w:val="44"/>
          <w:szCs w:val="44"/>
        </w:rPr>
      </w:pPr>
    </w:p>
    <w:p w14:paraId="66780614">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1" w:name="_Toc15377193"/>
      <w:bookmarkStart w:id="2" w:name="_Toc15378441"/>
      <w:bookmarkStart w:id="3" w:name="_Toc15396597"/>
      <w:bookmarkStart w:id="4" w:name="_Toc15377425"/>
      <w:bookmarkStart w:id="5" w:name="_Toc15396475"/>
      <w:r>
        <w:rPr>
          <w:rFonts w:hint="eastAsia" w:ascii="方正小标宋简体" w:hAnsi="方正小标宋简体" w:eastAsia="方正小标宋简体" w:cs="方正小标宋简体"/>
          <w:sz w:val="44"/>
          <w:szCs w:val="44"/>
        </w:rPr>
        <w:t>2023年度</w:t>
      </w:r>
      <w:bookmarkEnd w:id="1"/>
      <w:bookmarkEnd w:id="2"/>
      <w:bookmarkEnd w:id="3"/>
      <w:bookmarkEnd w:id="4"/>
      <w:bookmarkEnd w:id="5"/>
    </w:p>
    <w:bookmarkEnd w:id="0"/>
    <w:p w14:paraId="321B9346">
      <w:pPr>
        <w:adjustRightInd w:val="0"/>
        <w:snapToGrid w:val="0"/>
        <w:spacing w:line="360" w:lineRule="auto"/>
        <w:jc w:val="center"/>
        <w:outlineLvl w:val="0"/>
        <w:rPr>
          <w:rFonts w:hint="eastAsia" w:ascii="方正小标宋简体" w:hAnsi="方正小标宋简体" w:eastAsia="方正小标宋简体" w:cs="方正小标宋简体"/>
          <w:sz w:val="44"/>
          <w:szCs w:val="44"/>
          <w:lang w:eastAsia="zh-CN"/>
        </w:rPr>
      </w:pPr>
      <w:bookmarkStart w:id="6" w:name="_Toc15377194"/>
      <w:bookmarkStart w:id="7" w:name="_Toc15396476"/>
      <w:bookmarkStart w:id="8" w:name="_Toc15306268"/>
      <w:bookmarkStart w:id="9" w:name="_Toc15377426"/>
      <w:bookmarkStart w:id="10" w:name="_Toc15396598"/>
      <w:bookmarkStart w:id="11" w:name="_Toc15378442"/>
      <w:r>
        <w:rPr>
          <w:rFonts w:hint="eastAsia" w:ascii="方正小标宋简体" w:hAnsi="方正小标宋简体" w:eastAsia="方正小标宋简体" w:cs="方正小标宋简体"/>
          <w:sz w:val="44"/>
          <w:szCs w:val="44"/>
          <w:lang w:eastAsia="zh-CN"/>
        </w:rPr>
        <w:t>盐边县永兴中心卫生院</w:t>
      </w:r>
    </w:p>
    <w:p w14:paraId="19622869">
      <w:pPr>
        <w:adjustRightInd w:val="0"/>
        <w:snapToGrid w:val="0"/>
        <w:spacing w:line="360" w:lineRule="auto"/>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单位决算</w:t>
      </w:r>
      <w:bookmarkEnd w:id="6"/>
      <w:bookmarkEnd w:id="7"/>
      <w:bookmarkEnd w:id="8"/>
      <w:bookmarkEnd w:id="9"/>
      <w:bookmarkEnd w:id="10"/>
      <w:bookmarkEnd w:id="11"/>
    </w:p>
    <w:p w14:paraId="733A2F3C">
      <w:pPr>
        <w:widowControl/>
        <w:jc w:val="center"/>
        <w:rPr>
          <w:rFonts w:hint="eastAsia" w:ascii="黑体" w:hAnsi="黑体" w:eastAsia="黑体"/>
          <w:color w:val="000000"/>
          <w:sz w:val="44"/>
          <w:szCs w:val="44"/>
        </w:rPr>
        <w:sectPr>
          <w:footerReference r:id="rId3" w:type="first"/>
          <w:pgSz w:w="11906" w:h="16838"/>
          <w:pgMar w:top="1440" w:right="1926" w:bottom="1440" w:left="1800" w:header="851" w:footer="992" w:gutter="0"/>
          <w:pgNumType w:fmt="decimal" w:start="1"/>
          <w:cols w:space="720" w:num="1"/>
          <w:docGrid w:type="lines" w:linePitch="312" w:charSpace="0"/>
        </w:sectPr>
      </w:pPr>
      <w:bookmarkStart w:id="12" w:name="_Toc15396599"/>
      <w:bookmarkStart w:id="13" w:name="_Toc15377196"/>
    </w:p>
    <w:p w14:paraId="3BE0630F">
      <w:pPr>
        <w:widowControl/>
        <w:jc w:val="center"/>
        <w:rPr>
          <w:rFonts w:hint="eastAsia" w:ascii="黑体" w:hAnsi="黑体" w:eastAsia="黑体" w:cs="黑体"/>
          <w:color w:val="000000"/>
          <w:sz w:val="44"/>
          <w:szCs w:val="44"/>
        </w:rPr>
      </w:pPr>
      <w:r>
        <w:rPr>
          <w:rFonts w:hint="eastAsia" w:ascii="黑体" w:hAnsi="黑体" w:eastAsia="黑体" w:cs="黑体"/>
          <w:color w:val="000000"/>
          <w:sz w:val="44"/>
          <w:szCs w:val="44"/>
        </w:rPr>
        <w:t>目录</w:t>
      </w:r>
    </w:p>
    <w:p w14:paraId="7028F9DA">
      <w:pPr>
        <w:pStyle w:val="12"/>
        <w:ind w:right="-218" w:rightChars="-104" w:firstLine="2240" w:firstLineChars="7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14:paraId="66486FE9">
      <w:pPr>
        <w:tabs>
          <w:tab w:val="left" w:pos="8400"/>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sz w:val="32"/>
          <w:szCs w:val="32"/>
        </w:rPr>
        <w:t>第一部分单位概况</w:t>
      </w:r>
      <w:r>
        <w:rPr>
          <w:rFonts w:hint="eastAsia" w:eastAsia="仿宋_GB2312" w:cs="Times New Roman"/>
          <w:b w:val="0"/>
          <w:bCs w:val="0"/>
          <w:sz w:val="32"/>
          <w:szCs w:val="32"/>
          <w:lang w:val="en-US" w:eastAsia="zh-CN"/>
        </w:rPr>
        <w:t>......................................................................</w:t>
      </w:r>
      <w:r>
        <w:rPr>
          <w:rFonts w:hint="eastAsia" w:ascii="仿宋" w:hAnsi="仿宋" w:eastAsia="仿宋" w:cs="仿宋"/>
          <w:b w:val="0"/>
          <w:bCs w:val="0"/>
          <w:sz w:val="32"/>
          <w:szCs w:val="32"/>
          <w:lang w:val="en-US" w:eastAsia="zh-CN"/>
        </w:rPr>
        <w:t>1</w:t>
      </w:r>
    </w:p>
    <w:p w14:paraId="54E2E9FE">
      <w:pPr>
        <w:pStyle w:val="13"/>
        <w:tabs>
          <w:tab w:val="right" w:leader="dot" w:pos="8306"/>
          <w:tab w:val="clear" w:pos="8296"/>
        </w:tabs>
        <w:ind w:right="-218" w:rightChars="-104"/>
        <w:jc w:val="right"/>
        <w:rPr>
          <w:rFonts w:hint="default" w:ascii="仿宋" w:hAnsi="仿宋" w:eastAsia="仿宋" w:cs="仿宋"/>
          <w:b w:val="0"/>
          <w:bCs w:val="0"/>
          <w:kern w:val="2"/>
          <w:sz w:val="32"/>
          <w:szCs w:val="32"/>
          <w:lang w:val="en-US" w:eastAsia="zh-CN" w:bidi="ar-SA"/>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_Toc20417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一、主要职责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1</w:t>
      </w:r>
    </w:p>
    <w:p w14:paraId="0B182911">
      <w:pPr>
        <w:pStyle w:val="13"/>
        <w:tabs>
          <w:tab w:val="right" w:leader="dot" w:pos="8306"/>
          <w:tab w:val="clear" w:pos="8296"/>
        </w:tabs>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_Toc29815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机构设置</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p>
    <w:p w14:paraId="0BE87949">
      <w:pPr>
        <w:pStyle w:val="12"/>
        <w:tabs>
          <w:tab w:val="right" w:leader="dot" w:pos="8306"/>
          <w:tab w:val="clear" w:pos="8296"/>
        </w:tabs>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_Toc18061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sz w:val="32"/>
          <w:szCs w:val="32"/>
        </w:rPr>
        <w:t>第二部分 202</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年度单位决算情况说明</w:t>
      </w:r>
      <w:r>
        <w:rPr>
          <w:rFonts w:hint="eastAsia" w:ascii="Times New Roman" w:hAnsi="Times New Roman" w:eastAsia="仿宋_GB2312" w:cs="Times New Roman"/>
          <w:kern w:val="2"/>
          <w:sz w:val="32"/>
          <w:szCs w:val="32"/>
          <w:lang w:val="en-US" w:eastAsia="zh-CN" w:bidi="ar-SA"/>
        </w:rPr>
        <w:t>..................................</w:t>
      </w:r>
      <w:r>
        <w:rPr>
          <w:rFonts w:hint="eastAsia" w:ascii="仿宋" w:hAnsi="仿宋" w:eastAsia="仿宋" w:cs="仿宋"/>
          <w:b w:val="0"/>
          <w:bCs w:val="0"/>
          <w:kern w:val="2"/>
          <w:sz w:val="32"/>
          <w:szCs w:val="32"/>
          <w:lang w:val="en-US" w:eastAsia="zh-CN" w:bidi="ar-SA"/>
        </w:rPr>
        <w:t>2</w:t>
      </w:r>
      <w:r>
        <w:rPr>
          <w:rFonts w:hint="default" w:ascii="Times New Roman" w:hAnsi="Times New Roman" w:eastAsia="仿宋_GB2312" w:cs="Times New Roman"/>
          <w:sz w:val="32"/>
          <w:szCs w:val="32"/>
        </w:rPr>
        <w:fldChar w:fldCharType="end"/>
      </w:r>
    </w:p>
    <w:p w14:paraId="0D8438C1">
      <w:pPr>
        <w:pStyle w:val="13"/>
        <w:tabs>
          <w:tab w:val="right" w:leader="dot" w:pos="8306"/>
          <w:tab w:val="clear" w:pos="8296"/>
        </w:tabs>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_Toc6490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收</w:t>
      </w:r>
      <w:r>
        <w:rPr>
          <w:rFonts w:hint="default" w:ascii="Times New Roman" w:hAnsi="Times New Roman" w:eastAsia="仿宋_GB2312" w:cs="Times New Roman"/>
          <w:bCs/>
          <w:sz w:val="32"/>
          <w:szCs w:val="32"/>
        </w:rPr>
        <w:t>入支出决算总体情况说明</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2</w:t>
      </w:r>
      <w:r>
        <w:rPr>
          <w:rFonts w:hint="default" w:ascii="Times New Roman" w:hAnsi="Times New Roman" w:eastAsia="仿宋_GB2312" w:cs="Times New Roman"/>
          <w:sz w:val="32"/>
          <w:szCs w:val="32"/>
        </w:rPr>
        <w:fldChar w:fldCharType="end"/>
      </w:r>
    </w:p>
    <w:p w14:paraId="45B1F373">
      <w:pPr>
        <w:pStyle w:val="13"/>
        <w:tabs>
          <w:tab w:val="right" w:leader="dot" w:pos="8306"/>
          <w:tab w:val="clear" w:pos="8296"/>
        </w:tabs>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_Toc18387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二、收入决算情况说明</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2</w:t>
      </w:r>
      <w:r>
        <w:rPr>
          <w:rFonts w:hint="default" w:ascii="Times New Roman" w:hAnsi="Times New Roman" w:eastAsia="仿宋_GB2312" w:cs="Times New Roman"/>
          <w:sz w:val="32"/>
          <w:szCs w:val="32"/>
        </w:rPr>
        <w:fldChar w:fldCharType="end"/>
      </w:r>
    </w:p>
    <w:p w14:paraId="7876FAC2">
      <w:pPr>
        <w:pStyle w:val="13"/>
        <w:tabs>
          <w:tab w:val="right" w:leader="dot" w:pos="8306"/>
          <w:tab w:val="clear" w:pos="8296"/>
        </w:tabs>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_Toc4157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三、支出决算情况说明</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3</w:t>
      </w:r>
      <w:r>
        <w:rPr>
          <w:rFonts w:hint="default" w:ascii="Times New Roman" w:hAnsi="Times New Roman" w:eastAsia="仿宋_GB2312" w:cs="Times New Roman"/>
          <w:sz w:val="32"/>
          <w:szCs w:val="32"/>
        </w:rPr>
        <w:fldChar w:fldCharType="end"/>
      </w:r>
    </w:p>
    <w:p w14:paraId="6B39CF54">
      <w:pPr>
        <w:pStyle w:val="13"/>
        <w:tabs>
          <w:tab w:val="right" w:leader="dot" w:pos="8306"/>
          <w:tab w:val="clear" w:pos="8296"/>
        </w:tabs>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_Toc16124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四、财政拨款收入支出决算总体情况说明</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3</w:t>
      </w:r>
      <w:r>
        <w:rPr>
          <w:rFonts w:hint="default" w:ascii="Times New Roman" w:hAnsi="Times New Roman" w:eastAsia="仿宋_GB2312" w:cs="Times New Roman"/>
          <w:sz w:val="32"/>
          <w:szCs w:val="32"/>
        </w:rPr>
        <w:fldChar w:fldCharType="end"/>
      </w:r>
    </w:p>
    <w:p w14:paraId="2E40C4CE">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_Toc28387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五、一般公共预算财政拨款支出决算情况说明</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4</w:t>
      </w:r>
    </w:p>
    <w:p w14:paraId="39AEEC89">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_Toc32264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六、一般公共预算财政拨款基本支出决算情况说明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7</w:t>
      </w:r>
    </w:p>
    <w:p w14:paraId="27E60102">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_Toc29779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七、财政拨款“三公”经费支出决算情况说明</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8</w:t>
      </w:r>
    </w:p>
    <w:p w14:paraId="733E6171">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_Toc10932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八、政府性基金预算支出决算情况说明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9</w:t>
      </w:r>
    </w:p>
    <w:p w14:paraId="7CEA9F85">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_Toc5995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九、国有资本经营预算支出决算情况说明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9</w:t>
      </w:r>
    </w:p>
    <w:p w14:paraId="6E9FFF57">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_Toc12051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十、其他重要事项的情况说明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9</w:t>
      </w:r>
    </w:p>
    <w:p w14:paraId="4F6B1859">
      <w:pPr>
        <w:pStyle w:val="12"/>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_Toc20138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sz w:val="32"/>
          <w:szCs w:val="32"/>
        </w:rPr>
        <w:t>第三部分 名词解释</w:t>
      </w:r>
      <w:r>
        <w:rPr>
          <w:rFonts w:hint="eastAsia" w:ascii="Times New Roman" w:hAnsi="Times New Roman" w:eastAsia="仿宋_GB2312" w:cs="Times New Roman"/>
          <w:b w:val="0"/>
          <w:bCs w:val="0"/>
          <w:sz w:val="32"/>
          <w:szCs w:val="32"/>
          <w:lang w:val="en-US" w:eastAsia="zh-CN"/>
        </w:rPr>
        <w:t>..................................................................</w:t>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1</w:t>
      </w:r>
    </w:p>
    <w:p w14:paraId="1367EB00">
      <w:pPr>
        <w:pStyle w:val="12"/>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_Toc18807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sz w:val="32"/>
          <w:szCs w:val="32"/>
        </w:rPr>
        <w:t>第四部分 附件</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4</w:t>
      </w:r>
    </w:p>
    <w:p w14:paraId="57C6BCDA">
      <w:pPr>
        <w:pStyle w:val="12"/>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_Toc6450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sz w:val="32"/>
          <w:szCs w:val="32"/>
        </w:rPr>
        <w:t>第五部分 附表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end"/>
      </w:r>
      <w:r>
        <w:rPr>
          <w:rFonts w:hint="eastAsia" w:cs="仿宋"/>
          <w:b w:val="0"/>
          <w:bCs w:val="0"/>
          <w:kern w:val="2"/>
          <w:sz w:val="32"/>
          <w:szCs w:val="32"/>
          <w:lang w:val="en-US" w:eastAsia="zh-CN" w:bidi="ar-SA"/>
        </w:rPr>
        <w:t>15</w:t>
      </w:r>
    </w:p>
    <w:p w14:paraId="312AB18D">
      <w:pPr>
        <w:pStyle w:val="13"/>
        <w:tabs>
          <w:tab w:val="right" w:leader="dot" w:pos="8306"/>
          <w:tab w:val="clear" w:pos="8296"/>
        </w:tabs>
        <w:ind w:right="-218" w:rightChars="-104"/>
        <w:jc w:val="righ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_Toc14349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一、收入支出决算总表</w:t>
      </w:r>
      <w:r>
        <w:rPr>
          <w:rFonts w:hint="default" w:ascii="Times New Roman" w:hAnsi="Times New Roman" w:eastAsia="仿宋_GB2312" w:cs="Times New Roman"/>
          <w:kern w:val="2"/>
          <w:sz w:val="32"/>
          <w:szCs w:val="32"/>
          <w:lang w:val="en-US" w:eastAsia="zh-CN" w:bidi="ar-SA"/>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fldChar w:fldCharType="end"/>
      </w:r>
      <w:r>
        <w:rPr>
          <w:rFonts w:hint="eastAsia" w:ascii="仿宋" w:hAnsi="仿宋" w:eastAsia="仿宋" w:cs="仿宋"/>
          <w:b w:val="0"/>
          <w:bCs w:val="0"/>
          <w:kern w:val="2"/>
          <w:sz w:val="32"/>
          <w:szCs w:val="32"/>
          <w:lang w:val="en-US" w:eastAsia="zh-CN" w:bidi="ar-SA"/>
        </w:rPr>
        <w:t>5</w:t>
      </w:r>
    </w:p>
    <w:p w14:paraId="1418358B">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_Toc1540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收入决算表</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5</w:t>
      </w:r>
    </w:p>
    <w:p w14:paraId="08871464">
      <w:pPr>
        <w:pStyle w:val="13"/>
        <w:tabs>
          <w:tab w:val="right" w:leader="dot" w:pos="8306"/>
          <w:tab w:val="clear" w:pos="8296"/>
        </w:tabs>
        <w:ind w:right="-218" w:rightChars="-104"/>
        <w:jc w:val="right"/>
        <w:rPr>
          <w:rFonts w:hint="default" w:ascii="Times New Roman" w:hAnsi="Times New Roman" w:eastAsia="仿宋_GB2312" w:cs="Times New Roman"/>
          <w:sz w:val="32"/>
          <w:szCs w:val="32"/>
        </w:rPr>
        <w:sectPr>
          <w:footerReference r:id="rId4" w:type="default"/>
          <w:pgSz w:w="11906" w:h="16838"/>
          <w:pgMar w:top="1440" w:right="1926" w:bottom="1440" w:left="1800" w:header="851" w:footer="992" w:gutter="0"/>
          <w:pgNumType w:fmt="decimal" w:start="1"/>
          <w:cols w:space="720" w:num="1"/>
          <w:docGrid w:type="lines" w:linePitch="312" w:charSpace="0"/>
        </w:sectPr>
      </w:pPr>
    </w:p>
    <w:p w14:paraId="265C990A">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_Toc24186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三、</w:t>
      </w:r>
      <w:r>
        <w:rPr>
          <w:rFonts w:hint="default" w:ascii="Times New Roman" w:hAnsi="Times New Roman" w:eastAsia="仿宋_GB2312" w:cs="Times New Roman"/>
          <w:bCs/>
          <w:sz w:val="32"/>
          <w:szCs w:val="32"/>
        </w:rPr>
        <w:t>支出决算表</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5</w:t>
      </w:r>
    </w:p>
    <w:p w14:paraId="3B5942A3">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四、</w:t>
      </w:r>
      <w:r>
        <w:rPr>
          <w:rFonts w:hint="default" w:ascii="Times New Roman" w:hAnsi="Times New Roman" w:eastAsia="仿宋_GB2312" w:cs="Times New Roman"/>
          <w:bCs/>
          <w:sz w:val="32"/>
          <w:szCs w:val="32"/>
        </w:rPr>
        <w:t>财政拨款收入支出决算总表</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5</w:t>
      </w:r>
    </w:p>
    <w:p w14:paraId="5EA03FB5">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_Toc17137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五、</w:t>
      </w:r>
      <w:r>
        <w:rPr>
          <w:rFonts w:hint="default" w:ascii="Times New Roman" w:hAnsi="Times New Roman" w:eastAsia="仿宋_GB2312" w:cs="Times New Roman"/>
          <w:bCs/>
          <w:sz w:val="32"/>
          <w:szCs w:val="32"/>
        </w:rPr>
        <w:t>财政拨款支出决算明细表</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5</w:t>
      </w:r>
    </w:p>
    <w:p w14:paraId="4E1361B0">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_Toc13960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六、</w:t>
      </w:r>
      <w:r>
        <w:rPr>
          <w:rFonts w:hint="default" w:ascii="Times New Roman" w:hAnsi="Times New Roman" w:eastAsia="仿宋_GB2312" w:cs="Times New Roman"/>
          <w:bCs/>
          <w:sz w:val="32"/>
          <w:szCs w:val="32"/>
        </w:rPr>
        <w:t>一般公共预算财政拨款支出决算表</w:t>
      </w:r>
      <w:r>
        <w:rPr>
          <w:rFonts w:hint="default" w:ascii="Times New Roman" w:hAnsi="Times New Roman" w:eastAsia="仿宋_GB2312" w:cs="Times New Roman"/>
          <w:sz w:val="32"/>
          <w:szCs w:val="32"/>
        </w:rPr>
        <w:tab/>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5</w:t>
      </w:r>
    </w:p>
    <w:p w14:paraId="06F1609D">
      <w:pPr>
        <w:pStyle w:val="13"/>
        <w:tabs>
          <w:tab w:val="right" w:leader="dot" w:pos="8306"/>
          <w:tab w:val="clear" w:pos="8296"/>
        </w:tabs>
        <w:ind w:right="-218" w:rightChars="-104"/>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_Toc19869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七、</w:t>
      </w:r>
      <w:r>
        <w:rPr>
          <w:rFonts w:hint="default" w:ascii="Times New Roman" w:hAnsi="Times New Roman" w:eastAsia="仿宋_GB2312" w:cs="Times New Roman"/>
          <w:bCs/>
          <w:sz w:val="32"/>
          <w:szCs w:val="32"/>
        </w:rPr>
        <w:t>一般公共预算财政拨款支出决算明细表</w:t>
      </w:r>
      <w:r>
        <w:rPr>
          <w:rFonts w:hint="eastAsia" w:ascii="Times New Roman" w:hAnsi="Times New Roman" w:eastAsia="仿宋_GB2312" w:cs="Times New Roman"/>
          <w:bCs/>
          <w:sz w:val="32"/>
          <w:szCs w:val="32"/>
          <w:lang w:val="en-US" w:eastAsia="zh-CN"/>
        </w:rPr>
        <w:t>.................</w:t>
      </w:r>
      <w:r>
        <w:rPr>
          <w:rFonts w:hint="eastAsia"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w:t>
      </w:r>
      <w:r>
        <w:rPr>
          <w:rFonts w:hint="eastAsia" w:ascii="仿宋" w:hAnsi="仿宋" w:eastAsia="仿宋" w:cs="仿宋"/>
          <w:b w:val="0"/>
          <w:bCs w:val="0"/>
          <w:kern w:val="2"/>
          <w:sz w:val="32"/>
          <w:szCs w:val="32"/>
          <w:lang w:val="en-US" w:eastAsia="zh-CN" w:bidi="ar-SA"/>
        </w:rPr>
        <w:t>1</w:t>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5</w:t>
      </w:r>
    </w:p>
    <w:p w14:paraId="221C3F7B">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_Toc31304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八、</w:t>
      </w:r>
      <w:r>
        <w:rPr>
          <w:rFonts w:hint="default" w:ascii="Times New Roman" w:hAnsi="Times New Roman" w:eastAsia="仿宋_GB2312" w:cs="Times New Roman"/>
          <w:bCs/>
          <w:sz w:val="32"/>
          <w:szCs w:val="32"/>
        </w:rPr>
        <w:t>一般公共预算财政拨款基本支出决算</w:t>
      </w:r>
      <w:r>
        <w:rPr>
          <w:rFonts w:hint="eastAsia" w:ascii="Times New Roman" w:hAnsi="Times New Roman" w:eastAsia="仿宋_GB2312" w:cs="Times New Roman"/>
          <w:bCs/>
          <w:sz w:val="32"/>
          <w:szCs w:val="32"/>
          <w:lang w:val="en-US" w:eastAsia="zh-CN"/>
        </w:rPr>
        <w:t>明细</w:t>
      </w:r>
      <w:r>
        <w:rPr>
          <w:rFonts w:hint="default" w:ascii="Times New Roman" w:hAnsi="Times New Roman" w:eastAsia="仿宋_GB2312" w:cs="Times New Roman"/>
          <w:bCs/>
          <w:sz w:val="32"/>
          <w:szCs w:val="32"/>
        </w:rPr>
        <w:t>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end"/>
      </w:r>
      <w:r>
        <w:rPr>
          <w:rFonts w:hint="eastAsia" w:ascii="仿宋" w:hAnsi="仿宋" w:eastAsia="仿宋" w:cs="仿宋"/>
          <w:b w:val="0"/>
          <w:bCs w:val="0"/>
          <w:kern w:val="2"/>
          <w:sz w:val="32"/>
          <w:szCs w:val="32"/>
          <w:lang w:val="en-US" w:eastAsia="zh-CN" w:bidi="ar-SA"/>
        </w:rPr>
        <w:t>15</w:t>
      </w:r>
    </w:p>
    <w:p w14:paraId="411EACF6">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_Toc13751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九、</w:t>
      </w:r>
      <w:r>
        <w:rPr>
          <w:rFonts w:hint="default" w:ascii="Times New Roman" w:hAnsi="Times New Roman" w:eastAsia="仿宋_GB2312" w:cs="Times New Roman"/>
          <w:bCs/>
          <w:sz w:val="32"/>
          <w:szCs w:val="32"/>
        </w:rPr>
        <w:t>一般公共预算财政拨款项目支出决算表</w:t>
      </w:r>
      <w:r>
        <w:rPr>
          <w:rFonts w:hint="eastAsia" w:eastAsia="仿宋_GB2312" w:cs="Times New Roman"/>
          <w:bCs/>
          <w:sz w:val="32"/>
          <w:szCs w:val="32"/>
          <w:lang w:val="en-US" w:eastAsia="zh-CN"/>
        </w:rPr>
        <w:t>.</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15</w:t>
      </w:r>
    </w:p>
    <w:p w14:paraId="37BFBBA2">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_Toc10415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十、</w:t>
      </w:r>
      <w:r>
        <w:rPr>
          <w:rFonts w:hint="default" w:ascii="Times New Roman" w:hAnsi="Times New Roman" w:eastAsia="仿宋_GB2312" w:cs="Times New Roman"/>
          <w:bCs/>
          <w:sz w:val="32"/>
          <w:szCs w:val="32"/>
        </w:rPr>
        <w:t>政府性基金预算财政拨款收入支出决算</w:t>
      </w:r>
      <w:r>
        <w:rPr>
          <w:rFonts w:hint="eastAsia" w:ascii="Times New Roman" w:hAnsi="Times New Roman" w:eastAsia="仿宋_GB2312" w:cs="Times New Roman"/>
          <w:bCs/>
          <w:sz w:val="32"/>
          <w:szCs w:val="32"/>
          <w:lang w:eastAsia="zh-CN"/>
        </w:rPr>
        <w:t>表</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15</w:t>
      </w:r>
    </w:p>
    <w:p w14:paraId="76DA147C">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_Toc26668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十一</w:t>
      </w:r>
      <w:r>
        <w:rPr>
          <w:rFonts w:hint="default" w:ascii="Times New Roman" w:hAnsi="Times New Roman" w:eastAsia="仿宋_GB2312" w:cs="Times New Roman"/>
          <w:bCs/>
          <w:sz w:val="32"/>
          <w:szCs w:val="32"/>
        </w:rPr>
        <w:t>、国有资本经营预算财政拨款收入支出决算表</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15</w:t>
      </w:r>
    </w:p>
    <w:p w14:paraId="7D81BA4D">
      <w:pPr>
        <w:pStyle w:val="13"/>
        <w:tabs>
          <w:tab w:val="right" w:leader="dot" w:pos="8306"/>
          <w:tab w:val="clear" w:pos="8296"/>
        </w:tabs>
        <w:ind w:right="-218" w:rightChars="-104"/>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_Toc2042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十二、国有资本经营预算财政拨款支出决算表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15</w:t>
      </w:r>
    </w:p>
    <w:p w14:paraId="2E768FA8">
      <w:pPr>
        <w:pStyle w:val="13"/>
        <w:tabs>
          <w:tab w:val="right" w:leader="dot" w:pos="8306"/>
          <w:tab w:val="clear" w:pos="8296"/>
        </w:tabs>
        <w:ind w:right="-218" w:rightChars="-104"/>
        <w:jc w:val="right"/>
        <w:rPr>
          <w:rFonts w:hint="default" w:ascii="仿宋" w:hAnsi="仿宋" w:eastAsia="仿宋" w:cs="仿宋"/>
          <w:b w:val="0"/>
          <w:bCs w:val="0"/>
          <w:kern w:val="2"/>
          <w:sz w:val="32"/>
          <w:szCs w:val="32"/>
          <w:lang w:val="en-US" w:eastAsia="zh-CN" w:bidi="ar-SA"/>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_Toc22381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十三、财政拨款“三公”经费支出决算表</w:t>
      </w:r>
      <w:r>
        <w:rPr>
          <w:rFonts w:hint="eastAsia" w:eastAsia="仿宋_GB2312" w:cs="Times New Roman"/>
          <w:bCs w:val="0"/>
          <w:sz w:val="32"/>
          <w:szCs w:val="32"/>
          <w:lang w:val="en-US" w:eastAsia="zh-CN"/>
        </w:rPr>
        <w:t>.</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w:t>
      </w:r>
      <w:r>
        <w:rPr>
          <w:rFonts w:hint="eastAsia" w:ascii="仿宋" w:hAnsi="仿宋" w:eastAsia="仿宋" w:cs="仿宋"/>
          <w:b w:val="0"/>
          <w:bCs w:val="0"/>
          <w:kern w:val="2"/>
          <w:sz w:val="32"/>
          <w:szCs w:val="32"/>
          <w:lang w:val="en-US" w:eastAsia="zh-CN" w:bidi="ar-SA"/>
        </w:rPr>
        <w:t>15</w:t>
      </w:r>
    </w:p>
    <w:p w14:paraId="37B72A3E">
      <w:pPr>
        <w:ind w:right="-218" w:rightChars="-104"/>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end"/>
      </w:r>
    </w:p>
    <w:p w14:paraId="2DCB156F">
      <w:pPr>
        <w:bidi w:val="0"/>
        <w:rPr>
          <w:rFonts w:hint="eastAsia" w:ascii="Times New Roman" w:hAnsi="Times New Roman" w:eastAsia="宋体" w:cs="Times New Roman"/>
          <w:kern w:val="2"/>
          <w:sz w:val="21"/>
          <w:szCs w:val="24"/>
          <w:lang w:val="en-US" w:eastAsia="zh-CN" w:bidi="ar-SA"/>
        </w:rPr>
      </w:pPr>
    </w:p>
    <w:p w14:paraId="2C9224CC">
      <w:pPr>
        <w:bidi w:val="0"/>
        <w:rPr>
          <w:rFonts w:hint="eastAsia"/>
          <w:lang w:val="en-US" w:eastAsia="zh-CN"/>
        </w:rPr>
      </w:pPr>
    </w:p>
    <w:p w14:paraId="0AAB298A">
      <w:pPr>
        <w:bidi w:val="0"/>
        <w:rPr>
          <w:rFonts w:hint="eastAsia"/>
          <w:lang w:val="en-US" w:eastAsia="zh-CN"/>
        </w:rPr>
      </w:pPr>
    </w:p>
    <w:p w14:paraId="26F4CE9B">
      <w:pPr>
        <w:bidi w:val="0"/>
        <w:rPr>
          <w:rFonts w:hint="eastAsia"/>
          <w:lang w:val="en-US" w:eastAsia="zh-CN"/>
        </w:rPr>
      </w:pPr>
    </w:p>
    <w:p w14:paraId="4C7B14F7">
      <w:pPr>
        <w:bidi w:val="0"/>
        <w:rPr>
          <w:rFonts w:hint="eastAsia"/>
          <w:lang w:val="en-US" w:eastAsia="zh-CN"/>
        </w:rPr>
      </w:pPr>
    </w:p>
    <w:p w14:paraId="4575C1A9">
      <w:pPr>
        <w:bidi w:val="0"/>
        <w:rPr>
          <w:rFonts w:hint="eastAsia"/>
          <w:lang w:val="en-US" w:eastAsia="zh-CN"/>
        </w:rPr>
      </w:pPr>
    </w:p>
    <w:p w14:paraId="0056D755">
      <w:pPr>
        <w:bidi w:val="0"/>
        <w:rPr>
          <w:rFonts w:hint="eastAsia"/>
          <w:lang w:val="en-US" w:eastAsia="zh-CN"/>
        </w:rPr>
      </w:pPr>
    </w:p>
    <w:p w14:paraId="5C923D8A">
      <w:pPr>
        <w:bidi w:val="0"/>
        <w:rPr>
          <w:rFonts w:hint="eastAsia"/>
          <w:lang w:val="en-US" w:eastAsia="zh-CN"/>
        </w:rPr>
      </w:pPr>
    </w:p>
    <w:p w14:paraId="07637B40">
      <w:pPr>
        <w:bidi w:val="0"/>
        <w:rPr>
          <w:rFonts w:hint="eastAsia"/>
          <w:lang w:val="en-US" w:eastAsia="zh-CN"/>
        </w:rPr>
      </w:pPr>
    </w:p>
    <w:p w14:paraId="63D664D9">
      <w:pPr>
        <w:bidi w:val="0"/>
        <w:rPr>
          <w:rFonts w:hint="eastAsia"/>
          <w:lang w:val="en-US" w:eastAsia="zh-CN"/>
        </w:rPr>
      </w:pPr>
    </w:p>
    <w:p w14:paraId="72ABE531">
      <w:pPr>
        <w:bidi w:val="0"/>
        <w:rPr>
          <w:rFonts w:hint="eastAsia"/>
          <w:lang w:val="en-US" w:eastAsia="zh-CN"/>
        </w:rPr>
      </w:pPr>
    </w:p>
    <w:p w14:paraId="1F362857">
      <w:pPr>
        <w:bidi w:val="0"/>
        <w:rPr>
          <w:rFonts w:hint="eastAsia"/>
          <w:lang w:val="en-US" w:eastAsia="zh-CN"/>
        </w:rPr>
      </w:pPr>
    </w:p>
    <w:p w14:paraId="3B1577B9">
      <w:pPr>
        <w:bidi w:val="0"/>
        <w:rPr>
          <w:rFonts w:hint="eastAsia"/>
          <w:lang w:val="en-US" w:eastAsia="zh-CN"/>
        </w:rPr>
      </w:pPr>
    </w:p>
    <w:p w14:paraId="4A2E06BA">
      <w:pPr>
        <w:tabs>
          <w:tab w:val="center" w:pos="4090"/>
        </w:tabs>
        <w:bidi w:val="0"/>
        <w:jc w:val="left"/>
        <w:rPr>
          <w:rFonts w:hint="eastAsia"/>
          <w:lang w:val="en-US" w:eastAsia="zh-CN"/>
        </w:rPr>
        <w:sectPr>
          <w:footerReference r:id="rId5" w:type="default"/>
          <w:pgSz w:w="11906" w:h="16838"/>
          <w:pgMar w:top="1440" w:right="1926" w:bottom="1440" w:left="1800" w:header="851" w:footer="992" w:gutter="0"/>
          <w:pgNumType w:fmt="decimal"/>
          <w:cols w:space="720" w:num="1"/>
          <w:docGrid w:type="lines" w:linePitch="312" w:charSpace="0"/>
        </w:sectPr>
      </w:pPr>
      <w:r>
        <w:rPr>
          <w:rFonts w:hint="eastAsia"/>
          <w:lang w:val="en-US" w:eastAsia="zh-CN"/>
        </w:rPr>
        <w:tab/>
      </w:r>
    </w:p>
    <w:p w14:paraId="63A16437">
      <w:pPr>
        <w:widowControl/>
        <w:spacing w:line="440" w:lineRule="exact"/>
        <w:jc w:val="left"/>
        <w:rPr>
          <w:rFonts w:ascii="仿宋" w:hAnsi="仿宋" w:eastAsia="仿宋"/>
          <w:bCs/>
          <w:kern w:val="44"/>
          <w:sz w:val="24"/>
        </w:rPr>
      </w:pPr>
    </w:p>
    <w:p w14:paraId="05A16698">
      <w:pPr>
        <w:pStyle w:val="3"/>
        <w:numPr>
          <w:ilvl w:val="0"/>
          <w:numId w:val="1"/>
        </w:numPr>
        <w:jc w:val="center"/>
        <w:rPr>
          <w:rStyle w:val="28"/>
          <w:rFonts w:hint="eastAsia" w:ascii="黑体" w:hAnsi="黑体" w:eastAsia="黑体"/>
          <w:b w:val="0"/>
          <w:bCs w:val="0"/>
        </w:rPr>
      </w:pPr>
      <w:r>
        <w:rPr>
          <w:rFonts w:hint="eastAsia" w:ascii="黑体" w:hAnsi="黑体" w:eastAsia="黑体"/>
          <w:b w:val="0"/>
        </w:rPr>
        <w:t>单位</w:t>
      </w:r>
      <w:r>
        <w:rPr>
          <w:rStyle w:val="28"/>
          <w:rFonts w:hint="eastAsia" w:ascii="黑体" w:hAnsi="黑体" w:eastAsia="黑体"/>
          <w:b w:val="0"/>
          <w:bCs w:val="0"/>
        </w:rPr>
        <w:t>概况</w:t>
      </w:r>
      <w:bookmarkEnd w:id="12"/>
      <w:bookmarkEnd w:id="13"/>
    </w:p>
    <w:p w14:paraId="4CA0DB61">
      <w:pPr>
        <w:numPr>
          <w:ilvl w:val="0"/>
          <w:numId w:val="0"/>
        </w:numPr>
      </w:pPr>
    </w:p>
    <w:p w14:paraId="5CF2C179">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Style w:val="34"/>
          <w:rFonts w:hint="eastAsia" w:ascii="黑体" w:hAnsi="黑体" w:eastAsia="黑体"/>
          <w:b w:val="0"/>
          <w:bCs w:val="0"/>
          <w:lang w:eastAsia="zh-CN"/>
        </w:rPr>
      </w:pPr>
      <w:bookmarkStart w:id="14" w:name="_Toc52180066"/>
      <w:bookmarkStart w:id="15" w:name="_Toc15377197"/>
      <w:bookmarkStart w:id="16" w:name="_Toc15396600"/>
      <w:r>
        <w:rPr>
          <w:rFonts w:hint="eastAsia" w:ascii="黑体" w:hAnsi="黑体" w:eastAsia="黑体"/>
          <w:b w:val="0"/>
          <w:color w:val="000000"/>
          <w:lang w:eastAsia="zh-CN"/>
        </w:rPr>
        <w:t>一、</w:t>
      </w:r>
      <w:bookmarkEnd w:id="14"/>
      <w:bookmarkEnd w:id="15"/>
      <w:bookmarkEnd w:id="16"/>
      <w:bookmarkStart w:id="17" w:name="_Toc52180067"/>
      <w:bookmarkStart w:id="18" w:name="_Toc15378445"/>
      <w:bookmarkStart w:id="19" w:name="_Toc15377198"/>
      <w:r>
        <w:rPr>
          <w:rStyle w:val="34"/>
          <w:rFonts w:hint="eastAsia" w:ascii="黑体" w:hAnsi="黑体" w:eastAsia="黑体"/>
          <w:b w:val="0"/>
          <w:bCs w:val="0"/>
        </w:rPr>
        <w:t>主要</w:t>
      </w:r>
      <w:r>
        <w:rPr>
          <w:rStyle w:val="34"/>
          <w:rFonts w:hint="eastAsia" w:ascii="黑体" w:hAnsi="黑体" w:eastAsia="黑体"/>
          <w:b w:val="0"/>
          <w:bCs w:val="0"/>
          <w:lang w:eastAsia="zh-CN"/>
        </w:rPr>
        <w:t>职责</w:t>
      </w:r>
      <w:bookmarkEnd w:id="17"/>
      <w:bookmarkEnd w:id="18"/>
      <w:bookmarkEnd w:id="19"/>
    </w:p>
    <w:p w14:paraId="222C74BA">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b w:val="0"/>
          <w:bCs w:val="0"/>
          <w:kern w:val="2"/>
          <w:sz w:val="32"/>
          <w:szCs w:val="32"/>
          <w:lang w:val="en-US" w:eastAsia="zh-CN" w:bidi="ar-SA"/>
        </w:rPr>
      </w:pPr>
      <w:r>
        <w:rPr>
          <w:rFonts w:hint="default" w:ascii="仿宋" w:hAnsi="仿宋" w:eastAsia="仿宋" w:cs="Times New Roman"/>
          <w:b w:val="0"/>
          <w:bCs w:val="0"/>
          <w:kern w:val="2"/>
          <w:sz w:val="32"/>
          <w:szCs w:val="32"/>
          <w:lang w:val="en-US" w:eastAsia="zh-CN" w:bidi="ar-SA"/>
        </w:rPr>
        <w:t>盐边县永兴中心卫生院属于财政拨款单位，承担本辖区内围产保健、妇女保健、儿童保健等妇幼保健任务和妇女儿童常见病防治任务；承担计划生育宣传教育、技术服务、优生指导、药具发放、信息咨询、随访服务、生殖保健等公共服务职能；落实妇幼重大公共卫生服务项目和基本公共卫生服务项目，配合做好孕前优生健康检查项目等任务；负责对村医生及计生服务人员提供业务培训指导。</w:t>
      </w:r>
    </w:p>
    <w:p w14:paraId="26643145">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Style w:val="34"/>
          <w:rFonts w:hint="eastAsia" w:ascii="黑体" w:hAnsi="黑体" w:eastAsia="黑体" w:cs="黑体"/>
          <w:b w:val="0"/>
          <w:bCs w:val="0"/>
          <w:sz w:val="32"/>
          <w:szCs w:val="32"/>
        </w:rPr>
      </w:pPr>
      <w:r>
        <w:rPr>
          <w:rFonts w:hint="eastAsia" w:ascii="黑体" w:hAnsi="黑体" w:eastAsia="黑体" w:cs="黑体"/>
          <w:b w:val="0"/>
          <w:sz w:val="32"/>
          <w:szCs w:val="32"/>
        </w:rPr>
        <w:t>二、机</w:t>
      </w:r>
      <w:r>
        <w:rPr>
          <w:rStyle w:val="34"/>
          <w:rFonts w:hint="eastAsia" w:ascii="黑体" w:hAnsi="黑体" w:eastAsia="黑体" w:cs="黑体"/>
          <w:b w:val="0"/>
          <w:bCs w:val="0"/>
          <w:sz w:val="32"/>
          <w:szCs w:val="32"/>
        </w:rPr>
        <w:t>构设置</w:t>
      </w:r>
    </w:p>
    <w:p w14:paraId="57098246">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仿宋" w:hAnsi="仿宋" w:eastAsia="仿宋" w:cs="Times New Roman"/>
          <w:b w:val="0"/>
          <w:bCs w:val="0"/>
          <w:kern w:val="2"/>
          <w:sz w:val="32"/>
          <w:szCs w:val="32"/>
          <w:lang w:val="en-US" w:eastAsia="zh-CN" w:bidi="ar-SA"/>
        </w:rPr>
        <w:t>盐边县永兴中心卫生院</w:t>
      </w:r>
      <w:r>
        <w:rPr>
          <w:rFonts w:hint="eastAsia" w:ascii="仿宋" w:hAnsi="仿宋" w:eastAsia="仿宋" w:cs="Times New Roman"/>
          <w:b w:val="0"/>
          <w:bCs w:val="0"/>
          <w:kern w:val="2"/>
          <w:sz w:val="32"/>
          <w:szCs w:val="32"/>
          <w:lang w:val="en-US" w:eastAsia="zh-CN" w:bidi="ar-SA"/>
        </w:rPr>
        <w:t>属于二</w:t>
      </w:r>
      <w:r>
        <w:rPr>
          <w:rFonts w:hint="default" w:ascii="仿宋" w:hAnsi="仿宋" w:eastAsia="仿宋" w:cs="Times New Roman"/>
          <w:b w:val="0"/>
          <w:bCs w:val="0"/>
          <w:kern w:val="2"/>
          <w:sz w:val="32"/>
          <w:szCs w:val="32"/>
          <w:lang w:val="en-US" w:eastAsia="zh-CN" w:bidi="ar-SA"/>
        </w:rPr>
        <w:t>级</w:t>
      </w:r>
      <w:r>
        <w:rPr>
          <w:rFonts w:hint="eastAsia" w:ascii="仿宋" w:hAnsi="仿宋" w:eastAsia="仿宋" w:cs="Times New Roman"/>
          <w:b w:val="0"/>
          <w:bCs w:val="0"/>
          <w:kern w:val="2"/>
          <w:sz w:val="32"/>
          <w:szCs w:val="32"/>
          <w:lang w:val="en-US" w:eastAsia="zh-CN" w:bidi="ar-SA"/>
        </w:rPr>
        <w:t>预算单位，下设科室  6</w:t>
      </w:r>
      <w:r>
        <w:rPr>
          <w:rFonts w:hint="default" w:ascii="仿宋" w:hAnsi="仿宋" w:eastAsia="仿宋" w:cs="Times New Roman"/>
          <w:b w:val="0"/>
          <w:bCs w:val="0"/>
          <w:kern w:val="2"/>
          <w:sz w:val="32"/>
          <w:szCs w:val="32"/>
          <w:lang w:val="en-US" w:eastAsia="zh-CN" w:bidi="ar-SA"/>
        </w:rPr>
        <w:t>个</w:t>
      </w:r>
      <w:r>
        <w:rPr>
          <w:rFonts w:hint="eastAsia" w:ascii="仿宋" w:hAnsi="仿宋" w:eastAsia="仿宋" w:cs="Times New Roman"/>
          <w:b w:val="0"/>
          <w:bCs w:val="0"/>
          <w:kern w:val="2"/>
          <w:sz w:val="32"/>
          <w:szCs w:val="32"/>
          <w:lang w:val="en-US" w:eastAsia="zh-CN" w:bidi="ar-SA"/>
        </w:rPr>
        <w:t>，其中：临床科室1个、护理科室1个、辅助科室1个、中医科1个、公共卫生科1个、行政科1个</w:t>
      </w:r>
      <w:r>
        <w:rPr>
          <w:rFonts w:hint="default" w:ascii="仿宋" w:hAnsi="仿宋" w:eastAsia="仿宋" w:cs="Times New Roman"/>
          <w:b w:val="0"/>
          <w:bCs w:val="0"/>
          <w:kern w:val="2"/>
          <w:sz w:val="32"/>
          <w:szCs w:val="32"/>
          <w:lang w:val="en-US" w:eastAsia="zh-CN" w:bidi="ar-SA"/>
        </w:rPr>
        <w:t>。</w:t>
      </w:r>
    </w:p>
    <w:p w14:paraId="6FC02922">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0F941C84">
      <w:pPr>
        <w:pStyle w:val="3"/>
        <w:ind w:right="440"/>
        <w:jc w:val="center"/>
        <w:rPr>
          <w:rFonts w:hint="eastAsia" w:ascii="黑体" w:hAnsi="黑体" w:eastAsia="黑体"/>
          <w:b w:val="0"/>
        </w:rPr>
        <w:sectPr>
          <w:footerReference r:id="rId8" w:type="first"/>
          <w:headerReference r:id="rId6" w:type="default"/>
          <w:footerReference r:id="rId7" w:type="default"/>
          <w:pgSz w:w="11906" w:h="16838"/>
          <w:pgMar w:top="1440" w:right="1800" w:bottom="1440" w:left="1800" w:header="851" w:footer="992" w:gutter="0"/>
          <w:pgNumType w:fmt="decimal" w:start="1"/>
          <w:cols w:space="425" w:num="1"/>
          <w:titlePg/>
          <w:docGrid w:type="lines" w:linePitch="312" w:charSpace="0"/>
        </w:sectPr>
      </w:pPr>
      <w:bookmarkStart w:id="20" w:name="_Toc15396602"/>
      <w:bookmarkStart w:id="21" w:name="_Toc15377204"/>
    </w:p>
    <w:p w14:paraId="3A19A5C5">
      <w:pPr>
        <w:pStyle w:val="3"/>
        <w:ind w:right="440"/>
        <w:jc w:val="center"/>
        <w:rPr>
          <w:rStyle w:val="28"/>
          <w:rFonts w:ascii="黑体" w:hAnsi="黑体" w:eastAsia="黑体"/>
          <w:b w:val="0"/>
          <w:bCs/>
        </w:rPr>
      </w:pPr>
      <w:r>
        <w:rPr>
          <w:rFonts w:hint="eastAsia" w:ascii="黑体" w:hAnsi="黑体" w:eastAsia="黑体"/>
          <w:b w:val="0"/>
        </w:rPr>
        <w:t>第二部分 2023年度</w:t>
      </w:r>
      <w:r>
        <w:rPr>
          <w:rStyle w:val="28"/>
          <w:rFonts w:hint="eastAsia" w:ascii="黑体" w:hAnsi="黑体" w:eastAsia="黑体"/>
          <w:b w:val="0"/>
          <w:bCs/>
        </w:rPr>
        <w:t>单位决算情况说明</w:t>
      </w:r>
      <w:bookmarkEnd w:id="20"/>
      <w:bookmarkEnd w:id="21"/>
    </w:p>
    <w:p w14:paraId="6D8C26F8"/>
    <w:p w14:paraId="706EEAB2">
      <w:pPr>
        <w:pStyle w:val="27"/>
        <w:numPr>
          <w:ilvl w:val="0"/>
          <w:numId w:val="2"/>
        </w:numPr>
        <w:spacing w:line="600" w:lineRule="exact"/>
        <w:ind w:firstLineChars="0"/>
        <w:outlineLvl w:val="1"/>
        <w:rPr>
          <w:rStyle w:val="29"/>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2"/>
      <w:bookmarkEnd w:id="23"/>
    </w:p>
    <w:p w14:paraId="11B99D03">
      <w:pPr>
        <w:ind w:firstLine="640" w:firstLineChars="200"/>
        <w:rPr>
          <w:rFonts w:ascii="仿宋" w:hAnsi="仿宋" w:eastAsia="仿宋"/>
          <w:sz w:val="32"/>
          <w:szCs w:val="32"/>
        </w:rPr>
      </w:pPr>
      <w:r>
        <w:rPr>
          <w:rFonts w:hint="eastAsia" w:ascii="仿宋" w:hAnsi="仿宋" w:eastAsia="仿宋"/>
          <w:sz w:val="32"/>
          <w:szCs w:val="32"/>
          <w:lang w:val="en-US" w:eastAsia="zh-CN"/>
        </w:rPr>
        <w:t>2023年度收、支总计均为999.44万元。与2022年度相比，收、支总计各增加49.79万元，增加5.24</w:t>
      </w:r>
      <w:r>
        <w:rPr>
          <w:rFonts w:hint="default" w:ascii="仿宋" w:hAnsi="仿宋" w:eastAsia="仿宋"/>
          <w:sz w:val="32"/>
          <w:szCs w:val="32"/>
          <w:lang w:val="en-US" w:eastAsia="zh-CN"/>
        </w:rPr>
        <w:t>%</w:t>
      </w:r>
      <w:r>
        <w:rPr>
          <w:rFonts w:hint="eastAsia" w:ascii="仿宋" w:hAnsi="仿宋" w:eastAsia="仿宋"/>
          <w:sz w:val="32"/>
          <w:szCs w:val="32"/>
          <w:lang w:val="en-US" w:eastAsia="zh-CN"/>
        </w:rPr>
        <w:t>。主要变动原因是</w:t>
      </w:r>
      <w:r>
        <w:rPr>
          <w:rFonts w:hint="default" w:ascii="仿宋" w:hAnsi="仿宋" w:eastAsia="仿宋"/>
          <w:sz w:val="32"/>
          <w:szCs w:val="32"/>
          <w:lang w:val="en-US" w:eastAsia="zh-CN"/>
        </w:rPr>
        <w:t>基本公共卫生服务项目</w:t>
      </w:r>
      <w:r>
        <w:rPr>
          <w:rFonts w:hint="eastAsia" w:ascii="仿宋" w:hAnsi="仿宋" w:eastAsia="仿宋"/>
          <w:sz w:val="32"/>
          <w:szCs w:val="32"/>
          <w:lang w:val="en-US" w:eastAsia="zh-CN"/>
        </w:rPr>
        <w:t>及基本药物补助</w:t>
      </w:r>
      <w:r>
        <w:rPr>
          <w:rFonts w:hint="default" w:ascii="仿宋" w:hAnsi="仿宋" w:eastAsia="仿宋"/>
          <w:sz w:val="32"/>
          <w:szCs w:val="32"/>
          <w:lang w:val="en-US" w:eastAsia="zh-CN"/>
        </w:rPr>
        <w:t>财政拨款</w:t>
      </w:r>
      <w:r>
        <w:rPr>
          <w:rFonts w:hint="eastAsia" w:ascii="仿宋" w:hAnsi="仿宋" w:eastAsia="仿宋"/>
          <w:sz w:val="32"/>
          <w:szCs w:val="32"/>
          <w:lang w:val="en-US" w:eastAsia="zh-CN"/>
        </w:rPr>
        <w:t>增加，收治住院病人</w:t>
      </w:r>
      <w:r>
        <w:rPr>
          <w:rFonts w:hint="default" w:ascii="仿宋" w:hAnsi="仿宋" w:eastAsia="仿宋"/>
          <w:sz w:val="32"/>
          <w:szCs w:val="32"/>
          <w:lang w:val="en-US" w:eastAsia="zh-CN"/>
        </w:rPr>
        <w:t>全年</w:t>
      </w:r>
      <w:r>
        <w:rPr>
          <w:rFonts w:hint="eastAsia" w:ascii="仿宋" w:hAnsi="仿宋" w:eastAsia="仿宋"/>
          <w:sz w:val="32"/>
          <w:szCs w:val="32"/>
          <w:lang w:val="en-US" w:eastAsia="zh-CN"/>
        </w:rPr>
        <w:t>业务</w:t>
      </w:r>
      <w:r>
        <w:rPr>
          <w:rFonts w:hint="default" w:ascii="仿宋" w:hAnsi="仿宋" w:eastAsia="仿宋"/>
          <w:sz w:val="32"/>
          <w:szCs w:val="32"/>
          <w:lang w:val="en-US" w:eastAsia="zh-CN"/>
        </w:rPr>
        <w:t>收入</w:t>
      </w:r>
      <w:r>
        <w:rPr>
          <w:rFonts w:hint="eastAsia" w:ascii="仿宋" w:hAnsi="仿宋" w:eastAsia="仿宋"/>
          <w:sz w:val="32"/>
          <w:szCs w:val="32"/>
          <w:lang w:val="en-US" w:eastAsia="zh-CN"/>
        </w:rPr>
        <w:t>增加，职工工资薪酬增加等</w:t>
      </w:r>
      <w:r>
        <w:rPr>
          <w:rFonts w:hint="eastAsia" w:ascii="Times New Roman" w:hAnsi="Times New Roman" w:eastAsia="仿宋_GB2312" w:cs="Times New Roman"/>
          <w:color w:val="auto"/>
          <w:sz w:val="32"/>
          <w:szCs w:val="32"/>
          <w:lang w:val="en-US" w:eastAsia="zh-CN"/>
        </w:rPr>
        <w:t>。</w:t>
      </w:r>
    </w:p>
    <w:p w14:paraId="6FC6E81F">
      <w:pPr>
        <w:spacing w:line="600" w:lineRule="exact"/>
        <w:ind w:firstLine="640" w:firstLineChars="2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3184D23B">
      <w:pPr>
        <w:pStyle w:val="2"/>
        <w:jc w:val="center"/>
      </w:pPr>
      <w:r>
        <w:drawing>
          <wp:inline distT="0" distB="0" distL="114300" distR="114300">
            <wp:extent cx="4999355" cy="2752725"/>
            <wp:effectExtent l="0" t="0" r="1079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8"/>
                    <a:stretch>
                      <a:fillRect/>
                    </a:stretch>
                  </pic:blipFill>
                  <pic:spPr>
                    <a:xfrm>
                      <a:off x="0" y="0"/>
                      <a:ext cx="4999355" cy="2752725"/>
                    </a:xfrm>
                    <a:prstGeom prst="rect">
                      <a:avLst/>
                    </a:prstGeom>
                    <a:noFill/>
                    <a:ln>
                      <a:noFill/>
                    </a:ln>
                  </pic:spPr>
                </pic:pic>
              </a:graphicData>
            </a:graphic>
          </wp:inline>
        </w:drawing>
      </w:r>
    </w:p>
    <w:p w14:paraId="2848EA00">
      <w:pPr>
        <w:pStyle w:val="27"/>
        <w:numPr>
          <w:ilvl w:val="0"/>
          <w:numId w:val="2"/>
        </w:numPr>
        <w:spacing w:line="600" w:lineRule="exact"/>
        <w:ind w:firstLineChars="0"/>
        <w:outlineLvl w:val="1"/>
        <w:rPr>
          <w:rStyle w:val="29"/>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9"/>
          <w:rFonts w:hint="eastAsia" w:ascii="黑体" w:hAnsi="黑体" w:eastAsia="黑体"/>
          <w:b w:val="0"/>
        </w:rPr>
        <w:t>入决算情况说明</w:t>
      </w:r>
      <w:bookmarkEnd w:id="24"/>
      <w:bookmarkEnd w:id="25"/>
    </w:p>
    <w:p w14:paraId="4852BBA9">
      <w:pPr>
        <w:spacing w:line="600" w:lineRule="exact"/>
        <w:ind w:firstLine="640" w:firstLineChars="200"/>
        <w:outlineLvl w:val="1"/>
        <w:rPr>
          <w:rFonts w:hint="eastAsia" w:ascii="仿宋" w:hAnsi="仿宋" w:eastAsia="仿宋"/>
          <w:b w:val="0"/>
          <w:bCs w:val="0"/>
          <w:sz w:val="32"/>
          <w:szCs w:val="32"/>
          <w:lang w:eastAsia="zh-CN"/>
        </w:rPr>
      </w:pPr>
      <w:r>
        <w:rPr>
          <w:rFonts w:hint="eastAsia" w:ascii="仿宋" w:hAnsi="仿宋" w:eastAsia="仿宋"/>
          <w:b w:val="0"/>
          <w:bCs w:val="0"/>
          <w:sz w:val="32"/>
          <w:szCs w:val="32"/>
        </w:rPr>
        <w:t>2023年度本年收入合计</w:t>
      </w:r>
      <w:r>
        <w:rPr>
          <w:rFonts w:ascii="仿宋" w:hAnsi="仿宋" w:eastAsia="仿宋"/>
          <w:b w:val="0"/>
          <w:bCs w:val="0"/>
          <w:sz w:val="32"/>
          <w:szCs w:val="32"/>
        </w:rPr>
        <w:t>991.8</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800.4</w:t>
      </w:r>
      <w:r>
        <w:rPr>
          <w:rFonts w:hint="eastAsia" w:ascii="仿宋" w:hAnsi="仿宋" w:eastAsia="仿宋"/>
          <w:b w:val="0"/>
          <w:bCs w:val="0"/>
          <w:sz w:val="32"/>
          <w:szCs w:val="32"/>
        </w:rPr>
        <w:t>万元，占</w:t>
      </w:r>
      <w:r>
        <w:rPr>
          <w:rFonts w:ascii="仿宋" w:hAnsi="仿宋" w:eastAsia="仿宋"/>
          <w:b w:val="0"/>
          <w:bCs w:val="0"/>
          <w:sz w:val="32"/>
          <w:szCs w:val="32"/>
        </w:rPr>
        <w:t>80.7%</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；国有资本经营预算财政拨款收入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；上级补助收入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；事业收入</w:t>
      </w:r>
      <w:r>
        <w:rPr>
          <w:rFonts w:ascii="仿宋" w:hAnsi="仿宋" w:eastAsia="仿宋"/>
          <w:b w:val="0"/>
          <w:bCs w:val="0"/>
          <w:sz w:val="32"/>
          <w:szCs w:val="32"/>
        </w:rPr>
        <w:t>191.03</w:t>
      </w:r>
      <w:r>
        <w:rPr>
          <w:rFonts w:hint="eastAsia" w:ascii="仿宋" w:hAnsi="仿宋" w:eastAsia="仿宋"/>
          <w:b w:val="0"/>
          <w:bCs w:val="0"/>
          <w:sz w:val="32"/>
          <w:szCs w:val="32"/>
        </w:rPr>
        <w:t>万元，占</w:t>
      </w:r>
      <w:r>
        <w:rPr>
          <w:rFonts w:ascii="仿宋" w:hAnsi="仿宋" w:eastAsia="仿宋"/>
          <w:b w:val="0"/>
          <w:bCs w:val="0"/>
          <w:sz w:val="32"/>
          <w:szCs w:val="32"/>
        </w:rPr>
        <w:t>19.26%</w:t>
      </w:r>
      <w:r>
        <w:rPr>
          <w:rFonts w:hint="eastAsia" w:ascii="仿宋" w:hAnsi="仿宋" w:eastAsia="仿宋"/>
          <w:b w:val="0"/>
          <w:bCs w:val="0"/>
          <w:sz w:val="32"/>
          <w:szCs w:val="32"/>
        </w:rPr>
        <w:t>；经营收入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；附属单位上缴收入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；其他收入</w:t>
      </w:r>
      <w:r>
        <w:rPr>
          <w:rFonts w:ascii="仿宋" w:hAnsi="仿宋" w:eastAsia="仿宋"/>
          <w:b w:val="0"/>
          <w:bCs w:val="0"/>
          <w:sz w:val="32"/>
          <w:szCs w:val="32"/>
        </w:rPr>
        <w:t>0.36</w:t>
      </w:r>
      <w:r>
        <w:rPr>
          <w:rFonts w:hint="eastAsia" w:ascii="仿宋" w:hAnsi="仿宋" w:eastAsia="仿宋"/>
          <w:b w:val="0"/>
          <w:bCs w:val="0"/>
          <w:sz w:val="32"/>
          <w:szCs w:val="32"/>
        </w:rPr>
        <w:t>万元，占</w:t>
      </w:r>
      <w:r>
        <w:rPr>
          <w:rFonts w:ascii="仿宋" w:hAnsi="仿宋" w:eastAsia="仿宋"/>
          <w:b w:val="0"/>
          <w:bCs w:val="0"/>
          <w:sz w:val="32"/>
          <w:szCs w:val="32"/>
        </w:rPr>
        <w:t>0.0</w:t>
      </w:r>
      <w:r>
        <w:rPr>
          <w:rFonts w:hint="eastAsia" w:ascii="仿宋" w:hAnsi="仿宋" w:eastAsia="仿宋"/>
          <w:b w:val="0"/>
          <w:bCs w:val="0"/>
          <w:sz w:val="32"/>
          <w:szCs w:val="32"/>
          <w:lang w:val="en-US" w:eastAsia="zh-CN"/>
        </w:rPr>
        <w:t>4</w:t>
      </w:r>
      <w:r>
        <w:rPr>
          <w:rFonts w:ascii="仿宋" w:hAnsi="仿宋" w:eastAsia="仿宋"/>
          <w:b w:val="0"/>
          <w:bCs w:val="0"/>
          <w:sz w:val="32"/>
          <w:szCs w:val="32"/>
        </w:rPr>
        <w:t>%</w:t>
      </w:r>
      <w:r>
        <w:rPr>
          <w:rFonts w:hint="eastAsia" w:ascii="仿宋" w:hAnsi="仿宋" w:eastAsia="仿宋"/>
          <w:b w:val="0"/>
          <w:bCs w:val="0"/>
          <w:sz w:val="32"/>
          <w:szCs w:val="32"/>
          <w:lang w:eastAsia="zh-CN"/>
        </w:rPr>
        <w:t>。</w:t>
      </w:r>
    </w:p>
    <w:p w14:paraId="7FC384E6">
      <w:pPr>
        <w:spacing w:line="600" w:lineRule="exact"/>
        <w:ind w:firstLine="640" w:firstLineChars="200"/>
        <w:rPr>
          <w:rFonts w:hint="eastAsia" w:ascii="仿宋" w:hAnsi="仿宋" w:eastAsia="仿宋"/>
          <w:sz w:val="32"/>
          <w:szCs w:val="32"/>
        </w:rPr>
        <w:sectPr>
          <w:footerReference r:id="rId10" w:type="first"/>
          <w:footerReference r:id="rId9" w:type="default"/>
          <w:pgSz w:w="11906" w:h="16838"/>
          <w:pgMar w:top="1440" w:right="1800" w:bottom="1440" w:left="1800" w:header="851" w:footer="992" w:gutter="0"/>
          <w:pgNumType w:fmt="decimal" w:start="2"/>
          <w:cols w:space="425" w:num="1"/>
          <w:titlePg/>
          <w:docGrid w:type="lines" w:linePitch="312" w:charSpace="0"/>
        </w:sectPr>
      </w:pPr>
    </w:p>
    <w:p w14:paraId="1903DDAF">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w:t>
      </w:r>
    </w:p>
    <w:p w14:paraId="18F1D7DC">
      <w:pPr>
        <w:pStyle w:val="2"/>
        <w:rPr>
          <w:rFonts w:ascii="仿宋_GB2312" w:eastAsia="仿宋_GB2312"/>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44F234">
      <w:pPr>
        <w:pStyle w:val="27"/>
        <w:numPr>
          <w:ilvl w:val="0"/>
          <w:numId w:val="2"/>
        </w:numPr>
        <w:spacing w:line="600" w:lineRule="exact"/>
        <w:ind w:firstLineChars="0"/>
        <w:outlineLvl w:val="1"/>
        <w:rPr>
          <w:rStyle w:val="29"/>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9"/>
          <w:rFonts w:hint="eastAsia" w:ascii="黑体" w:hAnsi="黑体" w:eastAsia="黑体"/>
          <w:b w:val="0"/>
        </w:rPr>
        <w:t>出决算情况说明</w:t>
      </w:r>
      <w:bookmarkEnd w:id="26"/>
      <w:bookmarkEnd w:id="27"/>
    </w:p>
    <w:p w14:paraId="0F67B01D">
      <w:pPr>
        <w:spacing w:line="600" w:lineRule="exact"/>
        <w:ind w:firstLine="640" w:firstLineChars="200"/>
        <w:outlineLvl w:val="1"/>
        <w:rPr>
          <w:rFonts w:ascii="仿宋" w:hAnsi="仿宋" w:eastAsia="仿宋"/>
          <w:b w:val="0"/>
          <w:bCs w:val="0"/>
          <w:sz w:val="32"/>
          <w:szCs w:val="32"/>
        </w:rPr>
      </w:pPr>
      <w:r>
        <w:rPr>
          <w:rFonts w:hint="eastAsia" w:ascii="仿宋" w:hAnsi="仿宋" w:eastAsia="仿宋"/>
          <w:b w:val="0"/>
          <w:bCs w:val="0"/>
          <w:sz w:val="32"/>
          <w:szCs w:val="32"/>
        </w:rPr>
        <w:t>2023年度本年支出合计</w:t>
      </w:r>
      <w:r>
        <w:rPr>
          <w:rFonts w:ascii="仿宋" w:hAnsi="仿宋" w:eastAsia="仿宋"/>
          <w:b w:val="0"/>
          <w:bCs w:val="0"/>
          <w:sz w:val="32"/>
          <w:szCs w:val="32"/>
        </w:rPr>
        <w:t>939.95</w:t>
      </w:r>
      <w:r>
        <w:rPr>
          <w:rFonts w:hint="eastAsia" w:ascii="仿宋" w:hAnsi="仿宋" w:eastAsia="仿宋"/>
          <w:b w:val="0"/>
          <w:bCs w:val="0"/>
          <w:sz w:val="32"/>
          <w:szCs w:val="32"/>
        </w:rPr>
        <w:t>万元，其中：基本支出</w:t>
      </w:r>
      <w:r>
        <w:rPr>
          <w:rFonts w:ascii="仿宋" w:hAnsi="仿宋" w:eastAsia="仿宋"/>
          <w:b w:val="0"/>
          <w:bCs w:val="0"/>
          <w:sz w:val="32"/>
          <w:szCs w:val="32"/>
        </w:rPr>
        <w:t>633.31</w:t>
      </w:r>
      <w:r>
        <w:rPr>
          <w:rFonts w:hint="eastAsia" w:ascii="仿宋" w:hAnsi="仿宋" w:eastAsia="仿宋"/>
          <w:b w:val="0"/>
          <w:bCs w:val="0"/>
          <w:sz w:val="32"/>
          <w:szCs w:val="32"/>
        </w:rPr>
        <w:t>万元，占</w:t>
      </w:r>
      <w:r>
        <w:rPr>
          <w:rFonts w:ascii="仿宋" w:hAnsi="仿宋" w:eastAsia="仿宋"/>
          <w:b w:val="0"/>
          <w:bCs w:val="0"/>
          <w:sz w:val="32"/>
          <w:szCs w:val="32"/>
        </w:rPr>
        <w:t>67.37%</w:t>
      </w:r>
      <w:r>
        <w:rPr>
          <w:rFonts w:hint="eastAsia" w:ascii="仿宋" w:hAnsi="仿宋" w:eastAsia="仿宋"/>
          <w:b w:val="0"/>
          <w:bCs w:val="0"/>
          <w:sz w:val="32"/>
          <w:szCs w:val="32"/>
        </w:rPr>
        <w:t>；项目支出</w:t>
      </w:r>
      <w:r>
        <w:rPr>
          <w:rFonts w:ascii="仿宋" w:hAnsi="仿宋" w:eastAsia="仿宋"/>
          <w:b w:val="0"/>
          <w:bCs w:val="0"/>
          <w:sz w:val="32"/>
          <w:szCs w:val="32"/>
        </w:rPr>
        <w:t>306.64</w:t>
      </w:r>
      <w:r>
        <w:rPr>
          <w:rFonts w:hint="eastAsia" w:ascii="仿宋" w:hAnsi="仿宋" w:eastAsia="仿宋"/>
          <w:b w:val="0"/>
          <w:bCs w:val="0"/>
          <w:sz w:val="32"/>
          <w:szCs w:val="32"/>
        </w:rPr>
        <w:t>万元，占</w:t>
      </w:r>
      <w:r>
        <w:rPr>
          <w:rFonts w:ascii="仿宋" w:hAnsi="仿宋" w:eastAsia="仿宋"/>
          <w:b w:val="0"/>
          <w:bCs w:val="0"/>
          <w:sz w:val="32"/>
          <w:szCs w:val="32"/>
        </w:rPr>
        <w:t>32.6</w:t>
      </w:r>
      <w:r>
        <w:rPr>
          <w:rFonts w:hint="eastAsia" w:ascii="仿宋" w:hAnsi="仿宋" w:eastAsia="仿宋"/>
          <w:b w:val="0"/>
          <w:bCs w:val="0"/>
          <w:sz w:val="32"/>
          <w:szCs w:val="32"/>
          <w:lang w:val="en-US" w:eastAsia="zh-CN"/>
        </w:rPr>
        <w:t>3</w:t>
      </w:r>
      <w:r>
        <w:rPr>
          <w:rFonts w:ascii="仿宋" w:hAnsi="仿宋" w:eastAsia="仿宋"/>
          <w:b w:val="0"/>
          <w:bCs w:val="0"/>
          <w:sz w:val="32"/>
          <w:szCs w:val="32"/>
        </w:rPr>
        <w:t>%</w:t>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p>
    <w:p w14:paraId="27703FF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w:t>
      </w:r>
    </w:p>
    <w:p w14:paraId="51D33534">
      <w:pPr>
        <w:pStyle w:val="2"/>
        <w:rPr>
          <w:rFonts w:ascii="仿宋_GB2312" w:eastAsia="仿宋_GB2312"/>
          <w:sz w:val="32"/>
          <w:szCs w:val="32"/>
        </w:rPr>
      </w:pPr>
      <w:r>
        <w:drawing>
          <wp:inline distT="0" distB="0" distL="114300" distR="114300">
            <wp:extent cx="4826000" cy="2486025"/>
            <wp:effectExtent l="4445" t="4445" r="8255" b="508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24719D">
      <w:pPr>
        <w:spacing w:line="600" w:lineRule="exact"/>
        <w:ind w:firstLine="640" w:firstLineChars="200"/>
        <w:outlineLvl w:val="1"/>
        <w:rPr>
          <w:rStyle w:val="29"/>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8"/>
      <w:bookmarkEnd w:id="29"/>
    </w:p>
    <w:p w14:paraId="06AB1097">
      <w:pPr>
        <w:spacing w:line="600" w:lineRule="exact"/>
        <w:ind w:firstLine="640"/>
        <w:rPr>
          <w:rFonts w:hint="eastAsia" w:ascii="仿宋" w:hAnsi="仿宋" w:eastAsia="仿宋"/>
          <w:sz w:val="32"/>
          <w:szCs w:val="32"/>
        </w:rPr>
        <w:sectPr>
          <w:footerReference r:id="rId12" w:type="first"/>
          <w:footerReference r:id="rId11" w:type="default"/>
          <w:pgSz w:w="11906" w:h="16838"/>
          <w:pgMar w:top="1440" w:right="1800" w:bottom="1440" w:left="1800" w:header="851" w:footer="992" w:gutter="0"/>
          <w:pgNumType w:fmt="decimal"/>
          <w:cols w:space="425" w:num="1"/>
          <w:titlePg/>
          <w:docGrid w:type="lines" w:linePitch="312" w:charSpace="0"/>
        </w:sectPr>
      </w:pPr>
    </w:p>
    <w:p w14:paraId="06DCBA87">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w:t>
      </w:r>
      <w:r>
        <w:rPr>
          <w:rFonts w:hint="eastAsia" w:ascii="仿宋" w:hAnsi="仿宋" w:eastAsia="仿宋"/>
          <w:b w:val="0"/>
          <w:bCs w:val="0"/>
          <w:sz w:val="32"/>
          <w:szCs w:val="32"/>
        </w:rPr>
        <w:t>均为</w:t>
      </w:r>
      <w:r>
        <w:rPr>
          <w:rFonts w:ascii="仿宋" w:hAnsi="仿宋" w:eastAsia="仿宋"/>
          <w:b w:val="0"/>
          <w:bCs w:val="0"/>
          <w:sz w:val="32"/>
          <w:szCs w:val="32"/>
        </w:rPr>
        <w:t>800.4</w:t>
      </w:r>
      <w:r>
        <w:rPr>
          <w:rFonts w:hint="eastAsia" w:ascii="仿宋" w:hAnsi="仿宋" w:eastAsia="仿宋"/>
          <w:b w:val="0"/>
          <w:bCs w:val="0"/>
          <w:sz w:val="32"/>
          <w:szCs w:val="32"/>
        </w:rPr>
        <w:t>万</w:t>
      </w:r>
      <w:r>
        <w:rPr>
          <w:rFonts w:hint="eastAsia" w:ascii="仿宋" w:hAnsi="仿宋" w:eastAsia="仿宋"/>
          <w:sz w:val="32"/>
          <w:szCs w:val="32"/>
        </w:rPr>
        <w:t>元。与2022年度相比，财政拨款收、支总计各增加</w:t>
      </w:r>
      <w:r>
        <w:rPr>
          <w:rFonts w:hint="eastAsia" w:ascii="仿宋" w:hAnsi="仿宋" w:eastAsia="仿宋"/>
          <w:sz w:val="32"/>
          <w:szCs w:val="32"/>
          <w:lang w:val="en-US" w:eastAsia="zh-CN"/>
        </w:rPr>
        <w:t>76.2</w:t>
      </w:r>
      <w:r>
        <w:rPr>
          <w:rFonts w:hint="eastAsia" w:ascii="仿宋" w:hAnsi="仿宋" w:eastAsia="仿宋"/>
          <w:sz w:val="32"/>
          <w:szCs w:val="32"/>
        </w:rPr>
        <w:t>万元，增长</w:t>
      </w:r>
      <w:r>
        <w:rPr>
          <w:rFonts w:hint="eastAsia" w:ascii="仿宋" w:hAnsi="仿宋" w:eastAsia="仿宋"/>
          <w:sz w:val="32"/>
          <w:szCs w:val="32"/>
          <w:lang w:val="en-US" w:eastAsia="zh-CN"/>
        </w:rPr>
        <w:t>10.52</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_GB2312" w:cs="Times New Roman"/>
          <w:color w:val="auto"/>
          <w:sz w:val="32"/>
          <w:szCs w:val="32"/>
          <w:lang w:val="en-US" w:eastAsia="zh-CN"/>
        </w:rPr>
        <w:t>基本公共卫生服务项目</w:t>
      </w:r>
      <w:r>
        <w:rPr>
          <w:rFonts w:hint="eastAsia" w:ascii="Times New Roman" w:hAnsi="Times New Roman" w:eastAsia="仿宋_GB2312" w:cs="Times New Roman"/>
          <w:color w:val="auto"/>
          <w:sz w:val="32"/>
          <w:szCs w:val="32"/>
          <w:lang w:val="en-US" w:eastAsia="zh-CN"/>
        </w:rPr>
        <w:t>及基本药物补助</w:t>
      </w:r>
      <w:r>
        <w:rPr>
          <w:rFonts w:hint="default" w:ascii="Times New Roman" w:hAnsi="Times New Roman" w:eastAsia="仿宋_GB2312" w:cs="Times New Roman"/>
          <w:color w:val="auto"/>
          <w:sz w:val="32"/>
          <w:szCs w:val="32"/>
          <w:lang w:val="en-US" w:eastAsia="zh-CN"/>
        </w:rPr>
        <w:t>财政拨款</w:t>
      </w:r>
      <w:r>
        <w:rPr>
          <w:rFonts w:hint="eastAsia" w:ascii="Times New Roman" w:hAnsi="Times New Roman" w:eastAsia="仿宋_GB2312" w:cs="Times New Roman"/>
          <w:color w:val="auto"/>
          <w:sz w:val="32"/>
          <w:szCs w:val="32"/>
          <w:lang w:val="en-US" w:eastAsia="zh-CN"/>
        </w:rPr>
        <w:t>增加，以及职工工资薪酬等增加。</w:t>
      </w:r>
    </w:p>
    <w:p w14:paraId="48E5D094">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14:paraId="1C1F6B1B">
      <w:pPr>
        <w:pStyle w:val="2"/>
        <w:rPr>
          <w:rFonts w:ascii="仿宋" w:hAnsi="仿宋" w:eastAsia="仿宋"/>
          <w:b/>
          <w:sz w:val="32"/>
          <w:szCs w:val="32"/>
        </w:rPr>
      </w:pPr>
      <w:r>
        <w:drawing>
          <wp:inline distT="0" distB="0" distL="114300" distR="114300">
            <wp:extent cx="5016500" cy="274320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612BD7">
      <w:pPr>
        <w:spacing w:line="600" w:lineRule="exact"/>
        <w:ind w:firstLine="640" w:firstLineChars="200"/>
        <w:outlineLvl w:val="1"/>
        <w:rPr>
          <w:rStyle w:val="29"/>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0"/>
      <w:bookmarkEnd w:id="31"/>
    </w:p>
    <w:p w14:paraId="0F6B6DFA">
      <w:pPr>
        <w:spacing w:line="600" w:lineRule="exact"/>
        <w:ind w:firstLine="643" w:firstLineChars="200"/>
        <w:outlineLvl w:val="2"/>
        <w:rPr>
          <w:rFonts w:hint="eastAsia" w:ascii="楷体" w:hAnsi="楷体" w:eastAsia="楷体" w:cs="楷体"/>
          <w:b/>
          <w:sz w:val="32"/>
          <w:szCs w:val="32"/>
        </w:rPr>
      </w:pPr>
      <w:bookmarkStart w:id="32" w:name="_Toc15377210"/>
      <w:r>
        <w:rPr>
          <w:rFonts w:hint="eastAsia" w:ascii="楷体" w:hAnsi="楷体" w:eastAsia="楷体" w:cs="楷体"/>
          <w:b/>
          <w:sz w:val="32"/>
          <w:szCs w:val="32"/>
        </w:rPr>
        <w:t>（一）一般公共预算财政拨款支出决算总体情况</w:t>
      </w:r>
      <w:bookmarkEnd w:id="32"/>
    </w:p>
    <w:p w14:paraId="2855AF47">
      <w:pPr>
        <w:spacing w:line="600" w:lineRule="exact"/>
        <w:ind w:firstLine="640" w:firstLineChars="200"/>
        <w:rPr>
          <w:rFonts w:hint="eastAsia" w:ascii="仿宋" w:hAnsi="仿宋" w:eastAsia="仿宋_GB2312"/>
          <w:sz w:val="32"/>
          <w:szCs w:val="32"/>
          <w:lang w:val="en-US" w:eastAsia="zh-CN"/>
        </w:rPr>
      </w:pPr>
      <w:r>
        <w:rPr>
          <w:rFonts w:hint="eastAsia" w:ascii="仿宋" w:hAnsi="仿宋" w:eastAsia="仿宋"/>
          <w:sz w:val="32"/>
          <w:szCs w:val="32"/>
        </w:rPr>
        <w:t>2023年度一般公共预算财政拨款支</w:t>
      </w:r>
      <w:r>
        <w:rPr>
          <w:rFonts w:hint="eastAsia" w:ascii="仿宋" w:hAnsi="仿宋" w:eastAsia="仿宋"/>
          <w:b w:val="0"/>
          <w:bCs w:val="0"/>
          <w:sz w:val="32"/>
          <w:szCs w:val="32"/>
        </w:rPr>
        <w:t>出</w:t>
      </w:r>
      <w:r>
        <w:rPr>
          <w:rFonts w:ascii="仿宋" w:hAnsi="仿宋" w:eastAsia="仿宋"/>
          <w:b w:val="0"/>
          <w:bCs w:val="0"/>
          <w:sz w:val="32"/>
          <w:szCs w:val="32"/>
        </w:rPr>
        <w:t>800.4</w:t>
      </w:r>
      <w:r>
        <w:rPr>
          <w:rFonts w:hint="eastAsia" w:ascii="仿宋" w:hAnsi="仿宋" w:eastAsia="仿宋"/>
          <w:b w:val="0"/>
          <w:bCs w:val="0"/>
          <w:sz w:val="32"/>
          <w:szCs w:val="32"/>
        </w:rPr>
        <w:t>万元，占本年支出合计的</w:t>
      </w:r>
      <w:r>
        <w:rPr>
          <w:rFonts w:ascii="仿宋" w:hAnsi="仿宋" w:eastAsia="仿宋"/>
          <w:b w:val="0"/>
          <w:bCs w:val="0"/>
          <w:sz w:val="32"/>
          <w:szCs w:val="32"/>
        </w:rPr>
        <w:t>85.15%</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76.2</w:t>
      </w:r>
      <w:r>
        <w:rPr>
          <w:rFonts w:hint="eastAsia" w:ascii="仿宋" w:hAnsi="仿宋" w:eastAsia="仿宋"/>
          <w:sz w:val="32"/>
          <w:szCs w:val="32"/>
        </w:rPr>
        <w:t>万元，增长</w:t>
      </w:r>
      <w:r>
        <w:rPr>
          <w:rFonts w:hint="eastAsia" w:ascii="仿宋" w:hAnsi="仿宋" w:eastAsia="仿宋"/>
          <w:sz w:val="32"/>
          <w:szCs w:val="32"/>
          <w:lang w:val="en-US" w:eastAsia="zh-CN"/>
        </w:rPr>
        <w:t>10.52</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_GB2312" w:cs="Times New Roman"/>
          <w:color w:val="auto"/>
          <w:sz w:val="32"/>
          <w:szCs w:val="32"/>
          <w:lang w:val="en-US" w:eastAsia="zh-CN"/>
        </w:rPr>
        <w:t>基本公共卫生服务项目</w:t>
      </w:r>
      <w:r>
        <w:rPr>
          <w:rFonts w:hint="eastAsia" w:ascii="Times New Roman" w:hAnsi="Times New Roman" w:eastAsia="仿宋_GB2312" w:cs="Times New Roman"/>
          <w:color w:val="auto"/>
          <w:sz w:val="32"/>
          <w:szCs w:val="32"/>
          <w:lang w:val="en-US" w:eastAsia="zh-CN"/>
        </w:rPr>
        <w:t>及基本药物补助</w:t>
      </w:r>
      <w:r>
        <w:rPr>
          <w:rFonts w:hint="default" w:ascii="Times New Roman" w:hAnsi="Times New Roman" w:eastAsia="仿宋_GB2312" w:cs="Times New Roman"/>
          <w:color w:val="auto"/>
          <w:sz w:val="32"/>
          <w:szCs w:val="32"/>
          <w:lang w:val="en-US" w:eastAsia="zh-CN"/>
        </w:rPr>
        <w:t>财政拨款</w:t>
      </w:r>
      <w:r>
        <w:rPr>
          <w:rFonts w:hint="eastAsia" w:ascii="Times New Roman" w:hAnsi="Times New Roman" w:eastAsia="仿宋_GB2312" w:cs="Times New Roman"/>
          <w:color w:val="auto"/>
          <w:sz w:val="32"/>
          <w:szCs w:val="32"/>
          <w:lang w:val="en-US" w:eastAsia="zh-CN"/>
        </w:rPr>
        <w:t>增加，以及职工工资薪酬等增加。</w:t>
      </w:r>
    </w:p>
    <w:p w14:paraId="1536CB82">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759C6C99">
      <w:pPr>
        <w:pStyle w:val="2"/>
        <w:sectPr>
          <w:footerReference r:id="rId14" w:type="first"/>
          <w:footerReference r:id="rId13" w:type="default"/>
          <w:pgSz w:w="11906" w:h="16838"/>
          <w:pgMar w:top="1440" w:right="1800" w:bottom="1440" w:left="1800" w:header="851" w:footer="992" w:gutter="0"/>
          <w:pgNumType w:fmt="decimal"/>
          <w:cols w:space="425" w:num="1"/>
          <w:docGrid w:type="lines" w:linePitch="312" w:charSpace="0"/>
        </w:sectPr>
      </w:pPr>
    </w:p>
    <w:p w14:paraId="594FA8EF">
      <w:pPr>
        <w:pStyle w:val="2"/>
        <w:rPr>
          <w:rFonts w:ascii="仿宋" w:hAnsi="仿宋" w:eastAsia="仿宋"/>
          <w:sz w:val="32"/>
          <w:szCs w:val="32"/>
        </w:rPr>
      </w:pPr>
      <w:r>
        <w:drawing>
          <wp:inline distT="0" distB="0" distL="114300" distR="114300">
            <wp:extent cx="4892675" cy="2754630"/>
            <wp:effectExtent l="4445" t="4445" r="17780" b="222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30EA697">
      <w:pPr>
        <w:spacing w:line="600" w:lineRule="exact"/>
        <w:ind w:firstLine="643" w:firstLineChars="200"/>
        <w:outlineLvl w:val="2"/>
        <w:rPr>
          <w:rFonts w:hint="eastAsia" w:ascii="楷体" w:hAnsi="楷体" w:eastAsia="楷体" w:cs="楷体"/>
          <w:b/>
          <w:sz w:val="32"/>
          <w:szCs w:val="32"/>
        </w:rPr>
      </w:pPr>
      <w:bookmarkStart w:id="33" w:name="_Toc15377211"/>
      <w:r>
        <w:rPr>
          <w:rFonts w:hint="eastAsia" w:ascii="楷体" w:hAnsi="楷体" w:eastAsia="楷体" w:cs="楷体"/>
          <w:b/>
          <w:sz w:val="32"/>
          <w:szCs w:val="32"/>
        </w:rPr>
        <w:t>（二）一般公共预算财政拨款支出决算结构情况</w:t>
      </w:r>
      <w:bookmarkEnd w:id="33"/>
    </w:p>
    <w:p w14:paraId="03FD7D7B">
      <w:pPr>
        <w:spacing w:line="600" w:lineRule="exact"/>
        <w:ind w:firstLine="640"/>
        <w:rPr>
          <w:rFonts w:hint="eastAsia" w:ascii="仿宋" w:hAnsi="仿宋" w:eastAsia="仿宋"/>
          <w:b w:val="0"/>
          <w:bCs w:val="0"/>
          <w:sz w:val="32"/>
          <w:szCs w:val="32"/>
          <w:lang w:val="en-US" w:eastAsia="zh-CN"/>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800.4</w:t>
      </w:r>
      <w:r>
        <w:rPr>
          <w:rFonts w:hint="eastAsia" w:ascii="仿宋" w:hAnsi="仿宋" w:eastAsia="仿宋"/>
          <w:b w:val="0"/>
          <w:bCs w:val="0"/>
          <w:sz w:val="32"/>
          <w:szCs w:val="32"/>
        </w:rPr>
        <w:t>万元，主要用于以下方面</w:t>
      </w:r>
      <w:r>
        <w:rPr>
          <w:rFonts w:ascii="仿宋" w:hAnsi="仿宋" w:eastAsia="仿宋"/>
          <w:b w:val="0"/>
          <w:bCs w:val="0"/>
          <w:sz w:val="32"/>
          <w:szCs w:val="32"/>
        </w:rPr>
        <w:t>:</w:t>
      </w:r>
      <w:r>
        <w:rPr>
          <w:rFonts w:hint="default" w:ascii="Times New Roman" w:hAnsi="Times New Roman" w:eastAsia="仿宋_GB2312" w:cs="Times New Roman"/>
          <w:b w:val="0"/>
          <w:bCs w:val="0"/>
          <w:color w:val="auto"/>
          <w:sz w:val="32"/>
          <w:szCs w:val="32"/>
        </w:rPr>
        <w:t>社会保障和就业支出</w:t>
      </w:r>
      <w:r>
        <w:rPr>
          <w:rFonts w:hint="eastAsia" w:ascii="仿宋" w:hAnsi="仿宋" w:eastAsia="仿宋"/>
          <w:b w:val="0"/>
          <w:bCs w:val="0"/>
          <w:sz w:val="32"/>
          <w:szCs w:val="32"/>
          <w:lang w:val="en-US" w:eastAsia="zh-CN"/>
        </w:rPr>
        <w:t>88.37</w:t>
      </w:r>
      <w:r>
        <w:rPr>
          <w:rFonts w:hint="default" w:ascii="Times New Roman" w:hAnsi="Times New Roman" w:eastAsia="仿宋_GB2312" w:cs="Times New Roman"/>
          <w:b w:val="0"/>
          <w:bCs w:val="0"/>
          <w:color w:val="auto"/>
          <w:sz w:val="32"/>
          <w:szCs w:val="32"/>
        </w:rPr>
        <w:t>万元，占</w:t>
      </w:r>
      <w:r>
        <w:rPr>
          <w:rFonts w:hint="eastAsia" w:ascii="仿宋" w:hAnsi="仿宋" w:eastAsia="仿宋"/>
          <w:b w:val="0"/>
          <w:bCs w:val="0"/>
          <w:sz w:val="32"/>
          <w:szCs w:val="32"/>
          <w:lang w:val="en-US" w:eastAsia="zh-CN"/>
        </w:rPr>
        <w:t>11.04</w:t>
      </w:r>
      <w:r>
        <w:rPr>
          <w:rFonts w:hint="default" w:ascii="仿宋" w:hAnsi="仿宋" w:eastAsia="仿宋"/>
          <w:b w:val="0"/>
          <w:bCs w:val="0"/>
          <w:sz w:val="32"/>
          <w:szCs w:val="32"/>
          <w:lang w:val="en-US" w:eastAsia="zh-CN"/>
        </w:rPr>
        <w:t>%；</w:t>
      </w:r>
      <w:r>
        <w:rPr>
          <w:rFonts w:hint="default" w:ascii="Times New Roman" w:hAnsi="Times New Roman" w:eastAsia="仿宋_GB2312" w:cs="Times New Roman"/>
          <w:b w:val="0"/>
          <w:bCs w:val="0"/>
          <w:color w:val="auto"/>
          <w:sz w:val="32"/>
          <w:szCs w:val="32"/>
        </w:rPr>
        <w:t>卫生健康支出</w:t>
      </w:r>
      <w:r>
        <w:rPr>
          <w:rFonts w:hint="eastAsia" w:ascii="仿宋" w:hAnsi="仿宋" w:eastAsia="仿宋"/>
          <w:b w:val="0"/>
          <w:bCs w:val="0"/>
          <w:sz w:val="32"/>
          <w:szCs w:val="32"/>
          <w:lang w:val="en-US" w:eastAsia="zh-CN"/>
        </w:rPr>
        <w:t>673.85</w:t>
      </w:r>
      <w:r>
        <w:rPr>
          <w:rFonts w:hint="default" w:ascii="Times New Roman" w:hAnsi="Times New Roman" w:eastAsia="仿宋_GB2312" w:cs="Times New Roman"/>
          <w:b w:val="0"/>
          <w:bCs w:val="0"/>
          <w:color w:val="auto"/>
          <w:sz w:val="32"/>
          <w:szCs w:val="32"/>
        </w:rPr>
        <w:t>万元，占</w:t>
      </w:r>
      <w:r>
        <w:rPr>
          <w:rFonts w:hint="eastAsia" w:ascii="仿宋" w:hAnsi="仿宋" w:eastAsia="仿宋"/>
          <w:b w:val="0"/>
          <w:bCs w:val="0"/>
          <w:sz w:val="32"/>
          <w:szCs w:val="32"/>
          <w:lang w:val="en-US" w:eastAsia="zh-CN"/>
        </w:rPr>
        <w:t>84.19</w:t>
      </w:r>
      <w:r>
        <w:rPr>
          <w:rFonts w:hint="default" w:ascii="仿宋" w:hAnsi="仿宋" w:eastAsia="仿宋"/>
          <w:b w:val="0"/>
          <w:bCs w:val="0"/>
          <w:sz w:val="32"/>
          <w:szCs w:val="32"/>
          <w:lang w:val="en-US" w:eastAsia="zh-CN"/>
        </w:rPr>
        <w:t>%</w:t>
      </w:r>
      <w:r>
        <w:rPr>
          <w:rFonts w:hint="default" w:ascii="Times New Roman" w:hAnsi="Times New Roman" w:eastAsia="仿宋_GB2312" w:cs="Times New Roman"/>
          <w:b w:val="0"/>
          <w:bCs w:val="0"/>
          <w:color w:val="auto"/>
          <w:sz w:val="32"/>
          <w:szCs w:val="32"/>
        </w:rPr>
        <w:t>；住房保障支出</w:t>
      </w:r>
      <w:r>
        <w:rPr>
          <w:rFonts w:hint="eastAsia" w:ascii="仿宋" w:hAnsi="仿宋" w:eastAsia="仿宋"/>
          <w:b w:val="0"/>
          <w:bCs w:val="0"/>
          <w:sz w:val="32"/>
          <w:szCs w:val="32"/>
          <w:lang w:val="en-US" w:eastAsia="zh-CN"/>
        </w:rPr>
        <w:t>33.18</w:t>
      </w:r>
      <w:r>
        <w:rPr>
          <w:rFonts w:hint="default" w:ascii="Times New Roman" w:hAnsi="Times New Roman" w:eastAsia="仿宋_GB2312" w:cs="Times New Roman"/>
          <w:b w:val="0"/>
          <w:bCs w:val="0"/>
          <w:color w:val="auto"/>
          <w:sz w:val="32"/>
          <w:szCs w:val="32"/>
        </w:rPr>
        <w:t>万元，</w:t>
      </w:r>
      <w:r>
        <w:rPr>
          <w:rFonts w:hint="default" w:ascii="仿宋" w:hAnsi="仿宋" w:eastAsia="仿宋"/>
          <w:b w:val="0"/>
          <w:bCs w:val="0"/>
          <w:sz w:val="32"/>
          <w:szCs w:val="32"/>
          <w:lang w:val="en-US" w:eastAsia="zh-CN"/>
        </w:rPr>
        <w:t>占4.7</w:t>
      </w:r>
      <w:r>
        <w:rPr>
          <w:rFonts w:hint="eastAsia" w:ascii="仿宋" w:hAnsi="仿宋" w:eastAsia="仿宋"/>
          <w:b w:val="0"/>
          <w:bCs w:val="0"/>
          <w:sz w:val="32"/>
          <w:szCs w:val="32"/>
          <w:lang w:val="en-US" w:eastAsia="zh-CN"/>
        </w:rPr>
        <w:t>7</w:t>
      </w:r>
      <w:r>
        <w:rPr>
          <w:rFonts w:hint="default" w:ascii="仿宋" w:hAnsi="仿宋" w:eastAsia="仿宋"/>
          <w:b w:val="0"/>
          <w:bCs w:val="0"/>
          <w:sz w:val="32"/>
          <w:szCs w:val="32"/>
          <w:lang w:val="en-US" w:eastAsia="zh-CN"/>
        </w:rPr>
        <w:t>%</w:t>
      </w:r>
      <w:r>
        <w:rPr>
          <w:rFonts w:hint="eastAsia" w:ascii="仿宋" w:hAnsi="仿宋" w:eastAsia="仿宋"/>
          <w:b w:val="0"/>
          <w:bCs w:val="0"/>
          <w:sz w:val="32"/>
          <w:szCs w:val="32"/>
          <w:lang w:val="en-US" w:eastAsia="zh-CN"/>
        </w:rPr>
        <w:t>。</w:t>
      </w:r>
    </w:p>
    <w:p w14:paraId="733011B3">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66FE5599">
      <w:pPr>
        <w:pStyle w:val="2"/>
        <w:rPr>
          <w:rFonts w:ascii="仿宋" w:hAnsi="仿宋" w:eastAsia="仿宋"/>
          <w:sz w:val="32"/>
          <w:szCs w:val="32"/>
        </w:rPr>
      </w:pPr>
      <w:r>
        <w:drawing>
          <wp:inline distT="0" distB="0" distL="114300" distR="114300">
            <wp:extent cx="4826000" cy="2574290"/>
            <wp:effectExtent l="4445" t="4445" r="8255" b="1206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5393FB6">
      <w:pPr>
        <w:spacing w:line="600" w:lineRule="exact"/>
        <w:ind w:firstLine="643" w:firstLineChars="200"/>
        <w:outlineLvl w:val="2"/>
        <w:rPr>
          <w:rFonts w:hint="eastAsia" w:ascii="楷体" w:hAnsi="楷体" w:eastAsia="楷体" w:cs="楷体"/>
          <w:b/>
          <w:sz w:val="32"/>
          <w:szCs w:val="32"/>
        </w:rPr>
      </w:pPr>
      <w:bookmarkStart w:id="34" w:name="_Toc15377212"/>
      <w:r>
        <w:rPr>
          <w:rFonts w:hint="eastAsia" w:ascii="楷体" w:hAnsi="楷体" w:eastAsia="楷体" w:cs="楷体"/>
          <w:b/>
          <w:sz w:val="32"/>
          <w:szCs w:val="32"/>
        </w:rPr>
        <w:t>（三）一般公共预算财政拨款支出决算具体情况</w:t>
      </w:r>
      <w:bookmarkEnd w:id="34"/>
    </w:p>
    <w:p w14:paraId="37436539">
      <w:pPr>
        <w:spacing w:line="600" w:lineRule="exact"/>
        <w:ind w:firstLine="640" w:firstLineChars="200"/>
        <w:outlineLvl w:val="2"/>
        <w:rPr>
          <w:rFonts w:hint="eastAsia" w:ascii="仿宋" w:hAnsi="仿宋" w:eastAsia="仿宋"/>
          <w:b w:val="0"/>
          <w:bCs/>
          <w:sz w:val="32"/>
          <w:szCs w:val="32"/>
        </w:rPr>
        <w:sectPr>
          <w:footerReference r:id="rId15" w:type="default"/>
          <w:pgSz w:w="11906" w:h="16838"/>
          <w:pgMar w:top="1440" w:right="1800" w:bottom="1440" w:left="1800" w:header="851" w:footer="992" w:gutter="0"/>
          <w:pgNumType w:fmt="decimal"/>
          <w:cols w:space="425" w:num="1"/>
          <w:docGrid w:type="lines" w:linePitch="312" w:charSpace="0"/>
        </w:sectPr>
      </w:pPr>
      <w:bookmarkStart w:id="35" w:name="_Toc15378460"/>
      <w:bookmarkStart w:id="36" w:name="_Toc15377213"/>
      <w:bookmarkStart w:id="37" w:name="_Toc15377444"/>
    </w:p>
    <w:p w14:paraId="050C02C3">
      <w:pPr>
        <w:spacing w:line="600" w:lineRule="exact"/>
        <w:ind w:firstLine="640" w:firstLineChars="200"/>
        <w:outlineLvl w:val="2"/>
        <w:rPr>
          <w:rFonts w:ascii="仿宋" w:hAnsi="仿宋" w:eastAsia="仿宋"/>
          <w:sz w:val="32"/>
          <w:szCs w:val="32"/>
        </w:rPr>
      </w:pPr>
      <w:r>
        <w:rPr>
          <w:rFonts w:hint="eastAsia" w:ascii="仿宋" w:hAnsi="仿宋" w:eastAsia="仿宋"/>
          <w:b w:val="0"/>
          <w:bCs/>
          <w:sz w:val="32"/>
          <w:szCs w:val="32"/>
        </w:rPr>
        <w:t>2023年度一般公共预算支出决算数为</w:t>
      </w:r>
      <w:r>
        <w:rPr>
          <w:rFonts w:ascii="仿宋" w:hAnsi="仿宋" w:eastAsia="仿宋"/>
          <w:b w:val="0"/>
          <w:bCs/>
          <w:sz w:val="32"/>
          <w:szCs w:val="32"/>
        </w:rPr>
        <w:t>800.4</w:t>
      </w:r>
      <w:r>
        <w:rPr>
          <w:rFonts w:hint="eastAsia" w:ascii="仿宋" w:hAnsi="仿宋" w:eastAsia="仿宋"/>
          <w:b w:val="0"/>
          <w:bCs/>
          <w:sz w:val="32"/>
          <w:szCs w:val="32"/>
          <w:lang w:eastAsia="zh-CN"/>
        </w:rPr>
        <w:t>万元</w:t>
      </w:r>
      <w:bookmarkStart w:id="71" w:name="_GoBack"/>
      <w:bookmarkEnd w:id="71"/>
      <w:r>
        <w:rPr>
          <w:rFonts w:hint="eastAsia" w:ascii="仿宋" w:hAnsi="仿宋" w:eastAsia="仿宋"/>
          <w:b w:val="0"/>
          <w:bCs/>
          <w:sz w:val="32"/>
          <w:szCs w:val="32"/>
        </w:rPr>
        <w:t>，</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。其中：</w:t>
      </w:r>
      <w:bookmarkEnd w:id="35"/>
      <w:bookmarkEnd w:id="36"/>
      <w:bookmarkEnd w:id="37"/>
    </w:p>
    <w:p w14:paraId="447CB3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Style w:val="17"/>
          <w:rFonts w:hint="default" w:ascii="Times New Roman" w:hAnsi="Times New Roman" w:eastAsia="仿宋_GB2312" w:cs="Times New Roman"/>
          <w:b w:val="0"/>
          <w:bCs/>
          <w:color w:val="auto"/>
          <w:sz w:val="32"/>
          <w:szCs w:val="32"/>
          <w:lang w:val="en-US" w:eastAsia="zh-CN"/>
        </w:rPr>
        <w:t>1</w:t>
      </w:r>
      <w:r>
        <w:rPr>
          <w:rStyle w:val="17"/>
          <w:rFonts w:hint="eastAsia" w:eastAsia="仿宋_GB2312" w:cs="Times New Roman"/>
          <w:b w:val="0"/>
          <w:bCs/>
          <w:color w:val="auto"/>
          <w:sz w:val="32"/>
          <w:szCs w:val="32"/>
          <w:lang w:val="en-US" w:eastAsia="zh-CN"/>
        </w:rPr>
        <w:t>.</w:t>
      </w:r>
      <w:r>
        <w:rPr>
          <w:rStyle w:val="17"/>
          <w:rFonts w:hint="default" w:ascii="Times New Roman" w:hAnsi="Times New Roman" w:eastAsia="仿宋_GB2312" w:cs="Times New Roman"/>
          <w:b w:val="0"/>
          <w:bCs/>
          <w:color w:val="auto"/>
          <w:sz w:val="32"/>
          <w:szCs w:val="32"/>
        </w:rPr>
        <w:t>社会保障和就业支出（类）行政事业单位养老支出（款）机关事业单位基本养老保险缴费支出（项）:支出决算为</w:t>
      </w:r>
      <w:r>
        <w:rPr>
          <w:rFonts w:hint="eastAsia" w:ascii="仿宋" w:hAnsi="仿宋" w:eastAsia="仿宋"/>
          <w:b w:val="0"/>
          <w:bCs w:val="0"/>
          <w:sz w:val="32"/>
          <w:szCs w:val="32"/>
          <w:lang w:val="en-US" w:eastAsia="zh-CN"/>
        </w:rPr>
        <w:t>49.65</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b w:val="0"/>
          <w:bCs w:val="0"/>
          <w:sz w:val="32"/>
          <w:szCs w:val="32"/>
          <w:lang w:val="en-US" w:eastAsia="zh-CN"/>
        </w:rPr>
        <w:t>100%，</w:t>
      </w:r>
      <w:r>
        <w:rPr>
          <w:rStyle w:val="17"/>
          <w:rFonts w:hint="default" w:ascii="Times New Roman" w:hAnsi="Times New Roman" w:eastAsia="仿宋_GB2312" w:cs="Times New Roman"/>
          <w:b w:val="0"/>
          <w:bCs/>
          <w:color w:val="auto"/>
          <w:sz w:val="32"/>
          <w:szCs w:val="32"/>
        </w:rPr>
        <w:t>决算数等于预算数。</w:t>
      </w:r>
    </w:p>
    <w:p w14:paraId="42671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社会保障和就业支出（类）行政事业单位养老支出（款）事业单位</w:t>
      </w:r>
      <w:r>
        <w:rPr>
          <w:rFonts w:hint="default" w:ascii="Times New Roman" w:hAnsi="Times New Roman" w:eastAsia="仿宋_GB2312" w:cs="Times New Roman"/>
          <w:color w:val="auto"/>
          <w:sz w:val="32"/>
          <w:szCs w:val="32"/>
          <w:lang w:eastAsia="zh-CN"/>
        </w:rPr>
        <w:t>离退休</w:t>
      </w:r>
      <w:r>
        <w:rPr>
          <w:rFonts w:hint="default" w:ascii="Times New Roman" w:hAnsi="Times New Roman" w:eastAsia="仿宋_GB2312" w:cs="Times New Roman"/>
          <w:color w:val="auto"/>
          <w:sz w:val="32"/>
          <w:szCs w:val="32"/>
        </w:rPr>
        <w:t>（项）：</w:t>
      </w:r>
      <w:r>
        <w:rPr>
          <w:rStyle w:val="17"/>
          <w:rFonts w:hint="default" w:ascii="Times New Roman" w:hAnsi="Times New Roman" w:eastAsia="仿宋_GB2312" w:cs="Times New Roman"/>
          <w:b w:val="0"/>
          <w:bCs/>
          <w:color w:val="auto"/>
          <w:sz w:val="32"/>
          <w:szCs w:val="32"/>
        </w:rPr>
        <w:t>支出决算为</w:t>
      </w:r>
      <w:r>
        <w:rPr>
          <w:rFonts w:hint="eastAsia" w:ascii="仿宋" w:hAnsi="仿宋" w:eastAsia="仿宋"/>
          <w:b w:val="0"/>
          <w:bCs w:val="0"/>
          <w:sz w:val="32"/>
          <w:szCs w:val="32"/>
          <w:lang w:val="en-US" w:eastAsia="zh-CN"/>
        </w:rPr>
        <w:t>23.84</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b w:val="0"/>
          <w:bCs w:val="0"/>
          <w:sz w:val="32"/>
          <w:szCs w:val="32"/>
          <w:lang w:val="en-US" w:eastAsia="zh-CN"/>
        </w:rPr>
        <w:t>100%，</w:t>
      </w:r>
      <w:r>
        <w:rPr>
          <w:rStyle w:val="17"/>
          <w:rFonts w:hint="default" w:ascii="Times New Roman" w:hAnsi="Times New Roman" w:eastAsia="仿宋_GB2312" w:cs="Times New Roman"/>
          <w:b w:val="0"/>
          <w:bCs/>
          <w:color w:val="auto"/>
          <w:sz w:val="32"/>
          <w:szCs w:val="32"/>
        </w:rPr>
        <w:t>决算数等于预算数。</w:t>
      </w:r>
    </w:p>
    <w:p w14:paraId="3BAB925B">
      <w:pPr>
        <w:pStyle w:val="2"/>
        <w:rPr>
          <w:rFonts w:hint="eastAsia" w:eastAsia="仿宋_GB2312"/>
          <w:lang w:val="en-US" w:eastAsia="zh-CN"/>
        </w:rPr>
      </w:pPr>
      <w:r>
        <w:rPr>
          <w:rFonts w:hint="eastAsia" w:ascii="Times New Roman" w:hAnsi="Times New Roman" w:eastAsia="仿宋_GB2312" w:cs="Times New Roman"/>
          <w:color w:val="auto"/>
          <w:kern w:val="2"/>
          <w:sz w:val="32"/>
          <w:szCs w:val="32"/>
          <w:lang w:val="en-US" w:eastAsia="zh-CN" w:bidi="ar-SA"/>
        </w:rPr>
        <w:t xml:space="preserve">    3.</w:t>
      </w:r>
      <w:r>
        <w:rPr>
          <w:rStyle w:val="17"/>
          <w:rFonts w:hint="default" w:ascii="Times New Roman" w:hAnsi="Times New Roman" w:eastAsia="仿宋_GB2312" w:cs="Times New Roman"/>
          <w:b w:val="0"/>
          <w:bCs/>
          <w:color w:val="auto"/>
          <w:sz w:val="32"/>
          <w:szCs w:val="32"/>
        </w:rPr>
        <w:t>社会保障和就业支出（类）行政事业单位养老支出（款）机关事业单位</w:t>
      </w:r>
      <w:r>
        <w:rPr>
          <w:rStyle w:val="17"/>
          <w:rFonts w:hint="eastAsia" w:ascii="Times New Roman" w:cs="Times New Roman"/>
          <w:b w:val="0"/>
          <w:bCs/>
          <w:color w:val="auto"/>
          <w:sz w:val="32"/>
          <w:szCs w:val="32"/>
          <w:lang w:eastAsia="zh-CN"/>
        </w:rPr>
        <w:t>职业年金</w:t>
      </w:r>
      <w:r>
        <w:rPr>
          <w:rStyle w:val="17"/>
          <w:rFonts w:hint="default" w:ascii="Times New Roman" w:hAnsi="Times New Roman" w:eastAsia="仿宋_GB2312" w:cs="Times New Roman"/>
          <w:b w:val="0"/>
          <w:bCs/>
          <w:color w:val="auto"/>
          <w:sz w:val="32"/>
          <w:szCs w:val="32"/>
        </w:rPr>
        <w:t>缴费支出（项）:支出决算为</w:t>
      </w:r>
      <w:r>
        <w:rPr>
          <w:rFonts w:hint="eastAsia" w:ascii="仿宋" w:hAnsi="仿宋" w:eastAsia="仿宋" w:cs="Times New Roman"/>
          <w:b w:val="0"/>
          <w:bCs w:val="0"/>
          <w:kern w:val="2"/>
          <w:sz w:val="32"/>
          <w:szCs w:val="32"/>
          <w:lang w:val="en-US" w:eastAsia="zh-CN" w:bidi="ar-SA"/>
        </w:rPr>
        <w:t>3.47</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100%，决</w:t>
      </w:r>
      <w:r>
        <w:rPr>
          <w:rStyle w:val="17"/>
          <w:rFonts w:hint="default" w:ascii="Times New Roman" w:hAnsi="Times New Roman" w:eastAsia="仿宋_GB2312" w:cs="Times New Roman"/>
          <w:b w:val="0"/>
          <w:bCs/>
          <w:color w:val="auto"/>
          <w:sz w:val="32"/>
          <w:szCs w:val="32"/>
        </w:rPr>
        <w:t>算数等于预算数</w:t>
      </w:r>
      <w:r>
        <w:rPr>
          <w:rStyle w:val="17"/>
          <w:rFonts w:hint="eastAsia" w:ascii="Times New Roman" w:cs="Times New Roman"/>
          <w:b w:val="0"/>
          <w:bCs/>
          <w:color w:val="auto"/>
          <w:sz w:val="32"/>
          <w:szCs w:val="32"/>
          <w:lang w:eastAsia="zh-CN"/>
        </w:rPr>
        <w:t>。</w:t>
      </w:r>
    </w:p>
    <w:p w14:paraId="0A540F8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lang w:eastAsia="zh-CN"/>
        </w:rPr>
      </w:pPr>
      <w:r>
        <w:rPr>
          <w:rFonts w:hint="eastAsia" w:asci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社会保障和就业支出（类）抚恤（款）死亡抚恤（项）：</w:t>
      </w:r>
      <w:r>
        <w:rPr>
          <w:rStyle w:val="17"/>
          <w:rFonts w:hint="default" w:ascii="Times New Roman" w:hAnsi="Times New Roman" w:eastAsia="仿宋_GB2312" w:cs="Times New Roman"/>
          <w:b w:val="0"/>
          <w:bCs/>
          <w:color w:val="auto"/>
          <w:sz w:val="32"/>
          <w:szCs w:val="32"/>
        </w:rPr>
        <w:t>支出决算为</w:t>
      </w:r>
      <w:r>
        <w:rPr>
          <w:rFonts w:hint="eastAsia" w:ascii="仿宋" w:hAnsi="仿宋" w:eastAsia="仿宋" w:cs="Times New Roman"/>
          <w:b w:val="0"/>
          <w:bCs w:val="0"/>
          <w:kern w:val="2"/>
          <w:sz w:val="32"/>
          <w:szCs w:val="32"/>
          <w:lang w:val="en-US" w:eastAsia="zh-CN" w:bidi="ar-SA"/>
        </w:rPr>
        <w:t>7.21</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w:t>
      </w:r>
      <w:r>
        <w:rPr>
          <w:rStyle w:val="17"/>
          <w:rFonts w:hint="default" w:ascii="Times New Roman" w:hAnsi="Times New Roman" w:eastAsia="仿宋_GB2312" w:cs="Times New Roman"/>
          <w:b w:val="0"/>
          <w:bCs/>
          <w:color w:val="auto"/>
          <w:sz w:val="32"/>
          <w:szCs w:val="32"/>
        </w:rPr>
        <w:t>，决算数等于预算数</w:t>
      </w:r>
      <w:r>
        <w:rPr>
          <w:rStyle w:val="17"/>
          <w:rFonts w:hint="default" w:ascii="Times New Roman" w:hAnsi="Times New Roman" w:eastAsia="仿宋_GB2312" w:cs="Times New Roman"/>
          <w:b w:val="0"/>
          <w:bCs/>
          <w:color w:val="auto"/>
          <w:sz w:val="32"/>
          <w:szCs w:val="32"/>
          <w:lang w:eastAsia="zh-CN"/>
        </w:rPr>
        <w:t>。</w:t>
      </w:r>
    </w:p>
    <w:p w14:paraId="4A70B6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社会保障和就业支出（类）残疾人事业（款）其他残疾人事业支出（项）：</w:t>
      </w:r>
      <w:r>
        <w:rPr>
          <w:rStyle w:val="17"/>
          <w:rFonts w:hint="default" w:ascii="Times New Roman" w:hAnsi="Times New Roman" w:eastAsia="仿宋_GB2312" w:cs="Times New Roman"/>
          <w:b w:val="0"/>
          <w:bCs/>
          <w:color w:val="auto"/>
          <w:sz w:val="32"/>
          <w:szCs w:val="32"/>
        </w:rPr>
        <w:t>支出决算为</w:t>
      </w:r>
      <w:r>
        <w:rPr>
          <w:rFonts w:hint="eastAsia" w:ascii="仿宋" w:hAnsi="仿宋" w:eastAsia="仿宋" w:cs="Times New Roman"/>
          <w:b w:val="0"/>
          <w:bCs w:val="0"/>
          <w:kern w:val="2"/>
          <w:sz w:val="32"/>
          <w:szCs w:val="32"/>
          <w:lang w:val="en-US" w:eastAsia="zh-CN" w:bidi="ar-SA"/>
        </w:rPr>
        <w:t>4.2</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w:t>
      </w:r>
      <w:r>
        <w:rPr>
          <w:rStyle w:val="17"/>
          <w:rFonts w:hint="default" w:ascii="Times New Roman" w:hAnsi="Times New Roman" w:eastAsia="仿宋_GB2312" w:cs="Times New Roman"/>
          <w:b w:val="0"/>
          <w:bCs/>
          <w:color w:val="auto"/>
          <w:sz w:val="32"/>
          <w:szCs w:val="32"/>
        </w:rPr>
        <w:t>决算数等于预算数</w:t>
      </w:r>
      <w:r>
        <w:rPr>
          <w:rStyle w:val="17"/>
          <w:rFonts w:hint="default" w:ascii="Times New Roman" w:hAnsi="Times New Roman" w:eastAsia="仿宋_GB2312" w:cs="Times New Roman"/>
          <w:b w:val="0"/>
          <w:bCs/>
          <w:color w:val="auto"/>
          <w:sz w:val="32"/>
          <w:szCs w:val="32"/>
          <w:lang w:eastAsia="zh-CN"/>
        </w:rPr>
        <w:t>。</w:t>
      </w:r>
    </w:p>
    <w:p w14:paraId="1876C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lang w:eastAsia="zh-CN"/>
        </w:rPr>
      </w:pPr>
      <w:r>
        <w:rPr>
          <w:rStyle w:val="17"/>
          <w:rFonts w:hint="eastAsia" w:eastAsia="仿宋_GB2312" w:cs="Times New Roman"/>
          <w:b w:val="0"/>
          <w:bCs/>
          <w:color w:val="auto"/>
          <w:sz w:val="32"/>
          <w:szCs w:val="32"/>
          <w:lang w:val="en-US" w:eastAsia="zh-CN"/>
        </w:rPr>
        <w:t>6.</w:t>
      </w:r>
      <w:r>
        <w:rPr>
          <w:rStyle w:val="17"/>
          <w:rFonts w:hint="default" w:ascii="Times New Roman" w:hAnsi="Times New Roman" w:eastAsia="仿宋_GB2312" w:cs="Times New Roman"/>
          <w:b w:val="0"/>
          <w:bCs/>
          <w:color w:val="auto"/>
          <w:sz w:val="32"/>
          <w:szCs w:val="32"/>
        </w:rPr>
        <w:t>卫生健康支出（类）基层医疗卫生机构（款）乡镇卫生院（项）:支出决算为</w:t>
      </w:r>
      <w:r>
        <w:rPr>
          <w:rFonts w:hint="default" w:ascii="仿宋" w:hAnsi="仿宋" w:eastAsia="仿宋" w:cs="Times New Roman"/>
          <w:b w:val="0"/>
          <w:bCs w:val="0"/>
          <w:kern w:val="2"/>
          <w:sz w:val="32"/>
          <w:szCs w:val="32"/>
          <w:lang w:val="en-US" w:eastAsia="zh-CN" w:bidi="ar-SA"/>
        </w:rPr>
        <w:t>32</w:t>
      </w:r>
      <w:r>
        <w:rPr>
          <w:rFonts w:hint="eastAsia" w:ascii="仿宋" w:hAnsi="仿宋" w:eastAsia="仿宋" w:cs="Times New Roman"/>
          <w:b w:val="0"/>
          <w:bCs w:val="0"/>
          <w:kern w:val="2"/>
          <w:sz w:val="32"/>
          <w:szCs w:val="32"/>
          <w:lang w:val="en-US" w:eastAsia="zh-CN" w:bidi="ar-SA"/>
        </w:rPr>
        <w:t>9.48</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w:t>
      </w:r>
      <w:r>
        <w:rPr>
          <w:rStyle w:val="17"/>
          <w:rFonts w:hint="default" w:ascii="Times New Roman" w:hAnsi="Times New Roman" w:eastAsia="仿宋_GB2312" w:cs="Times New Roman"/>
          <w:b w:val="0"/>
          <w:bCs/>
          <w:color w:val="auto"/>
          <w:sz w:val="32"/>
          <w:szCs w:val="32"/>
        </w:rPr>
        <w:t>决算数等于预算数</w:t>
      </w:r>
      <w:r>
        <w:rPr>
          <w:rStyle w:val="17"/>
          <w:rFonts w:hint="default" w:ascii="Times New Roman" w:hAnsi="Times New Roman" w:eastAsia="仿宋_GB2312" w:cs="Times New Roman"/>
          <w:b w:val="0"/>
          <w:bCs/>
          <w:color w:val="auto"/>
          <w:sz w:val="32"/>
          <w:szCs w:val="32"/>
          <w:lang w:eastAsia="zh-CN"/>
        </w:rPr>
        <w:t>。</w:t>
      </w:r>
    </w:p>
    <w:p w14:paraId="3C7E3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Style w:val="17"/>
          <w:rFonts w:hint="eastAsia" w:eastAsia="仿宋_GB2312" w:cs="Times New Roman"/>
          <w:b w:val="0"/>
          <w:bCs/>
          <w:color w:val="auto"/>
          <w:sz w:val="32"/>
          <w:szCs w:val="32"/>
          <w:lang w:val="en-US" w:eastAsia="zh-CN"/>
        </w:rPr>
        <w:t>7.</w:t>
      </w:r>
      <w:r>
        <w:rPr>
          <w:rStyle w:val="17"/>
          <w:rFonts w:hint="default" w:ascii="Times New Roman" w:hAnsi="Times New Roman" w:eastAsia="仿宋_GB2312" w:cs="Times New Roman"/>
          <w:b w:val="0"/>
          <w:bCs/>
          <w:color w:val="auto"/>
          <w:sz w:val="32"/>
          <w:szCs w:val="32"/>
        </w:rPr>
        <w:t>卫生健康支出（类）基层医疗卫生机构（款）其他基层医疗卫生机构支出（项）:支出决算为</w:t>
      </w:r>
      <w:r>
        <w:rPr>
          <w:rFonts w:hint="eastAsia" w:ascii="仿宋" w:hAnsi="仿宋" w:eastAsia="仿宋" w:cs="Times New Roman"/>
          <w:b w:val="0"/>
          <w:bCs w:val="0"/>
          <w:kern w:val="2"/>
          <w:sz w:val="32"/>
          <w:szCs w:val="32"/>
          <w:lang w:val="en-US" w:eastAsia="zh-CN" w:bidi="ar-SA"/>
        </w:rPr>
        <w:t>103.04</w:t>
      </w:r>
      <w:r>
        <w:rPr>
          <w:rFonts w:hint="default" w:ascii="仿宋" w:hAnsi="仿宋" w:eastAsia="仿宋" w:cs="Times New Roman"/>
          <w:b w:val="0"/>
          <w:bCs w:val="0"/>
          <w:kern w:val="2"/>
          <w:sz w:val="32"/>
          <w:szCs w:val="32"/>
          <w:lang w:val="en-US" w:eastAsia="zh-CN" w:bidi="ar-SA"/>
        </w:rPr>
        <w:t>万</w:t>
      </w:r>
      <w:r>
        <w:rPr>
          <w:rStyle w:val="17"/>
          <w:rFonts w:hint="default" w:ascii="Times New Roman" w:hAnsi="Times New Roman" w:eastAsia="仿宋_GB2312" w:cs="Times New Roman"/>
          <w:b w:val="0"/>
          <w:bCs/>
          <w:color w:val="auto"/>
          <w:sz w:val="32"/>
          <w:szCs w:val="32"/>
        </w:rPr>
        <w:t>元，完成预算</w:t>
      </w:r>
      <w:r>
        <w:rPr>
          <w:rFonts w:hint="default" w:ascii="仿宋" w:hAnsi="仿宋" w:eastAsia="仿宋" w:cs="Times New Roman"/>
          <w:b w:val="0"/>
          <w:bCs w:val="0"/>
          <w:kern w:val="2"/>
          <w:sz w:val="32"/>
          <w:szCs w:val="32"/>
          <w:lang w:val="en-US" w:eastAsia="zh-CN" w:bidi="ar-SA"/>
        </w:rPr>
        <w:t>100%</w:t>
      </w:r>
      <w:r>
        <w:rPr>
          <w:rStyle w:val="17"/>
          <w:rFonts w:hint="default" w:ascii="Times New Roman" w:hAnsi="Times New Roman" w:eastAsia="仿宋_GB2312" w:cs="Times New Roman"/>
          <w:b w:val="0"/>
          <w:bCs/>
          <w:color w:val="auto"/>
          <w:sz w:val="32"/>
          <w:szCs w:val="32"/>
        </w:rPr>
        <w:t>，决算数等于预算数。</w:t>
      </w:r>
    </w:p>
    <w:p w14:paraId="18611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sectPr>
          <w:footerReference r:id="rId16" w:type="default"/>
          <w:pgSz w:w="11906" w:h="16838"/>
          <w:pgMar w:top="1440" w:right="1800" w:bottom="1440" w:left="1800" w:header="851" w:footer="992" w:gutter="0"/>
          <w:pgNumType w:fmt="decimal"/>
          <w:cols w:space="425" w:num="1"/>
          <w:docGrid w:type="lines" w:linePitch="312" w:charSpace="0"/>
        </w:sectPr>
      </w:pPr>
      <w:r>
        <w:rPr>
          <w:rStyle w:val="17"/>
          <w:rFonts w:hint="eastAsia" w:eastAsia="仿宋_GB2312" w:cs="Times New Roman"/>
          <w:b w:val="0"/>
          <w:bCs/>
          <w:color w:val="auto"/>
          <w:sz w:val="32"/>
          <w:szCs w:val="32"/>
          <w:lang w:val="en-US" w:eastAsia="zh-CN"/>
        </w:rPr>
        <w:t>8.</w:t>
      </w:r>
      <w:r>
        <w:rPr>
          <w:rStyle w:val="17"/>
          <w:rFonts w:hint="default" w:ascii="Times New Roman" w:hAnsi="Times New Roman" w:eastAsia="仿宋_GB2312" w:cs="Times New Roman"/>
          <w:b w:val="0"/>
          <w:bCs/>
          <w:color w:val="auto"/>
          <w:sz w:val="32"/>
          <w:szCs w:val="32"/>
        </w:rPr>
        <w:t>卫生健康支出（类）公共卫生（款）基本公共卫生服</w:t>
      </w:r>
    </w:p>
    <w:p w14:paraId="4C59629C">
      <w:pPr>
        <w:keepNext w:val="0"/>
        <w:keepLines w:val="0"/>
        <w:pageBreakBefore w:val="0"/>
        <w:widowControl w:val="0"/>
        <w:kinsoku/>
        <w:wordWrap/>
        <w:overflowPunct/>
        <w:topLinePunct w:val="0"/>
        <w:autoSpaceDE/>
        <w:autoSpaceDN/>
        <w:bidi w:val="0"/>
        <w:adjustRightInd/>
        <w:snapToGrid/>
        <w:spacing w:line="560" w:lineRule="exact"/>
        <w:textAlignment w:val="auto"/>
        <w:rPr>
          <w:rStyle w:val="17"/>
          <w:rFonts w:hint="default" w:ascii="Times New Roman" w:hAnsi="Times New Roman" w:eastAsia="仿宋_GB2312" w:cs="Times New Roman"/>
          <w:b w:val="0"/>
          <w:bCs/>
          <w:color w:val="auto"/>
          <w:sz w:val="32"/>
          <w:szCs w:val="32"/>
        </w:rPr>
      </w:pPr>
      <w:r>
        <w:rPr>
          <w:rStyle w:val="17"/>
          <w:rFonts w:hint="default" w:ascii="Times New Roman" w:hAnsi="Times New Roman" w:eastAsia="仿宋_GB2312" w:cs="Times New Roman"/>
          <w:b w:val="0"/>
          <w:bCs/>
          <w:color w:val="auto"/>
          <w:sz w:val="32"/>
          <w:szCs w:val="32"/>
        </w:rPr>
        <w:t>务（项）:支出决算为</w:t>
      </w:r>
      <w:r>
        <w:rPr>
          <w:rFonts w:hint="eastAsia" w:ascii="仿宋" w:hAnsi="仿宋" w:eastAsia="仿宋" w:cs="Times New Roman"/>
          <w:b w:val="0"/>
          <w:bCs w:val="0"/>
          <w:kern w:val="2"/>
          <w:sz w:val="32"/>
          <w:szCs w:val="32"/>
          <w:lang w:val="en-US" w:eastAsia="zh-CN" w:bidi="ar-SA"/>
        </w:rPr>
        <w:t>170.02</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100%，决</w:t>
      </w:r>
      <w:r>
        <w:rPr>
          <w:rStyle w:val="17"/>
          <w:rFonts w:hint="default" w:ascii="Times New Roman" w:hAnsi="Times New Roman" w:eastAsia="仿宋_GB2312" w:cs="Times New Roman"/>
          <w:b w:val="0"/>
          <w:bCs/>
          <w:color w:val="auto"/>
          <w:sz w:val="32"/>
          <w:szCs w:val="32"/>
        </w:rPr>
        <w:t>算数等于预算数。</w:t>
      </w:r>
    </w:p>
    <w:p w14:paraId="7659D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Style w:val="17"/>
          <w:rFonts w:hint="eastAsia" w:eastAsia="仿宋_GB2312" w:cs="Times New Roman"/>
          <w:b w:val="0"/>
          <w:bCs/>
          <w:color w:val="auto"/>
          <w:sz w:val="32"/>
          <w:szCs w:val="32"/>
          <w:lang w:val="en-US" w:eastAsia="zh-CN"/>
        </w:rPr>
        <w:t>9.</w:t>
      </w:r>
      <w:r>
        <w:rPr>
          <w:rStyle w:val="17"/>
          <w:rFonts w:hint="default" w:ascii="Times New Roman" w:hAnsi="Times New Roman" w:eastAsia="仿宋_GB2312" w:cs="Times New Roman"/>
          <w:b w:val="0"/>
          <w:bCs/>
          <w:color w:val="auto"/>
          <w:sz w:val="32"/>
          <w:szCs w:val="32"/>
        </w:rPr>
        <w:t>卫生健康支出（类）公共卫生（款）重大公共卫生服务（项）:支出决算</w:t>
      </w:r>
      <w:r>
        <w:rPr>
          <w:rFonts w:hint="eastAsia" w:ascii="仿宋" w:hAnsi="仿宋" w:eastAsia="仿宋" w:cs="Times New Roman"/>
          <w:b w:val="0"/>
          <w:bCs w:val="0"/>
          <w:kern w:val="2"/>
          <w:sz w:val="32"/>
          <w:szCs w:val="32"/>
          <w:lang w:val="en-US" w:eastAsia="zh-CN" w:bidi="ar-SA"/>
        </w:rPr>
        <w:t>26.89</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100%，决</w:t>
      </w:r>
      <w:r>
        <w:rPr>
          <w:rStyle w:val="17"/>
          <w:rFonts w:hint="default" w:ascii="Times New Roman" w:hAnsi="Times New Roman" w:eastAsia="仿宋_GB2312" w:cs="Times New Roman"/>
          <w:b w:val="0"/>
          <w:bCs/>
          <w:color w:val="auto"/>
          <w:sz w:val="32"/>
          <w:szCs w:val="32"/>
        </w:rPr>
        <w:t>算数等于预算数。</w:t>
      </w:r>
    </w:p>
    <w:p w14:paraId="29520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Style w:val="17"/>
          <w:rFonts w:hint="eastAsia" w:eastAsia="仿宋_GB2312" w:cs="Times New Roman"/>
          <w:b w:val="0"/>
          <w:bCs/>
          <w:color w:val="auto"/>
          <w:sz w:val="32"/>
          <w:szCs w:val="32"/>
          <w:lang w:val="en-US" w:eastAsia="zh-CN"/>
        </w:rPr>
        <w:t>10.</w:t>
      </w:r>
      <w:r>
        <w:rPr>
          <w:rStyle w:val="17"/>
          <w:rFonts w:hint="default" w:ascii="Times New Roman" w:hAnsi="Times New Roman" w:eastAsia="仿宋_GB2312" w:cs="Times New Roman"/>
          <w:b w:val="0"/>
          <w:bCs/>
          <w:color w:val="auto"/>
          <w:sz w:val="32"/>
          <w:szCs w:val="32"/>
        </w:rPr>
        <w:t>卫生健康支出（类）</w:t>
      </w:r>
      <w:r>
        <w:rPr>
          <w:rStyle w:val="17"/>
          <w:rFonts w:hint="eastAsia" w:eastAsia="仿宋_GB2312" w:cs="Times New Roman"/>
          <w:b w:val="0"/>
          <w:bCs/>
          <w:color w:val="auto"/>
          <w:sz w:val="32"/>
          <w:szCs w:val="32"/>
          <w:lang w:eastAsia="zh-CN"/>
        </w:rPr>
        <w:t>其他卫生健康支出</w:t>
      </w:r>
      <w:r>
        <w:rPr>
          <w:rStyle w:val="17"/>
          <w:rFonts w:hint="default" w:ascii="Times New Roman" w:hAnsi="Times New Roman" w:eastAsia="仿宋_GB2312" w:cs="Times New Roman"/>
          <w:b w:val="0"/>
          <w:bCs/>
          <w:color w:val="auto"/>
          <w:sz w:val="32"/>
          <w:szCs w:val="32"/>
        </w:rPr>
        <w:t>（款）</w:t>
      </w:r>
      <w:r>
        <w:rPr>
          <w:rStyle w:val="17"/>
          <w:rFonts w:hint="eastAsia" w:eastAsia="仿宋_GB2312" w:cs="Times New Roman"/>
          <w:b w:val="0"/>
          <w:bCs/>
          <w:color w:val="auto"/>
          <w:sz w:val="32"/>
          <w:szCs w:val="32"/>
          <w:lang w:eastAsia="zh-CN"/>
        </w:rPr>
        <w:t>其他卫生健康支出</w:t>
      </w:r>
      <w:r>
        <w:rPr>
          <w:rStyle w:val="17"/>
          <w:rFonts w:hint="default" w:ascii="Times New Roman" w:hAnsi="Times New Roman" w:eastAsia="仿宋_GB2312" w:cs="Times New Roman"/>
          <w:b w:val="0"/>
          <w:bCs/>
          <w:color w:val="auto"/>
          <w:sz w:val="32"/>
          <w:szCs w:val="32"/>
        </w:rPr>
        <w:t>（项）:支出决算为</w:t>
      </w:r>
      <w:r>
        <w:rPr>
          <w:rFonts w:hint="eastAsia" w:ascii="仿宋" w:hAnsi="仿宋" w:eastAsia="仿宋" w:cs="Times New Roman"/>
          <w:b w:val="0"/>
          <w:bCs w:val="0"/>
          <w:kern w:val="2"/>
          <w:sz w:val="32"/>
          <w:szCs w:val="32"/>
          <w:lang w:val="en-US" w:eastAsia="zh-CN" w:bidi="ar-SA"/>
        </w:rPr>
        <w:t>2.14</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w:t>
      </w:r>
      <w:r>
        <w:rPr>
          <w:rStyle w:val="17"/>
          <w:rFonts w:hint="default" w:ascii="Times New Roman" w:hAnsi="Times New Roman" w:eastAsia="仿宋_GB2312" w:cs="Times New Roman"/>
          <w:b w:val="0"/>
          <w:bCs/>
          <w:color w:val="auto"/>
          <w:sz w:val="32"/>
          <w:szCs w:val="32"/>
        </w:rPr>
        <w:t>决算数等于预算数。</w:t>
      </w:r>
    </w:p>
    <w:p w14:paraId="531B56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Style w:val="17"/>
          <w:rFonts w:hint="default" w:ascii="Times New Roman" w:hAnsi="Times New Roman" w:eastAsia="仿宋_GB2312" w:cs="Times New Roman"/>
          <w:b w:val="0"/>
          <w:bCs/>
          <w:color w:val="auto"/>
          <w:sz w:val="32"/>
          <w:szCs w:val="32"/>
          <w:lang w:val="en-US" w:eastAsia="zh-CN"/>
        </w:rPr>
        <w:t>1</w:t>
      </w:r>
      <w:r>
        <w:rPr>
          <w:rStyle w:val="17"/>
          <w:rFonts w:hint="eastAsia" w:eastAsia="仿宋_GB2312" w:cs="Times New Roman"/>
          <w:b w:val="0"/>
          <w:bCs/>
          <w:color w:val="auto"/>
          <w:sz w:val="32"/>
          <w:szCs w:val="32"/>
          <w:lang w:val="en-US" w:eastAsia="zh-CN"/>
        </w:rPr>
        <w:t>1.</w:t>
      </w:r>
      <w:r>
        <w:rPr>
          <w:rStyle w:val="17"/>
          <w:rFonts w:hint="default" w:ascii="Times New Roman" w:hAnsi="Times New Roman" w:eastAsia="仿宋_GB2312" w:cs="Times New Roman"/>
          <w:b w:val="0"/>
          <w:bCs/>
          <w:color w:val="auto"/>
          <w:sz w:val="32"/>
          <w:szCs w:val="32"/>
        </w:rPr>
        <w:t>卫生健康支出（类）行政事业单位医疗（款）事业单位医疗（项）:支出决算为</w:t>
      </w:r>
      <w:r>
        <w:rPr>
          <w:rFonts w:hint="eastAsia" w:ascii="仿宋" w:hAnsi="仿宋" w:eastAsia="仿宋" w:cs="Times New Roman"/>
          <w:b w:val="0"/>
          <w:bCs w:val="0"/>
          <w:kern w:val="2"/>
          <w:sz w:val="32"/>
          <w:szCs w:val="32"/>
          <w:lang w:val="en-US" w:eastAsia="zh-CN" w:bidi="ar-SA"/>
        </w:rPr>
        <w:t>26.16</w:t>
      </w:r>
      <w:r>
        <w:rPr>
          <w:rStyle w:val="17"/>
          <w:rFonts w:hint="default" w:ascii="Times New Roman" w:hAnsi="Times New Roman" w:eastAsia="仿宋_GB2312" w:cs="Times New Roman"/>
          <w:b w:val="0"/>
          <w:bCs/>
          <w:color w:val="auto"/>
          <w:sz w:val="32"/>
          <w:szCs w:val="32"/>
        </w:rPr>
        <w:t>万元，完成预算</w:t>
      </w:r>
      <w:r>
        <w:rPr>
          <w:rFonts w:hint="default" w:ascii="仿宋" w:hAnsi="仿宋" w:eastAsia="仿宋" w:cs="Times New Roman"/>
          <w:b w:val="0"/>
          <w:bCs w:val="0"/>
          <w:kern w:val="2"/>
          <w:sz w:val="32"/>
          <w:szCs w:val="32"/>
          <w:lang w:val="en-US" w:eastAsia="zh-CN" w:bidi="ar-SA"/>
        </w:rPr>
        <w:t>100%，决</w:t>
      </w:r>
      <w:r>
        <w:rPr>
          <w:rStyle w:val="17"/>
          <w:rFonts w:hint="default" w:ascii="Times New Roman" w:hAnsi="Times New Roman" w:eastAsia="仿宋_GB2312" w:cs="Times New Roman"/>
          <w:b w:val="0"/>
          <w:bCs/>
          <w:color w:val="auto"/>
          <w:sz w:val="32"/>
          <w:szCs w:val="32"/>
        </w:rPr>
        <w:t>算数等于预算数。</w:t>
      </w:r>
    </w:p>
    <w:p w14:paraId="2267F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2</w:t>
      </w:r>
      <w:r>
        <w:rPr>
          <w:rStyle w:val="17"/>
          <w:rFonts w:hint="eastAsia" w:eastAsia="仿宋_GB2312" w:cs="Times New Roman"/>
          <w:b w:val="0"/>
          <w:bCs/>
          <w:color w:val="auto"/>
          <w:sz w:val="32"/>
          <w:szCs w:val="32"/>
          <w:lang w:val="en-US" w:eastAsia="zh-CN"/>
        </w:rPr>
        <w:t>.</w:t>
      </w:r>
      <w:r>
        <w:rPr>
          <w:rStyle w:val="17"/>
          <w:rFonts w:hint="default" w:ascii="Times New Roman" w:hAnsi="Times New Roman" w:eastAsia="仿宋_GB2312" w:cs="Times New Roman"/>
          <w:b w:val="0"/>
          <w:bCs/>
          <w:color w:val="auto"/>
          <w:sz w:val="32"/>
          <w:szCs w:val="32"/>
        </w:rPr>
        <w:t>卫生健康支出（类）行政事业单位医疗（款）</w:t>
      </w:r>
      <w:r>
        <w:rPr>
          <w:rStyle w:val="17"/>
          <w:rFonts w:hint="default" w:ascii="Times New Roman" w:hAnsi="Times New Roman" w:eastAsia="仿宋_GB2312" w:cs="Times New Roman"/>
          <w:b w:val="0"/>
          <w:bCs/>
          <w:color w:val="auto"/>
          <w:sz w:val="32"/>
          <w:szCs w:val="32"/>
          <w:lang w:eastAsia="zh-CN"/>
        </w:rPr>
        <w:t>其他行政事业单位医疗支出</w:t>
      </w:r>
      <w:r>
        <w:rPr>
          <w:rStyle w:val="17"/>
          <w:rFonts w:hint="default" w:ascii="Times New Roman" w:hAnsi="Times New Roman" w:eastAsia="仿宋_GB2312" w:cs="Times New Roman"/>
          <w:b w:val="0"/>
          <w:bCs/>
          <w:color w:val="auto"/>
          <w:sz w:val="32"/>
          <w:szCs w:val="32"/>
        </w:rPr>
        <w:t>（项）:支出决算为</w:t>
      </w:r>
      <w:r>
        <w:rPr>
          <w:rFonts w:hint="eastAsia" w:ascii="仿宋" w:hAnsi="仿宋" w:eastAsia="仿宋" w:cs="Times New Roman"/>
          <w:b w:val="0"/>
          <w:bCs w:val="0"/>
          <w:kern w:val="2"/>
          <w:sz w:val="32"/>
          <w:szCs w:val="32"/>
          <w:lang w:val="en-US" w:eastAsia="zh-CN" w:bidi="ar-SA"/>
        </w:rPr>
        <w:t>16.12</w:t>
      </w:r>
      <w:r>
        <w:rPr>
          <w:rFonts w:hint="default" w:ascii="仿宋" w:hAnsi="仿宋" w:eastAsia="仿宋" w:cs="Times New Roman"/>
          <w:b w:val="0"/>
          <w:bCs w:val="0"/>
          <w:kern w:val="2"/>
          <w:sz w:val="32"/>
          <w:szCs w:val="32"/>
          <w:lang w:val="en-US" w:eastAsia="zh-CN" w:bidi="ar-SA"/>
        </w:rPr>
        <w:t>万</w:t>
      </w:r>
      <w:r>
        <w:rPr>
          <w:rStyle w:val="17"/>
          <w:rFonts w:hint="default" w:ascii="Times New Roman" w:hAnsi="Times New Roman" w:eastAsia="仿宋_GB2312" w:cs="Times New Roman"/>
          <w:b w:val="0"/>
          <w:bCs/>
          <w:color w:val="auto"/>
          <w:sz w:val="32"/>
          <w:szCs w:val="32"/>
        </w:rPr>
        <w:t>元，完成预算</w:t>
      </w:r>
      <w:r>
        <w:rPr>
          <w:rFonts w:hint="default" w:ascii="仿宋" w:hAnsi="仿宋" w:eastAsia="仿宋" w:cs="Times New Roman"/>
          <w:b w:val="0"/>
          <w:bCs w:val="0"/>
          <w:kern w:val="2"/>
          <w:sz w:val="32"/>
          <w:szCs w:val="32"/>
          <w:lang w:val="en-US" w:eastAsia="zh-CN" w:bidi="ar-SA"/>
        </w:rPr>
        <w:t>100%，</w:t>
      </w:r>
      <w:r>
        <w:rPr>
          <w:rStyle w:val="17"/>
          <w:rFonts w:hint="default" w:ascii="Times New Roman" w:hAnsi="Times New Roman" w:eastAsia="仿宋_GB2312" w:cs="Times New Roman"/>
          <w:b w:val="0"/>
          <w:bCs/>
          <w:color w:val="auto"/>
          <w:sz w:val="32"/>
          <w:szCs w:val="32"/>
        </w:rPr>
        <w:t>决算数等于预算数。</w:t>
      </w:r>
    </w:p>
    <w:p w14:paraId="1A6AE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3</w:t>
      </w:r>
      <w:r>
        <w:rPr>
          <w:rStyle w:val="17"/>
          <w:rFonts w:hint="eastAsia" w:eastAsia="仿宋_GB2312" w:cs="Times New Roman"/>
          <w:b w:val="0"/>
          <w:bCs/>
          <w:color w:val="auto"/>
          <w:sz w:val="32"/>
          <w:szCs w:val="32"/>
          <w:lang w:val="en-US" w:eastAsia="zh-CN"/>
        </w:rPr>
        <w:t>.</w:t>
      </w:r>
      <w:r>
        <w:rPr>
          <w:rStyle w:val="17"/>
          <w:rFonts w:hint="default" w:ascii="Times New Roman" w:hAnsi="Times New Roman" w:eastAsia="仿宋_GB2312" w:cs="Times New Roman"/>
          <w:b w:val="0"/>
          <w:bCs/>
          <w:color w:val="auto"/>
          <w:sz w:val="32"/>
          <w:szCs w:val="32"/>
        </w:rPr>
        <w:t>住房保障支出（类）住房改革支出（款）住房公积金（项）:支出决算为</w:t>
      </w:r>
      <w:r>
        <w:rPr>
          <w:rFonts w:hint="eastAsia" w:ascii="仿宋" w:hAnsi="仿宋" w:eastAsia="仿宋" w:cs="Times New Roman"/>
          <w:b w:val="0"/>
          <w:bCs w:val="0"/>
          <w:kern w:val="2"/>
          <w:sz w:val="32"/>
          <w:szCs w:val="32"/>
          <w:lang w:val="en-US" w:eastAsia="zh-CN" w:bidi="ar-SA"/>
        </w:rPr>
        <w:t>38.18</w:t>
      </w:r>
      <w:r>
        <w:rPr>
          <w:rFonts w:hint="default" w:ascii="仿宋" w:hAnsi="仿宋" w:eastAsia="仿宋" w:cs="Times New Roman"/>
          <w:b w:val="0"/>
          <w:bCs w:val="0"/>
          <w:kern w:val="2"/>
          <w:sz w:val="32"/>
          <w:szCs w:val="32"/>
          <w:lang w:val="en-US" w:eastAsia="zh-CN" w:bidi="ar-SA"/>
        </w:rPr>
        <w:t>万元</w:t>
      </w:r>
      <w:r>
        <w:rPr>
          <w:rStyle w:val="17"/>
          <w:rFonts w:hint="default" w:ascii="Times New Roman" w:hAnsi="Times New Roman" w:eastAsia="仿宋_GB2312" w:cs="Times New Roman"/>
          <w:b w:val="0"/>
          <w:bCs/>
          <w:color w:val="auto"/>
          <w:sz w:val="32"/>
          <w:szCs w:val="32"/>
        </w:rPr>
        <w:t>，完成预</w:t>
      </w:r>
      <w:r>
        <w:rPr>
          <w:rFonts w:hint="default" w:ascii="仿宋" w:hAnsi="仿宋" w:eastAsia="仿宋" w:cs="Times New Roman"/>
          <w:b w:val="0"/>
          <w:bCs w:val="0"/>
          <w:kern w:val="2"/>
          <w:sz w:val="32"/>
          <w:szCs w:val="32"/>
          <w:lang w:val="en-US" w:eastAsia="zh-CN" w:bidi="ar-SA"/>
        </w:rPr>
        <w:t>算100%，</w:t>
      </w:r>
      <w:r>
        <w:rPr>
          <w:rStyle w:val="17"/>
          <w:rFonts w:hint="default" w:ascii="Times New Roman" w:hAnsi="Times New Roman" w:eastAsia="仿宋_GB2312" w:cs="Times New Roman"/>
          <w:b w:val="0"/>
          <w:bCs/>
          <w:color w:val="auto"/>
          <w:sz w:val="32"/>
          <w:szCs w:val="32"/>
        </w:rPr>
        <w:t>决算数等于预算数。</w:t>
      </w:r>
    </w:p>
    <w:p w14:paraId="3F17A124">
      <w:pPr>
        <w:tabs>
          <w:tab w:val="right" w:pos="8306"/>
        </w:tabs>
        <w:spacing w:line="600" w:lineRule="exact"/>
        <w:ind w:firstLine="640"/>
        <w:outlineLvl w:val="1"/>
        <w:rPr>
          <w:rStyle w:val="29"/>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8"/>
      <w:bookmarkEnd w:id="39"/>
      <w:r>
        <w:rPr>
          <w:rStyle w:val="29"/>
          <w:rFonts w:ascii="黑体" w:hAnsi="黑体" w:eastAsia="黑体"/>
          <w:b w:val="0"/>
        </w:rPr>
        <w:tab/>
      </w:r>
    </w:p>
    <w:p w14:paraId="0DAAF872">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w:t>
      </w:r>
      <w:r>
        <w:rPr>
          <w:rFonts w:hint="eastAsia" w:ascii="仿宋" w:hAnsi="仿宋" w:eastAsia="仿宋"/>
          <w:b w:val="0"/>
          <w:bCs w:val="0"/>
          <w:sz w:val="32"/>
          <w:szCs w:val="32"/>
        </w:rPr>
        <w:t>出</w:t>
      </w:r>
      <w:r>
        <w:rPr>
          <w:rFonts w:ascii="仿宋" w:hAnsi="仿宋" w:eastAsia="仿宋"/>
          <w:b w:val="0"/>
          <w:bCs w:val="0"/>
          <w:sz w:val="32"/>
          <w:szCs w:val="32"/>
        </w:rPr>
        <w:t>494.12</w:t>
      </w:r>
      <w:r>
        <w:rPr>
          <w:rFonts w:hint="eastAsia" w:ascii="仿宋" w:hAnsi="仿宋" w:eastAsia="仿宋"/>
          <w:b w:val="0"/>
          <w:bCs w:val="0"/>
          <w:sz w:val="32"/>
          <w:szCs w:val="32"/>
        </w:rPr>
        <w:t>万元</w:t>
      </w:r>
      <w:r>
        <w:rPr>
          <w:rFonts w:hint="eastAsia" w:ascii="仿宋" w:hAnsi="仿宋" w:eastAsia="仿宋"/>
          <w:sz w:val="32"/>
          <w:szCs w:val="32"/>
        </w:rPr>
        <w:t>，其中：</w:t>
      </w:r>
    </w:p>
    <w:p w14:paraId="305A2376">
      <w:pPr>
        <w:spacing w:line="600" w:lineRule="exact"/>
        <w:ind w:firstLine="645"/>
        <w:rPr>
          <w:rFonts w:hint="eastAsia" w:ascii="仿宋" w:hAnsi="仿宋" w:eastAsia="仿宋"/>
          <w:b w:val="0"/>
          <w:bCs/>
          <w:sz w:val="32"/>
          <w:szCs w:val="32"/>
        </w:rPr>
        <w:sectPr>
          <w:footerReference r:id="rId17"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人员经费</w:t>
      </w:r>
      <w:r>
        <w:rPr>
          <w:rFonts w:ascii="仿宋" w:hAnsi="仿宋" w:eastAsia="仿宋"/>
          <w:b w:val="0"/>
          <w:bCs/>
          <w:sz w:val="32"/>
          <w:szCs w:val="32"/>
        </w:rPr>
        <w:t>493.4</w:t>
      </w:r>
      <w:r>
        <w:rPr>
          <w:rFonts w:hint="eastAsia" w:ascii="仿宋" w:hAnsi="仿宋" w:eastAsia="仿宋"/>
          <w:b w:val="0"/>
          <w:bCs/>
          <w:sz w:val="32"/>
          <w:szCs w:val="32"/>
        </w:rPr>
        <w:t>万元，主要包括：基本工资、津贴补贴、绩效工资、机关事业单位基本养老保险缴费、职业年金缴费、</w:t>
      </w:r>
      <w:r>
        <w:rPr>
          <w:rFonts w:hint="eastAsia" w:ascii="仿宋" w:hAnsi="仿宋" w:eastAsia="仿宋"/>
          <w:b w:val="0"/>
          <w:bCs/>
          <w:sz w:val="32"/>
          <w:szCs w:val="32"/>
          <w:lang w:eastAsia="zh-CN"/>
        </w:rPr>
        <w:t>职工基本医疗保险缴费、公务员医疗补助缴费、</w:t>
      </w:r>
      <w:r>
        <w:rPr>
          <w:rFonts w:hint="eastAsia" w:ascii="仿宋" w:hAnsi="仿宋" w:eastAsia="仿宋"/>
          <w:b w:val="0"/>
          <w:bCs/>
          <w:sz w:val="32"/>
          <w:szCs w:val="32"/>
        </w:rPr>
        <w:t>其他社会保障缴费、住房公积金</w:t>
      </w:r>
      <w:r>
        <w:rPr>
          <w:rFonts w:hint="eastAsia" w:ascii="仿宋" w:hAnsi="仿宋" w:eastAsia="仿宋"/>
          <w:b w:val="0"/>
          <w:bCs/>
          <w:sz w:val="32"/>
          <w:szCs w:val="32"/>
          <w:lang w:eastAsia="zh-CN"/>
        </w:rPr>
        <w:t>、</w:t>
      </w:r>
      <w:r>
        <w:rPr>
          <w:rFonts w:hint="eastAsia" w:ascii="仿宋" w:hAnsi="仿宋" w:eastAsia="仿宋"/>
          <w:b w:val="0"/>
          <w:bCs/>
          <w:sz w:val="32"/>
          <w:szCs w:val="32"/>
        </w:rPr>
        <w:t>医疗费</w:t>
      </w:r>
      <w:r>
        <w:rPr>
          <w:rFonts w:hint="eastAsia" w:ascii="仿宋" w:hAnsi="仿宋" w:eastAsia="仿宋"/>
          <w:b w:val="0"/>
          <w:bCs/>
          <w:sz w:val="32"/>
          <w:szCs w:val="32"/>
          <w:lang w:eastAsia="zh-CN"/>
        </w:rPr>
        <w:t>、</w:t>
      </w:r>
      <w:r>
        <w:rPr>
          <w:rFonts w:hint="eastAsia" w:ascii="仿宋" w:hAnsi="仿宋" w:eastAsia="仿宋"/>
          <w:b w:val="0"/>
          <w:bCs/>
          <w:sz w:val="32"/>
          <w:szCs w:val="32"/>
        </w:rPr>
        <w:t>其他工资福利支出、对个人</w:t>
      </w:r>
    </w:p>
    <w:p w14:paraId="13F13394">
      <w:pPr>
        <w:spacing w:line="600" w:lineRule="exact"/>
        <w:rPr>
          <w:rFonts w:ascii="仿宋" w:hAnsi="仿宋" w:eastAsia="仿宋"/>
          <w:b/>
          <w:sz w:val="32"/>
          <w:szCs w:val="32"/>
        </w:rPr>
      </w:pPr>
      <w:r>
        <w:rPr>
          <w:rFonts w:hint="eastAsia" w:ascii="仿宋" w:hAnsi="仿宋" w:eastAsia="仿宋"/>
          <w:b w:val="0"/>
          <w:bCs/>
          <w:sz w:val="32"/>
          <w:szCs w:val="32"/>
        </w:rPr>
        <w:t>和家庭的补助</w:t>
      </w:r>
      <w:r>
        <w:rPr>
          <w:rFonts w:hint="eastAsia" w:ascii="仿宋" w:hAnsi="仿宋" w:eastAsia="仿宋"/>
          <w:b w:val="0"/>
          <w:bCs/>
          <w:sz w:val="32"/>
          <w:szCs w:val="32"/>
          <w:lang w:eastAsia="zh-CN"/>
        </w:rPr>
        <w:t>、</w:t>
      </w:r>
      <w:r>
        <w:rPr>
          <w:rFonts w:hint="eastAsia" w:ascii="仿宋" w:hAnsi="仿宋" w:eastAsia="仿宋"/>
          <w:b w:val="0"/>
          <w:bCs/>
          <w:sz w:val="32"/>
          <w:szCs w:val="32"/>
        </w:rPr>
        <w:t>抚恤金、生活补助、</w:t>
      </w:r>
      <w:r>
        <w:rPr>
          <w:rFonts w:hint="eastAsia" w:ascii="仿宋" w:hAnsi="仿宋" w:eastAsia="仿宋"/>
          <w:b w:val="0"/>
          <w:bCs/>
          <w:sz w:val="32"/>
          <w:szCs w:val="32"/>
          <w:lang w:eastAsia="zh-CN"/>
        </w:rPr>
        <w:t>医疗费</w:t>
      </w:r>
      <w:r>
        <w:rPr>
          <w:rFonts w:hint="eastAsia" w:ascii="仿宋" w:hAnsi="仿宋" w:eastAsia="仿宋"/>
          <w:b w:val="0"/>
          <w:bCs/>
          <w:sz w:val="32"/>
          <w:szCs w:val="32"/>
        </w:rPr>
        <w:t>补助、奖励金。</w:t>
      </w:r>
      <w:r>
        <w:rPr>
          <w:rFonts w:ascii="仿宋" w:hAnsi="仿宋" w:eastAsia="仿宋"/>
          <w:b w:val="0"/>
          <w:bCs/>
          <w:sz w:val="32"/>
          <w:szCs w:val="32"/>
        </w:rPr>
        <w:br w:type="textWrapping"/>
      </w:r>
      <w:r>
        <w:rPr>
          <w:rFonts w:hint="eastAsia" w:ascii="仿宋" w:hAnsi="仿宋" w:eastAsia="仿宋"/>
          <w:b w:val="0"/>
          <w:bCs/>
          <w:sz w:val="32"/>
          <w:szCs w:val="32"/>
        </w:rPr>
        <w:t>　　公用经费</w:t>
      </w:r>
      <w:r>
        <w:rPr>
          <w:rFonts w:ascii="仿宋" w:hAnsi="仿宋" w:eastAsia="仿宋"/>
          <w:b w:val="0"/>
          <w:bCs/>
          <w:sz w:val="32"/>
          <w:szCs w:val="32"/>
        </w:rPr>
        <w:t>0.72</w:t>
      </w:r>
      <w:r>
        <w:rPr>
          <w:rFonts w:hint="eastAsia" w:ascii="仿宋" w:hAnsi="仿宋" w:eastAsia="仿宋"/>
          <w:b w:val="0"/>
          <w:bCs/>
          <w:sz w:val="32"/>
          <w:szCs w:val="32"/>
        </w:rPr>
        <w:t>万元</w:t>
      </w:r>
      <w:r>
        <w:rPr>
          <w:rFonts w:hint="eastAsia" w:ascii="仿宋" w:hAnsi="仿宋" w:eastAsia="仿宋"/>
          <w:sz w:val="32"/>
          <w:szCs w:val="32"/>
        </w:rPr>
        <w:t>，主要包括：</w:t>
      </w:r>
      <w:r>
        <w:rPr>
          <w:rFonts w:hint="eastAsia" w:ascii="仿宋" w:hAnsi="仿宋" w:eastAsia="仿宋"/>
          <w:sz w:val="32"/>
          <w:szCs w:val="32"/>
          <w:lang w:eastAsia="zh-CN"/>
        </w:rPr>
        <w:t>维修（护）费</w:t>
      </w:r>
      <w:r>
        <w:rPr>
          <w:rFonts w:hint="eastAsia" w:ascii="仿宋" w:hAnsi="仿宋" w:eastAsia="仿宋"/>
          <w:sz w:val="32"/>
          <w:szCs w:val="32"/>
        </w:rPr>
        <w:t>、其他商品和服务支出。</w:t>
      </w:r>
    </w:p>
    <w:p w14:paraId="506D2DAD">
      <w:pPr>
        <w:spacing w:line="600" w:lineRule="exact"/>
        <w:ind w:firstLine="640"/>
        <w:outlineLvl w:val="1"/>
        <w:rPr>
          <w:rStyle w:val="29"/>
          <w:rFonts w:ascii="黑体" w:hAnsi="黑体" w:eastAsia="黑体"/>
          <w:b w:val="0"/>
        </w:rPr>
      </w:pPr>
      <w:bookmarkStart w:id="40" w:name="_Toc15377215"/>
      <w:bookmarkStart w:id="41"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0"/>
      <w:bookmarkEnd w:id="41"/>
    </w:p>
    <w:p w14:paraId="13E0D821">
      <w:pPr>
        <w:spacing w:line="600" w:lineRule="exact"/>
        <w:ind w:firstLine="643" w:firstLineChars="200"/>
        <w:outlineLvl w:val="2"/>
        <w:rPr>
          <w:rFonts w:hint="eastAsia" w:ascii="楷体" w:hAnsi="楷体" w:eastAsia="楷体" w:cs="楷体"/>
          <w:b/>
          <w:sz w:val="32"/>
          <w:szCs w:val="32"/>
        </w:rPr>
      </w:pPr>
      <w:bookmarkStart w:id="42" w:name="_Toc15377216"/>
      <w:r>
        <w:rPr>
          <w:rFonts w:hint="eastAsia" w:ascii="楷体" w:hAnsi="楷体" w:eastAsia="楷体" w:cs="楷体"/>
          <w:b/>
          <w:sz w:val="32"/>
          <w:szCs w:val="32"/>
        </w:rPr>
        <w:t>（一）“三公”经费财政拨款支出决算总体情况说明</w:t>
      </w:r>
      <w:bookmarkEnd w:id="42"/>
    </w:p>
    <w:p w14:paraId="6F52F99C">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w:t>
      </w:r>
      <w:r>
        <w:rPr>
          <w:rFonts w:hint="eastAsia" w:ascii="仿宋" w:hAnsi="仿宋" w:eastAsia="仿宋"/>
          <w:b w:val="0"/>
          <w:bCs w:val="0"/>
          <w:sz w:val="32"/>
          <w:szCs w:val="32"/>
        </w:rPr>
        <w:t>为</w:t>
      </w:r>
      <w:r>
        <w:rPr>
          <w:rFonts w:ascii="仿宋" w:hAnsi="仿宋" w:eastAsia="仿宋"/>
          <w:b w:val="0"/>
          <w:bCs w:val="0"/>
          <w:sz w:val="32"/>
          <w:szCs w:val="32"/>
        </w:rPr>
        <w:t>0</w:t>
      </w:r>
      <w:r>
        <w:rPr>
          <w:rFonts w:hint="eastAsia" w:ascii="仿宋" w:hAnsi="仿宋" w:eastAsia="仿宋"/>
          <w:b w:val="0"/>
          <w:bCs w:val="0"/>
          <w:sz w:val="32"/>
          <w:szCs w:val="32"/>
        </w:rPr>
        <w:t>万元，完成预算</w:t>
      </w:r>
      <w:r>
        <w:rPr>
          <w:rFonts w:hint="eastAsia" w:ascii="仿宋" w:hAnsi="仿宋" w:eastAsia="仿宋"/>
          <w:b w:val="0"/>
          <w:bCs w:val="0"/>
          <w:sz w:val="32"/>
          <w:szCs w:val="32"/>
          <w:lang w:val="en-US" w:eastAsia="zh-CN"/>
        </w:rPr>
        <w:t>10</w:t>
      </w:r>
      <w:r>
        <w:rPr>
          <w:rFonts w:ascii="仿宋" w:hAnsi="仿宋" w:eastAsia="仿宋"/>
          <w:b w:val="0"/>
          <w:bCs w:val="0"/>
          <w:sz w:val="32"/>
          <w:szCs w:val="32"/>
        </w:rPr>
        <w:t>0%</w:t>
      </w:r>
      <w:r>
        <w:rPr>
          <w:rFonts w:hint="eastAsia" w:ascii="仿宋" w:hAnsi="仿宋" w:eastAsia="仿宋"/>
          <w:b w:val="0"/>
          <w:bCs w:val="0"/>
          <w:sz w:val="32"/>
          <w:szCs w:val="32"/>
        </w:rPr>
        <w:t>，较上年度减少</w:t>
      </w:r>
      <w:r>
        <w:rPr>
          <w:rFonts w:hint="eastAsia" w:ascii="仿宋" w:hAnsi="仿宋" w:eastAsia="仿宋"/>
          <w:b w:val="0"/>
          <w:bCs w:val="0"/>
          <w:sz w:val="32"/>
          <w:szCs w:val="32"/>
          <w:lang w:val="en-US" w:eastAsia="zh-CN"/>
        </w:rPr>
        <w:t>0.82</w:t>
      </w:r>
      <w:r>
        <w:rPr>
          <w:rFonts w:hint="eastAsia" w:ascii="仿宋" w:hAnsi="仿宋" w:eastAsia="仿宋"/>
          <w:b w:val="0"/>
          <w:bCs w:val="0"/>
          <w:sz w:val="32"/>
          <w:szCs w:val="32"/>
        </w:rPr>
        <w:t>万元</w:t>
      </w:r>
      <w:r>
        <w:rPr>
          <w:rFonts w:hint="eastAsia" w:ascii="仿宋" w:hAnsi="仿宋" w:eastAsia="仿宋"/>
          <w:b w:val="0"/>
          <w:bCs w:val="0"/>
          <w:sz w:val="32"/>
          <w:szCs w:val="32"/>
          <w:lang w:eastAsia="zh-CN"/>
        </w:rPr>
        <w:t>，</w:t>
      </w:r>
      <w:r>
        <w:rPr>
          <w:rFonts w:hint="eastAsia" w:ascii="仿宋" w:hAnsi="仿宋" w:eastAsia="仿宋"/>
          <w:b w:val="0"/>
          <w:bCs w:val="0"/>
          <w:sz w:val="32"/>
          <w:szCs w:val="32"/>
        </w:rPr>
        <w:t>下降</w:t>
      </w:r>
      <w:r>
        <w:rPr>
          <w:rFonts w:hint="eastAsia" w:ascii="仿宋" w:hAnsi="仿宋" w:eastAsia="仿宋"/>
          <w:b w:val="0"/>
          <w:bCs w:val="0"/>
          <w:sz w:val="32"/>
          <w:szCs w:val="32"/>
          <w:lang w:val="en-US" w:eastAsia="zh-CN"/>
        </w:rPr>
        <w:t>100</w:t>
      </w:r>
      <w:r>
        <w:rPr>
          <w:rFonts w:hint="eastAsia" w:ascii="仿宋" w:hAnsi="仿宋" w:eastAsia="仿宋"/>
          <w:b w:val="0"/>
          <w:bCs w:val="0"/>
          <w:sz w:val="32"/>
          <w:szCs w:val="32"/>
        </w:rPr>
        <w:t>%</w:t>
      </w:r>
      <w:r>
        <w:rPr>
          <w:rFonts w:hint="eastAsia" w:ascii="仿宋" w:hAnsi="仿宋" w:eastAsia="仿宋"/>
          <w:sz w:val="32"/>
          <w:szCs w:val="32"/>
        </w:rPr>
        <w:t>。决算数与预算数持平。</w:t>
      </w:r>
    </w:p>
    <w:p w14:paraId="7390EACB">
      <w:pPr>
        <w:spacing w:line="600" w:lineRule="exact"/>
        <w:ind w:firstLine="643" w:firstLineChars="200"/>
        <w:outlineLvl w:val="2"/>
        <w:rPr>
          <w:rFonts w:hint="eastAsia" w:ascii="楷体" w:hAnsi="楷体" w:eastAsia="楷体" w:cs="楷体"/>
          <w:b/>
          <w:sz w:val="32"/>
          <w:szCs w:val="32"/>
        </w:rPr>
      </w:pPr>
      <w:bookmarkStart w:id="43" w:name="_Toc15377217"/>
      <w:r>
        <w:rPr>
          <w:rFonts w:hint="eastAsia" w:ascii="楷体" w:hAnsi="楷体" w:eastAsia="楷体" w:cs="楷体"/>
          <w:b/>
          <w:sz w:val="32"/>
          <w:szCs w:val="32"/>
        </w:rPr>
        <w:t>（二）“三公”经费财政拨款支出决算具体情况说明</w:t>
      </w:r>
      <w:bookmarkEnd w:id="43"/>
    </w:p>
    <w:p w14:paraId="357C9F56">
      <w:pPr>
        <w:spacing w:line="600" w:lineRule="exact"/>
        <w:ind w:firstLine="640"/>
        <w:rPr>
          <w:rFonts w:ascii="仿宋" w:hAnsi="仿宋" w:eastAsia="仿宋"/>
          <w:b w:val="0"/>
          <w:bCs w:val="0"/>
          <w:sz w:val="32"/>
          <w:szCs w:val="32"/>
        </w:rPr>
      </w:pPr>
      <w:r>
        <w:rPr>
          <w:rFonts w:hint="eastAsia" w:ascii="仿宋" w:hAnsi="仿宋" w:eastAsia="仿宋"/>
          <w:sz w:val="32"/>
          <w:szCs w:val="32"/>
        </w:rPr>
        <w:t>2023年度“三公”经费财政拨款支出决算中，因公出国（境）费支</w:t>
      </w:r>
      <w:r>
        <w:rPr>
          <w:rFonts w:hint="eastAsia" w:ascii="仿宋" w:hAnsi="仿宋" w:eastAsia="仿宋"/>
          <w:b w:val="0"/>
          <w:bCs w:val="0"/>
          <w:sz w:val="32"/>
          <w:szCs w:val="32"/>
        </w:rPr>
        <w:t>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；公务接待费支出决算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。具体情况如下：</w:t>
      </w:r>
    </w:p>
    <w:p w14:paraId="0E5A44CF">
      <w:pPr>
        <w:spacing w:line="600" w:lineRule="exact"/>
        <w:ind w:firstLine="640"/>
        <w:rPr>
          <w:rFonts w:ascii="仿宋_GB2312" w:eastAsia="仿宋_GB2312"/>
          <w:b/>
          <w:sz w:val="32"/>
          <w:szCs w:val="32"/>
        </w:rPr>
      </w:pPr>
      <w:bookmarkStart w:id="44" w:name="_Toc15396610"/>
      <w:bookmarkStart w:id="45" w:name="_Toc15377218"/>
      <w:r>
        <w:rPr>
          <w:rStyle w:val="17"/>
          <w:rFonts w:hint="default" w:eastAsia="仿宋_GB2312" w:cs="Times New Roman"/>
          <w:b w:val="0"/>
          <w:bCs/>
          <w:color w:val="auto"/>
          <w:sz w:val="32"/>
          <w:szCs w:val="32"/>
          <w:lang w:val="en-US" w:eastAsia="zh-CN"/>
        </w:rPr>
        <w:t>1</w:t>
      </w:r>
      <w:r>
        <w:rPr>
          <w:rStyle w:val="17"/>
          <w:rFonts w:hint="eastAsia" w:eastAsia="仿宋_GB2312" w:cs="Times New Roman"/>
          <w:b w:val="0"/>
          <w:bCs/>
          <w:color w:val="auto"/>
          <w:sz w:val="32"/>
          <w:szCs w:val="32"/>
          <w:lang w:val="en-US" w:eastAsia="zh-CN"/>
        </w:rPr>
        <w:t>.</w:t>
      </w:r>
      <w:r>
        <w:rPr>
          <w:rFonts w:hint="eastAsia" w:ascii="仿宋_GB2312" w:eastAsia="仿宋_GB2312"/>
          <w:b w:val="0"/>
          <w:bCs/>
          <w:sz w:val="32"/>
          <w:szCs w:val="32"/>
        </w:rPr>
        <w:t>因公出国（境）经费支出</w:t>
      </w:r>
      <w:r>
        <w:rPr>
          <w:rFonts w:ascii="仿宋" w:hAnsi="仿宋" w:eastAsia="仿宋"/>
          <w:b w:val="0"/>
          <w:bCs/>
          <w:sz w:val="32"/>
          <w:szCs w:val="32"/>
        </w:rPr>
        <w:t>0</w:t>
      </w:r>
      <w:r>
        <w:rPr>
          <w:rFonts w:hint="eastAsia" w:ascii="仿宋_GB2312" w:eastAsia="仿宋_GB2312"/>
          <w:b w:val="0"/>
          <w:bCs/>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b w:val="0"/>
          <w:bCs/>
          <w:sz w:val="32"/>
          <w:szCs w:val="32"/>
        </w:rPr>
        <w:t>全年安排因公出国（境）团组</w:t>
      </w:r>
      <w:r>
        <w:rPr>
          <w:rFonts w:ascii="仿宋_GB2312" w:eastAsia="仿宋_GB2312"/>
          <w:b w:val="0"/>
          <w:bCs/>
          <w:sz w:val="32"/>
          <w:szCs w:val="32"/>
        </w:rPr>
        <w:t>0</w:t>
      </w:r>
      <w:r>
        <w:rPr>
          <w:rFonts w:hint="eastAsia" w:ascii="仿宋_GB2312" w:eastAsia="仿宋_GB2312"/>
          <w:b w:val="0"/>
          <w:bCs/>
          <w:sz w:val="32"/>
          <w:szCs w:val="32"/>
        </w:rPr>
        <w:t>次，出国（境）</w:t>
      </w:r>
      <w:r>
        <w:rPr>
          <w:rFonts w:ascii="仿宋_GB2312" w:eastAsia="仿宋_GB2312"/>
          <w:b w:val="0"/>
          <w:bCs/>
          <w:sz w:val="32"/>
          <w:szCs w:val="32"/>
        </w:rPr>
        <w:t>0</w:t>
      </w:r>
      <w:r>
        <w:rPr>
          <w:rFonts w:hint="eastAsia" w:ascii="仿宋_GB2312" w:eastAsia="仿宋_GB2312"/>
          <w:b w:val="0"/>
          <w:bCs/>
          <w:sz w:val="32"/>
          <w:szCs w:val="32"/>
        </w:rPr>
        <w:t>人</w:t>
      </w:r>
      <w:r>
        <w:rPr>
          <w:rFonts w:hint="eastAsia" w:ascii="仿宋_GB2312" w:eastAsia="仿宋_GB2312"/>
          <w:sz w:val="32"/>
          <w:szCs w:val="32"/>
        </w:rPr>
        <w:t>。因公出国（境）支出决算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相比无变化</w:t>
      </w:r>
      <w:r>
        <w:rPr>
          <w:rFonts w:hint="eastAsia" w:ascii="仿宋_GB2312" w:eastAsia="仿宋_GB2312"/>
          <w:sz w:val="32"/>
          <w:szCs w:val="32"/>
        </w:rPr>
        <w:t>。</w:t>
      </w:r>
    </w:p>
    <w:p w14:paraId="0A8B4B88">
      <w:pPr>
        <w:spacing w:line="600" w:lineRule="exact"/>
        <w:ind w:firstLine="640"/>
        <w:rPr>
          <w:rFonts w:ascii="仿宋_GB2312" w:eastAsia="仿宋_GB2312"/>
          <w:b w:val="0"/>
          <w:bCs/>
          <w:sz w:val="32"/>
          <w:szCs w:val="32"/>
        </w:rPr>
      </w:pPr>
      <w:r>
        <w:rPr>
          <w:rStyle w:val="17"/>
          <w:rFonts w:hint="default" w:eastAsia="仿宋_GB2312" w:cs="Times New Roman"/>
          <w:b w:val="0"/>
          <w:bCs/>
          <w:color w:val="auto"/>
          <w:sz w:val="32"/>
          <w:szCs w:val="32"/>
          <w:lang w:val="en-US" w:eastAsia="zh-CN"/>
        </w:rPr>
        <w:t>2.</w:t>
      </w:r>
      <w:r>
        <w:rPr>
          <w:rFonts w:hint="eastAsia" w:ascii="仿宋_GB2312" w:eastAsia="仿宋_GB2312"/>
          <w:b w:val="0"/>
          <w:bCs/>
          <w:sz w:val="32"/>
          <w:szCs w:val="32"/>
        </w:rPr>
        <w:t>公务用车购置及运行维护费支出</w:t>
      </w:r>
      <w:r>
        <w:rPr>
          <w:rFonts w:ascii="仿宋" w:hAnsi="仿宋" w:eastAsia="仿宋"/>
          <w:b w:val="0"/>
          <w:bCs/>
          <w:sz w:val="32"/>
          <w:szCs w:val="32"/>
        </w:rPr>
        <w:t>0</w:t>
      </w:r>
      <w:r>
        <w:rPr>
          <w:rFonts w:hint="eastAsia" w:ascii="仿宋_GB2312" w:eastAsia="仿宋_GB2312"/>
          <w:b w:val="0"/>
          <w:bCs/>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b w:val="0"/>
          <w:bCs/>
          <w:sz w:val="32"/>
          <w:szCs w:val="32"/>
        </w:rPr>
        <w:t>公务用车购置及运行维护费支出决算比2022年度减少</w:t>
      </w:r>
      <w:r>
        <w:rPr>
          <w:rFonts w:hint="eastAsia" w:ascii="仿宋_GB2312" w:eastAsia="仿宋_GB2312"/>
          <w:b w:val="0"/>
          <w:bCs/>
          <w:sz w:val="32"/>
          <w:szCs w:val="32"/>
          <w:lang w:val="en-US" w:eastAsia="zh-CN"/>
        </w:rPr>
        <w:t>0.82</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r>
        <w:rPr>
          <w:rFonts w:hint="eastAsia" w:ascii="仿宋_GB2312" w:eastAsia="仿宋_GB2312"/>
          <w:b w:val="0"/>
          <w:bCs/>
          <w:sz w:val="32"/>
          <w:szCs w:val="32"/>
        </w:rPr>
        <w:t>下降</w:t>
      </w:r>
      <w:r>
        <w:rPr>
          <w:rFonts w:hint="eastAsia" w:ascii="仿宋_GB2312" w:eastAsia="仿宋_GB2312"/>
          <w:b w:val="0"/>
          <w:bCs/>
          <w:sz w:val="32"/>
          <w:szCs w:val="32"/>
          <w:lang w:val="en-US" w:eastAsia="zh-CN"/>
        </w:rPr>
        <w:t>100</w:t>
      </w:r>
      <w:r>
        <w:rPr>
          <w:rFonts w:ascii="仿宋_GB2312" w:eastAsia="仿宋_GB2312"/>
          <w:b w:val="0"/>
          <w:bCs/>
          <w:sz w:val="32"/>
          <w:szCs w:val="32"/>
        </w:rPr>
        <w:t>%</w:t>
      </w:r>
      <w:r>
        <w:rPr>
          <w:rFonts w:hint="eastAsia" w:ascii="仿宋_GB2312" w:eastAsia="仿宋_GB2312"/>
          <w:b w:val="0"/>
          <w:bCs/>
          <w:sz w:val="32"/>
          <w:szCs w:val="32"/>
        </w:rPr>
        <w:t>。主要原因是</w:t>
      </w:r>
      <w:r>
        <w:rPr>
          <w:rFonts w:hint="eastAsia" w:ascii="仿宋_GB2312" w:eastAsia="仿宋_GB2312"/>
          <w:b w:val="0"/>
          <w:bCs/>
          <w:sz w:val="32"/>
          <w:szCs w:val="32"/>
          <w:lang w:val="en-US" w:eastAsia="zh-CN"/>
        </w:rPr>
        <w:t>2023年度未做预算安排</w:t>
      </w:r>
      <w:r>
        <w:rPr>
          <w:rFonts w:hint="eastAsia" w:ascii="仿宋_GB2312" w:eastAsia="仿宋_GB2312"/>
          <w:b w:val="0"/>
          <w:bCs/>
          <w:sz w:val="32"/>
          <w:szCs w:val="32"/>
        </w:rPr>
        <w:t>。</w:t>
      </w:r>
    </w:p>
    <w:p w14:paraId="5734B627">
      <w:pPr>
        <w:spacing w:line="600" w:lineRule="exact"/>
        <w:ind w:firstLine="640" w:firstLineChars="200"/>
        <w:rPr>
          <w:rFonts w:hint="eastAsia" w:ascii="仿宋_GB2312" w:eastAsia="仿宋_GB2312"/>
          <w:sz w:val="32"/>
          <w:szCs w:val="32"/>
        </w:rPr>
        <w:sectPr>
          <w:footerReference r:id="rId18"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rPr>
        <w:t>其中：</w:t>
      </w:r>
      <w:r>
        <w:rPr>
          <w:rFonts w:hint="eastAsia" w:ascii="仿宋_GB2312" w:eastAsia="仿宋_GB2312"/>
          <w:b w:val="0"/>
          <w:bCs/>
          <w:sz w:val="32"/>
          <w:szCs w:val="32"/>
        </w:rPr>
        <w:t>公务用车购置支出</w:t>
      </w:r>
      <w:r>
        <w:rPr>
          <w:rFonts w:ascii="仿宋" w:hAnsi="仿宋" w:eastAsia="仿宋"/>
          <w:b w:val="0"/>
          <w:bCs/>
          <w:sz w:val="32"/>
          <w:szCs w:val="32"/>
        </w:rPr>
        <w:t>0</w:t>
      </w:r>
      <w:r>
        <w:rPr>
          <w:rFonts w:hint="eastAsia" w:ascii="仿宋_GB2312" w:eastAsia="仿宋_GB2312"/>
          <w:b w:val="0"/>
          <w:bCs/>
          <w:sz w:val="32"/>
          <w:szCs w:val="32"/>
        </w:rPr>
        <w:t>万元</w:t>
      </w:r>
      <w:r>
        <w:rPr>
          <w:rFonts w:hint="eastAsia" w:ascii="仿宋_GB2312" w:eastAsia="仿宋_GB2312"/>
          <w:sz w:val="32"/>
          <w:szCs w:val="32"/>
        </w:rPr>
        <w:t>。全年按规定更新购置公务用车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w:t>
      </w:r>
    </w:p>
    <w:p w14:paraId="3D852981">
      <w:pPr>
        <w:spacing w:line="600" w:lineRule="exact"/>
        <w:rPr>
          <w:rFonts w:hint="default" w:ascii="仿宋_GB2312" w:eastAsia="仿宋_GB2312"/>
          <w:b/>
          <w:sz w:val="32"/>
          <w:szCs w:val="32"/>
          <w:lang w:val="en-US" w:eastAsia="zh-CN"/>
        </w:rPr>
      </w:pPr>
      <w:r>
        <w:rPr>
          <w:rFonts w:hint="eastAsia" w:ascii="仿宋_GB2312" w:eastAsia="仿宋_GB2312"/>
          <w:sz w:val="32"/>
          <w:szCs w:val="32"/>
        </w:rPr>
        <w:t>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、其他用车（救护车）</w:t>
      </w:r>
      <w:r>
        <w:rPr>
          <w:rFonts w:hint="eastAsia" w:ascii="仿宋_GB2312" w:eastAsia="仿宋_GB2312"/>
          <w:sz w:val="32"/>
          <w:szCs w:val="32"/>
          <w:lang w:val="en-US" w:eastAsia="zh-CN"/>
        </w:rPr>
        <w:t>1辆。</w:t>
      </w:r>
    </w:p>
    <w:p w14:paraId="033729C5">
      <w:pPr>
        <w:spacing w:line="600" w:lineRule="exact"/>
        <w:ind w:firstLine="640"/>
        <w:rPr>
          <w:rFonts w:hint="eastAsia" w:ascii="仿宋_GB2312" w:eastAsia="仿宋_GB2312"/>
          <w:b w:val="0"/>
          <w:bCs/>
          <w:sz w:val="32"/>
          <w:szCs w:val="32"/>
        </w:rPr>
      </w:pPr>
      <w:r>
        <w:rPr>
          <w:rFonts w:hint="eastAsia" w:ascii="仿宋_GB2312" w:eastAsia="仿宋_GB2312"/>
          <w:b w:val="0"/>
          <w:bCs/>
          <w:sz w:val="32"/>
          <w:szCs w:val="32"/>
        </w:rPr>
        <w:t>公务用车运行维护费支出</w:t>
      </w:r>
      <w:r>
        <w:rPr>
          <w:rFonts w:ascii="仿宋" w:hAnsi="仿宋" w:eastAsia="仿宋"/>
          <w:b w:val="0"/>
          <w:bCs/>
          <w:sz w:val="32"/>
          <w:szCs w:val="32"/>
        </w:rPr>
        <w:t>0</w:t>
      </w:r>
      <w:r>
        <w:rPr>
          <w:rFonts w:hint="eastAsia" w:ascii="仿宋_GB2312" w:eastAsia="仿宋_GB2312"/>
          <w:b w:val="0"/>
          <w:bCs/>
          <w:sz w:val="32"/>
          <w:szCs w:val="32"/>
        </w:rPr>
        <w:t>万元。</w:t>
      </w:r>
    </w:p>
    <w:p w14:paraId="4B9C87C1">
      <w:pPr>
        <w:spacing w:line="600" w:lineRule="exact"/>
        <w:ind w:firstLine="640"/>
        <w:rPr>
          <w:rFonts w:ascii="仿宋_GB2312" w:eastAsia="仿宋_GB2312"/>
          <w:sz w:val="32"/>
          <w:szCs w:val="32"/>
        </w:rPr>
      </w:pPr>
      <w:r>
        <w:rPr>
          <w:rStyle w:val="17"/>
          <w:rFonts w:hint="default" w:eastAsia="仿宋_GB2312" w:cs="Times New Roman"/>
          <w:b w:val="0"/>
          <w:bCs/>
          <w:color w:val="auto"/>
          <w:sz w:val="32"/>
          <w:szCs w:val="32"/>
          <w:lang w:val="en-US" w:eastAsia="zh-CN"/>
        </w:rPr>
        <w:t>3.</w:t>
      </w:r>
      <w:r>
        <w:rPr>
          <w:rFonts w:hint="eastAsia" w:ascii="仿宋_GB2312" w:eastAsia="仿宋_GB2312"/>
          <w:b w:val="0"/>
          <w:bCs/>
          <w:sz w:val="32"/>
          <w:szCs w:val="32"/>
        </w:rPr>
        <w:t>公务接待费支出</w:t>
      </w:r>
      <w:r>
        <w:rPr>
          <w:rFonts w:ascii="仿宋" w:hAnsi="仿宋" w:eastAsia="仿宋"/>
          <w:b w:val="0"/>
          <w:bCs/>
          <w:sz w:val="32"/>
          <w:szCs w:val="32"/>
        </w:rPr>
        <w:t>0</w:t>
      </w:r>
      <w:r>
        <w:rPr>
          <w:rFonts w:hint="eastAsia" w:ascii="仿宋_GB2312" w:eastAsia="仿宋_GB2312"/>
          <w:b w:val="0"/>
          <w:bCs/>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相比无变化</w:t>
      </w:r>
      <w:r>
        <w:rPr>
          <w:rFonts w:hint="eastAsia" w:ascii="仿宋_GB2312" w:eastAsia="仿宋_GB2312"/>
          <w:sz w:val="32"/>
          <w:szCs w:val="32"/>
        </w:rPr>
        <w:t>。其中：</w:t>
      </w:r>
    </w:p>
    <w:p w14:paraId="68BEF540">
      <w:pPr>
        <w:spacing w:line="600" w:lineRule="exact"/>
        <w:ind w:firstLine="640"/>
        <w:rPr>
          <w:rFonts w:ascii="仿宋_GB2312" w:eastAsia="仿宋_GB2312"/>
          <w:b w:val="0"/>
          <w:bCs/>
          <w:sz w:val="32"/>
          <w:szCs w:val="32"/>
        </w:rPr>
      </w:pPr>
      <w:r>
        <w:rPr>
          <w:rFonts w:hint="eastAsia" w:ascii="仿宋" w:hAnsi="仿宋" w:eastAsia="仿宋"/>
          <w:b w:val="0"/>
          <w:bCs/>
          <w:sz w:val="32"/>
          <w:szCs w:val="32"/>
        </w:rPr>
        <w:t>国内公务接待支出</w:t>
      </w:r>
      <w:r>
        <w:rPr>
          <w:rFonts w:ascii="仿宋" w:hAnsi="仿宋" w:eastAsia="仿宋"/>
          <w:b w:val="0"/>
          <w:bCs/>
          <w:sz w:val="32"/>
          <w:szCs w:val="32"/>
        </w:rPr>
        <w:t>0</w:t>
      </w:r>
      <w:r>
        <w:rPr>
          <w:rFonts w:hint="eastAsia" w:ascii="仿宋_GB2312" w:eastAsia="仿宋_GB2312"/>
          <w:b w:val="0"/>
          <w:bCs/>
          <w:sz w:val="32"/>
          <w:szCs w:val="32"/>
        </w:rPr>
        <w:t>万元，国内公务接待</w:t>
      </w:r>
      <w:r>
        <w:rPr>
          <w:rFonts w:hint="eastAsia" w:ascii="仿宋_GB2312" w:eastAsia="仿宋_GB2312"/>
          <w:b w:val="0"/>
          <w:bCs/>
          <w:sz w:val="32"/>
          <w:szCs w:val="32"/>
          <w:lang w:val="en-US" w:eastAsia="zh-CN"/>
        </w:rPr>
        <w:t>0</w:t>
      </w:r>
      <w:r>
        <w:rPr>
          <w:rFonts w:hint="eastAsia" w:ascii="仿宋_GB2312" w:eastAsia="仿宋_GB2312"/>
          <w:b w:val="0"/>
          <w:bCs/>
          <w:sz w:val="32"/>
          <w:szCs w:val="32"/>
        </w:rPr>
        <w:t>批次，</w:t>
      </w:r>
      <w:r>
        <w:rPr>
          <w:rFonts w:hint="eastAsia" w:ascii="仿宋_GB2312" w:eastAsia="仿宋_GB2312"/>
          <w:b w:val="0"/>
          <w:bCs/>
          <w:sz w:val="32"/>
          <w:szCs w:val="32"/>
          <w:lang w:val="en-US" w:eastAsia="zh-CN"/>
        </w:rPr>
        <w:t>0</w:t>
      </w:r>
      <w:r>
        <w:rPr>
          <w:rFonts w:hint="eastAsia" w:ascii="仿宋_GB2312" w:eastAsia="仿宋_GB2312"/>
          <w:b w:val="0"/>
          <w:bCs/>
          <w:sz w:val="32"/>
          <w:szCs w:val="32"/>
        </w:rPr>
        <w:t>人次（不包括陪同人员），共计支出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w:t>
      </w:r>
    </w:p>
    <w:p w14:paraId="397FB045">
      <w:pPr>
        <w:spacing w:line="600" w:lineRule="exact"/>
        <w:ind w:firstLine="640" w:firstLineChars="200"/>
        <w:rPr>
          <w:rFonts w:ascii="黑体" w:eastAsia="黑体"/>
          <w:sz w:val="32"/>
          <w:szCs w:val="32"/>
        </w:rPr>
      </w:pPr>
      <w:r>
        <w:rPr>
          <w:rFonts w:hint="eastAsia" w:ascii="仿宋" w:hAnsi="仿宋" w:eastAsia="仿宋"/>
          <w:b w:val="0"/>
          <w:bCs/>
          <w:sz w:val="32"/>
          <w:szCs w:val="32"/>
        </w:rPr>
        <w:t>外事接待支出</w:t>
      </w:r>
      <w:r>
        <w:rPr>
          <w:rFonts w:ascii="仿宋" w:hAnsi="仿宋" w:eastAsia="仿宋"/>
          <w:b w:val="0"/>
          <w:bCs/>
          <w:sz w:val="32"/>
          <w:szCs w:val="32"/>
        </w:rPr>
        <w:t>0</w:t>
      </w:r>
      <w:r>
        <w:rPr>
          <w:rFonts w:hint="eastAsia" w:ascii="仿宋_GB2312" w:eastAsia="仿宋_GB2312"/>
          <w:b w:val="0"/>
          <w:bCs/>
          <w:sz w:val="32"/>
          <w:szCs w:val="32"/>
        </w:rPr>
        <w:t>万元</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4A1C5A1E">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4"/>
      <w:bookmarkEnd w:id="45"/>
    </w:p>
    <w:p w14:paraId="5BA9B3A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val="0"/>
          <w:bCs/>
          <w:sz w:val="32"/>
          <w:szCs w:val="32"/>
        </w:rPr>
        <w:t>0</w:t>
      </w:r>
      <w:r>
        <w:rPr>
          <w:rFonts w:hint="eastAsia" w:ascii="仿宋_GB2312" w:eastAsia="仿宋_GB2312"/>
          <w:sz w:val="32"/>
          <w:szCs w:val="32"/>
        </w:rPr>
        <w:t>万元。</w:t>
      </w:r>
    </w:p>
    <w:p w14:paraId="6D1E5E18">
      <w:pPr>
        <w:numPr>
          <w:ilvl w:val="0"/>
          <w:numId w:val="3"/>
        </w:numPr>
        <w:spacing w:line="600" w:lineRule="exact"/>
        <w:ind w:firstLine="640"/>
        <w:outlineLvl w:val="1"/>
        <w:rPr>
          <w:rStyle w:val="29"/>
          <w:rFonts w:ascii="黑体" w:hAnsi="黑体" w:eastAsia="黑体"/>
          <w:b w:val="0"/>
        </w:rPr>
      </w:pPr>
      <w:bookmarkStart w:id="46" w:name="_Toc15396611"/>
      <w:bookmarkStart w:id="47" w:name="_Toc15377219"/>
      <w:r>
        <w:rPr>
          <w:rStyle w:val="29"/>
          <w:rFonts w:hint="eastAsia" w:ascii="黑体" w:hAnsi="黑体" w:eastAsia="黑体"/>
          <w:b w:val="0"/>
        </w:rPr>
        <w:t>国有资本经营预算支出决算情况说明</w:t>
      </w:r>
      <w:bookmarkEnd w:id="46"/>
      <w:bookmarkEnd w:id="47"/>
    </w:p>
    <w:p w14:paraId="58A44EC5">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w:t>
      </w:r>
      <w:r>
        <w:rPr>
          <w:rFonts w:hint="eastAsia" w:ascii="仿宋_GB2312" w:eastAsia="仿宋_GB2312"/>
          <w:b w:val="0"/>
          <w:bCs w:val="0"/>
          <w:sz w:val="32"/>
          <w:szCs w:val="32"/>
        </w:rPr>
        <w:t>出</w:t>
      </w:r>
      <w:r>
        <w:rPr>
          <w:rFonts w:ascii="仿宋" w:hAnsi="仿宋" w:eastAsia="仿宋"/>
          <w:b w:val="0"/>
          <w:bCs w:val="0"/>
          <w:sz w:val="32"/>
          <w:szCs w:val="32"/>
        </w:rPr>
        <w:t>0</w:t>
      </w:r>
      <w:r>
        <w:rPr>
          <w:rFonts w:hint="eastAsia" w:ascii="仿宋_GB2312" w:eastAsia="仿宋_GB2312"/>
          <w:b w:val="0"/>
          <w:bCs w:val="0"/>
          <w:sz w:val="32"/>
          <w:szCs w:val="32"/>
        </w:rPr>
        <w:t>万</w:t>
      </w:r>
      <w:r>
        <w:rPr>
          <w:rFonts w:hint="eastAsia" w:ascii="仿宋_GB2312" w:eastAsia="仿宋_GB2312"/>
          <w:sz w:val="32"/>
          <w:szCs w:val="32"/>
        </w:rPr>
        <w:t>元。</w:t>
      </w:r>
    </w:p>
    <w:p w14:paraId="7EFAAE93">
      <w:pPr>
        <w:numPr>
          <w:ilvl w:val="0"/>
          <w:numId w:val="3"/>
        </w:numPr>
        <w:spacing w:line="600" w:lineRule="exact"/>
        <w:ind w:firstLine="640"/>
        <w:outlineLvl w:val="1"/>
        <w:rPr>
          <w:rStyle w:val="29"/>
          <w:rFonts w:ascii="黑体" w:hAnsi="黑体" w:eastAsia="黑体"/>
          <w:b w:val="0"/>
        </w:rPr>
      </w:pPr>
      <w:bookmarkStart w:id="48" w:name="_Toc15377221"/>
      <w:bookmarkStart w:id="49" w:name="_Toc15396612"/>
      <w:r>
        <w:rPr>
          <w:rStyle w:val="29"/>
          <w:rFonts w:hint="eastAsia" w:ascii="黑体" w:hAnsi="黑体" w:eastAsia="黑体"/>
          <w:b w:val="0"/>
        </w:rPr>
        <w:t>其他重要事项的情况说明</w:t>
      </w:r>
      <w:bookmarkEnd w:id="48"/>
      <w:bookmarkEnd w:id="49"/>
    </w:p>
    <w:p w14:paraId="6A91CB1D">
      <w:pPr>
        <w:spacing w:line="600" w:lineRule="exact"/>
        <w:ind w:firstLine="643" w:firstLineChars="200"/>
        <w:outlineLvl w:val="2"/>
        <w:rPr>
          <w:rFonts w:hint="eastAsia" w:ascii="楷体" w:hAnsi="楷体" w:eastAsia="楷体" w:cs="楷体"/>
          <w:b/>
          <w:sz w:val="32"/>
          <w:szCs w:val="32"/>
        </w:rPr>
      </w:pPr>
      <w:bookmarkStart w:id="50" w:name="_Toc15377222"/>
      <w:r>
        <w:rPr>
          <w:rFonts w:hint="eastAsia" w:ascii="楷体" w:hAnsi="楷体" w:eastAsia="楷体" w:cs="楷体"/>
          <w:b/>
          <w:sz w:val="32"/>
          <w:szCs w:val="32"/>
        </w:rPr>
        <w:t>（一）机关运行经费支出情况</w:t>
      </w:r>
      <w:bookmarkEnd w:id="50"/>
    </w:p>
    <w:p w14:paraId="01226FD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val="0"/>
          <w:bCs/>
          <w:sz w:val="32"/>
          <w:szCs w:val="32"/>
        </w:rPr>
        <w:t>盐边县永兴中心卫生院</w:t>
      </w:r>
      <w:r>
        <w:rPr>
          <w:rFonts w:hint="eastAsia" w:ascii="仿宋_GB2312" w:eastAsia="仿宋_GB2312"/>
          <w:sz w:val="32"/>
          <w:szCs w:val="32"/>
        </w:rPr>
        <w:t>机关运行经费支出</w:t>
      </w:r>
      <w:r>
        <w:rPr>
          <w:rFonts w:ascii="仿宋" w:hAnsi="仿宋" w:eastAsia="仿宋"/>
          <w:b w:val="0"/>
          <w:bCs/>
          <w:sz w:val="32"/>
          <w:szCs w:val="32"/>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相比无变化</w:t>
      </w:r>
      <w:r>
        <w:rPr>
          <w:rFonts w:hint="eastAsia" w:ascii="仿宋_GB2312" w:eastAsia="仿宋_GB2312"/>
          <w:sz w:val="32"/>
          <w:szCs w:val="32"/>
        </w:rPr>
        <w:t>。</w:t>
      </w:r>
    </w:p>
    <w:p w14:paraId="110F77F6">
      <w:pPr>
        <w:spacing w:line="600" w:lineRule="exact"/>
        <w:ind w:firstLine="643" w:firstLineChars="200"/>
        <w:outlineLvl w:val="2"/>
        <w:rPr>
          <w:rFonts w:hint="eastAsia" w:ascii="楷体" w:hAnsi="楷体" w:eastAsia="楷体" w:cs="楷体"/>
          <w:b/>
          <w:sz w:val="32"/>
          <w:szCs w:val="32"/>
        </w:rPr>
      </w:pPr>
      <w:bookmarkStart w:id="51" w:name="_Toc15377223"/>
      <w:r>
        <w:rPr>
          <w:rFonts w:hint="eastAsia" w:ascii="楷体" w:hAnsi="楷体" w:eastAsia="楷体" w:cs="楷体"/>
          <w:b/>
          <w:sz w:val="32"/>
          <w:szCs w:val="32"/>
        </w:rPr>
        <w:t>（二）政府采购支出情况</w:t>
      </w:r>
      <w:bookmarkEnd w:id="51"/>
    </w:p>
    <w:p w14:paraId="7D45AE3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val="0"/>
          <w:bCs/>
          <w:sz w:val="32"/>
          <w:szCs w:val="32"/>
        </w:rPr>
        <w:t>盐边县永兴中心卫生院</w:t>
      </w:r>
      <w:r>
        <w:rPr>
          <w:rFonts w:hint="eastAsia" w:ascii="仿宋_GB2312" w:eastAsia="仿宋_GB2312"/>
          <w:b w:val="0"/>
          <w:bCs/>
          <w:sz w:val="32"/>
          <w:szCs w:val="32"/>
        </w:rPr>
        <w:t>政</w:t>
      </w:r>
      <w:r>
        <w:rPr>
          <w:rFonts w:hint="eastAsia" w:ascii="仿宋_GB2312" w:eastAsia="仿宋_GB2312"/>
          <w:sz w:val="32"/>
          <w:szCs w:val="32"/>
        </w:rPr>
        <w:t>府采购支出总额</w:t>
      </w:r>
      <w:r>
        <w:rPr>
          <w:rFonts w:ascii="仿宋" w:hAnsi="仿宋" w:eastAsia="仿宋"/>
          <w:b w:val="0"/>
          <w:bCs/>
          <w:sz w:val="32"/>
          <w:szCs w:val="32"/>
        </w:rPr>
        <w:t>0</w:t>
      </w:r>
      <w:r>
        <w:rPr>
          <w:rFonts w:hint="eastAsia" w:ascii="仿宋_GB2312" w:eastAsia="仿宋_GB2312"/>
          <w:sz w:val="32"/>
          <w:szCs w:val="32"/>
        </w:rPr>
        <w:t>万元，其中：政府采购货</w:t>
      </w:r>
      <w:r>
        <w:rPr>
          <w:rFonts w:hint="eastAsia" w:ascii="仿宋_GB2312" w:eastAsia="仿宋_GB2312"/>
          <w:b w:val="0"/>
          <w:bCs w:val="0"/>
          <w:sz w:val="32"/>
          <w:szCs w:val="32"/>
        </w:rPr>
        <w:t>物支出</w:t>
      </w:r>
      <w:r>
        <w:rPr>
          <w:rFonts w:ascii="仿宋" w:hAnsi="仿宋" w:eastAsia="仿宋"/>
          <w:b w:val="0"/>
          <w:bCs w:val="0"/>
          <w:sz w:val="32"/>
          <w:szCs w:val="32"/>
        </w:rPr>
        <w:t>0</w:t>
      </w:r>
      <w:r>
        <w:rPr>
          <w:rFonts w:hint="eastAsia" w:ascii="仿宋_GB2312" w:eastAsia="仿宋_GB2312"/>
          <w:b w:val="0"/>
          <w:bCs w:val="0"/>
          <w:sz w:val="32"/>
          <w:szCs w:val="32"/>
        </w:rPr>
        <w:t>万元、政府采购工程支出</w:t>
      </w:r>
      <w:r>
        <w:rPr>
          <w:rFonts w:ascii="仿宋" w:hAnsi="仿宋" w:eastAsia="仿宋"/>
          <w:b w:val="0"/>
          <w:bCs w:val="0"/>
          <w:sz w:val="32"/>
          <w:szCs w:val="32"/>
        </w:rPr>
        <w:t>0</w:t>
      </w:r>
      <w:r>
        <w:rPr>
          <w:rFonts w:hint="eastAsia" w:ascii="仿宋_GB2312" w:eastAsia="仿宋_GB2312"/>
          <w:b w:val="0"/>
          <w:bCs w:val="0"/>
          <w:sz w:val="32"/>
          <w:szCs w:val="32"/>
        </w:rPr>
        <w:t>万元、政府采购服务支出</w:t>
      </w:r>
      <w:r>
        <w:rPr>
          <w:rFonts w:ascii="仿宋" w:hAnsi="仿宋" w:eastAsia="仿宋"/>
          <w:b w:val="0"/>
          <w:bCs w:val="0"/>
          <w:sz w:val="32"/>
          <w:szCs w:val="32"/>
        </w:rPr>
        <w:t>0</w:t>
      </w:r>
      <w:r>
        <w:rPr>
          <w:rFonts w:hint="eastAsia" w:ascii="仿宋_GB2312" w:eastAsia="仿宋_GB2312"/>
          <w:b w:val="0"/>
          <w:bCs w:val="0"/>
          <w:sz w:val="32"/>
          <w:szCs w:val="32"/>
        </w:rPr>
        <w:t>万元。授予中小企业合同金额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，其中：授予小微企业合同金额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w:t>
      </w:r>
    </w:p>
    <w:p w14:paraId="15EAE942">
      <w:pPr>
        <w:spacing w:line="600" w:lineRule="exact"/>
        <w:ind w:firstLine="643" w:firstLineChars="200"/>
        <w:outlineLvl w:val="2"/>
        <w:rPr>
          <w:rFonts w:hint="eastAsia" w:ascii="楷体" w:hAnsi="楷体" w:eastAsia="楷体" w:cs="楷体"/>
          <w:b/>
          <w:sz w:val="32"/>
          <w:szCs w:val="32"/>
        </w:rPr>
      </w:pPr>
      <w:bookmarkStart w:id="52" w:name="_Toc15377224"/>
      <w:r>
        <w:rPr>
          <w:rFonts w:hint="eastAsia" w:ascii="楷体" w:hAnsi="楷体" w:eastAsia="楷体" w:cs="楷体"/>
          <w:b/>
          <w:sz w:val="32"/>
          <w:szCs w:val="32"/>
        </w:rPr>
        <w:t>（三）国有资产占有使用情况</w:t>
      </w:r>
      <w:bookmarkEnd w:id="52"/>
    </w:p>
    <w:p w14:paraId="6061BFF9">
      <w:pPr>
        <w:autoSpaceDE w:val="0"/>
        <w:autoSpaceDN w:val="0"/>
        <w:adjustRightInd w:val="0"/>
        <w:spacing w:line="600" w:lineRule="exact"/>
        <w:ind w:firstLine="640" w:firstLineChars="200"/>
        <w:jc w:val="left"/>
        <w:rPr>
          <w:rFonts w:hint="eastAsia" w:ascii="仿宋_GB2312" w:eastAsia="仿宋_GB2312"/>
          <w:sz w:val="32"/>
          <w:szCs w:val="32"/>
        </w:rPr>
        <w:sectPr>
          <w:footerReference r:id="rId19" w:type="default"/>
          <w:pgSz w:w="11906" w:h="16838"/>
          <w:pgMar w:top="1440" w:right="1800" w:bottom="1440" w:left="1800" w:header="851" w:footer="992" w:gutter="0"/>
          <w:pgNumType w:fmt="decimal"/>
          <w:cols w:space="425" w:num="1"/>
          <w:docGrid w:type="lines" w:linePitch="312" w:charSpace="0"/>
        </w:sectPr>
      </w:pPr>
    </w:p>
    <w:p w14:paraId="2B78AB3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val="0"/>
          <w:bCs/>
          <w:sz w:val="32"/>
          <w:szCs w:val="32"/>
        </w:rPr>
        <w:t>盐边县永兴中心卫生院</w:t>
      </w:r>
      <w:r>
        <w:rPr>
          <w:rFonts w:hint="eastAsia" w:ascii="仿宋_GB2312" w:eastAsia="仿宋_GB2312"/>
          <w:b w:val="0"/>
          <w:bCs/>
          <w:sz w:val="32"/>
          <w:szCs w:val="32"/>
        </w:rPr>
        <w:t>共有</w:t>
      </w:r>
      <w:r>
        <w:rPr>
          <w:rFonts w:hint="eastAsia" w:ascii="仿宋_GB2312" w:eastAsia="仿宋_GB2312"/>
          <w:sz w:val="32"/>
          <w:szCs w:val="32"/>
        </w:rPr>
        <w:t>车辆</w:t>
      </w:r>
      <w:r>
        <w:rPr>
          <w:rFonts w:hint="eastAsia" w:ascii="仿宋_GB2312" w:eastAsia="仿宋_GB2312"/>
          <w:b w:val="0"/>
          <w:bCs/>
          <w:sz w:val="32"/>
          <w:szCs w:val="32"/>
        </w:rPr>
        <w:t>1辆，其中：主要领导干部用车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辆、机要通信用车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辆、应</w:t>
      </w:r>
      <w:r>
        <w:rPr>
          <w:rFonts w:hint="eastAsia" w:ascii="仿宋_GB2312" w:eastAsia="仿宋_GB2312"/>
          <w:sz w:val="32"/>
          <w:szCs w:val="32"/>
        </w:rPr>
        <w:t>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sz w:val="32"/>
          <w:szCs w:val="32"/>
          <w:lang w:eastAsia="zh-CN"/>
        </w:rPr>
        <w:t>医疗救护和下村体检工作</w:t>
      </w:r>
      <w:r>
        <w:rPr>
          <w:rFonts w:hint="eastAsia" w:ascii="仿宋_GB2312" w:eastAsia="仿宋_GB2312"/>
          <w:sz w:val="32"/>
          <w:szCs w:val="32"/>
        </w:rPr>
        <w:t>。单价</w:t>
      </w:r>
      <w:r>
        <w:rPr>
          <w:rFonts w:hint="eastAsia" w:ascii="仿宋_GB2312" w:eastAsia="仿宋_GB2312"/>
          <w:sz w:val="32"/>
          <w:szCs w:val="32"/>
          <w:lang w:val="en-US" w:eastAsia="zh-CN"/>
        </w:rPr>
        <w:t>50</w:t>
      </w:r>
      <w:r>
        <w:rPr>
          <w:rFonts w:hint="eastAsia" w:ascii="仿宋_GB2312" w:eastAsia="仿宋_GB2312"/>
          <w:sz w:val="32"/>
          <w:szCs w:val="32"/>
        </w:rPr>
        <w:t>万元以上</w:t>
      </w:r>
      <w:r>
        <w:rPr>
          <w:rFonts w:hint="eastAsia" w:ascii="仿宋_GB2312" w:eastAsia="仿宋_GB2312"/>
          <w:sz w:val="32"/>
          <w:szCs w:val="32"/>
          <w:lang w:eastAsia="zh-CN"/>
        </w:rPr>
        <w:t>通用</w:t>
      </w:r>
      <w:r>
        <w:rPr>
          <w:rFonts w:hint="eastAsia" w:ascii="仿宋_GB2312" w:eastAsia="仿宋_GB2312"/>
          <w:b w:val="0"/>
          <w:bCs w:val="0"/>
          <w:sz w:val="32"/>
          <w:szCs w:val="32"/>
        </w:rPr>
        <w:t>设备</w:t>
      </w:r>
      <w:r>
        <w:rPr>
          <w:rFonts w:hint="eastAsia" w:ascii="仿宋_GB2312" w:eastAsia="仿宋_GB2312"/>
          <w:b w:val="0"/>
          <w:bCs w:val="0"/>
          <w:color w:val="000000" w:themeColor="text1"/>
          <w:sz w:val="32"/>
          <w:szCs w:val="32"/>
          <w:lang w:val="en-US" w:eastAsia="zh-CN"/>
          <w14:textFill>
            <w14:solidFill>
              <w14:schemeClr w14:val="tx1"/>
            </w14:solidFill>
          </w14:textFill>
        </w:rPr>
        <w:t>0</w:t>
      </w:r>
      <w:r>
        <w:rPr>
          <w:rFonts w:hint="eastAsia" w:ascii="仿宋_GB2312" w:eastAsia="仿宋_GB2312"/>
          <w:b w:val="0"/>
          <w:bCs w:val="0"/>
          <w:color w:val="000000" w:themeColor="text1"/>
          <w:sz w:val="32"/>
          <w:szCs w:val="32"/>
          <w14:textFill>
            <w14:solidFill>
              <w14:schemeClr w14:val="tx1"/>
            </w14:solidFill>
          </w14:textFill>
        </w:rPr>
        <w:t>台</w:t>
      </w:r>
      <w:r>
        <w:rPr>
          <w:rFonts w:hint="eastAsia" w:ascii="仿宋_GB2312" w:eastAsia="仿宋_GB2312"/>
          <w:color w:val="000000" w:themeColor="text1"/>
          <w:sz w:val="32"/>
          <w:szCs w:val="32"/>
          <w14:textFill>
            <w14:solidFill>
              <w14:schemeClr w14:val="tx1"/>
            </w14:solidFill>
          </w14:textFill>
        </w:rPr>
        <w:t>（套）</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w:t>
      </w:r>
      <w:r>
        <w:rPr>
          <w:rFonts w:hint="eastAsia" w:ascii="仿宋_GB2312" w:eastAsia="仿宋_GB2312"/>
          <w:sz w:val="32"/>
          <w:szCs w:val="32"/>
          <w:lang w:eastAsia="zh-CN"/>
        </w:rPr>
        <w:t>专用</w:t>
      </w:r>
      <w:r>
        <w:rPr>
          <w:rFonts w:hint="eastAsia" w:ascii="仿宋_GB2312" w:eastAsia="仿宋_GB2312"/>
          <w:sz w:val="32"/>
          <w:szCs w:val="32"/>
        </w:rPr>
        <w:t>设备（不含车辆）</w:t>
      </w:r>
      <w:r>
        <w:rPr>
          <w:rFonts w:ascii="仿宋_GB2312" w:eastAsia="仿宋_GB2312"/>
          <w:b w:val="0"/>
          <w:bCs/>
          <w:sz w:val="32"/>
          <w:szCs w:val="32"/>
        </w:rPr>
        <w:t>0</w:t>
      </w:r>
      <w:r>
        <w:rPr>
          <w:rFonts w:hint="eastAsia" w:ascii="仿宋_GB2312" w:eastAsia="仿宋_GB2312"/>
          <w:sz w:val="32"/>
          <w:szCs w:val="32"/>
        </w:rPr>
        <w:t>台（套）。</w:t>
      </w:r>
    </w:p>
    <w:p w14:paraId="42E80A80">
      <w:pPr>
        <w:spacing w:line="600" w:lineRule="exact"/>
        <w:ind w:firstLine="643" w:firstLineChars="200"/>
        <w:outlineLvl w:val="2"/>
        <w:rPr>
          <w:rFonts w:hint="eastAsia" w:ascii="楷体" w:hAnsi="楷体" w:eastAsia="楷体" w:cs="楷体"/>
          <w:b/>
          <w:sz w:val="32"/>
          <w:szCs w:val="32"/>
        </w:rPr>
      </w:pPr>
      <w:r>
        <w:rPr>
          <w:rFonts w:hint="eastAsia" w:ascii="楷体" w:hAnsi="楷体" w:eastAsia="楷体" w:cs="楷体"/>
          <w:b/>
          <w:sz w:val="32"/>
          <w:szCs w:val="32"/>
        </w:rPr>
        <w:t>（四）预算绩效管理情况</w:t>
      </w:r>
    </w:p>
    <w:p w14:paraId="6769516E">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基本公共卫生服务、基本药物制度</w:t>
      </w:r>
      <w:r>
        <w:rPr>
          <w:rFonts w:hint="eastAsia" w:ascii="仿宋_GB2312" w:eastAsia="仿宋_GB2312"/>
          <w:sz w:val="32"/>
          <w:szCs w:val="32"/>
        </w:rPr>
        <w:t>等</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14:paraId="5D3A2A07">
      <w:pPr>
        <w:numPr>
          <w:ilvl w:val="0"/>
          <w:numId w:val="4"/>
        </w:numPr>
        <w:spacing w:line="600" w:lineRule="exact"/>
        <w:ind w:firstLine="663" w:firstLineChars="150"/>
        <w:jc w:val="center"/>
        <w:outlineLvl w:val="0"/>
        <w:rPr>
          <w:rFonts w:ascii="宋体"/>
          <w:b/>
          <w:sz w:val="44"/>
          <w:szCs w:val="44"/>
        </w:rPr>
        <w:sectPr>
          <w:footerReference r:id="rId20" w:type="default"/>
          <w:pgSz w:w="11906" w:h="16838"/>
          <w:pgMar w:top="1440" w:right="1800" w:bottom="1440" w:left="1800" w:header="851" w:footer="992" w:gutter="0"/>
          <w:pgNumType w:fmt="decimal"/>
          <w:cols w:space="425" w:num="1"/>
          <w:docGrid w:type="lines" w:linePitch="312" w:charSpace="0"/>
        </w:sectPr>
      </w:pPr>
      <w:bookmarkStart w:id="53" w:name="_Toc15396613"/>
      <w:bookmarkStart w:id="54" w:name="_Toc15377225"/>
    </w:p>
    <w:p w14:paraId="495CA4F0">
      <w:pPr>
        <w:numPr>
          <w:ilvl w:val="0"/>
          <w:numId w:val="4"/>
        </w:numPr>
        <w:spacing w:line="600" w:lineRule="exact"/>
        <w:ind w:firstLine="660" w:firstLineChars="150"/>
        <w:jc w:val="center"/>
        <w:outlineLvl w:val="0"/>
        <w:rPr>
          <w:rFonts w:ascii="宋体"/>
          <w:b/>
          <w:sz w:val="44"/>
          <w:szCs w:val="44"/>
        </w:rPr>
      </w:pPr>
      <w:r>
        <w:rPr>
          <w:rFonts w:hint="eastAsia" w:ascii="黑体" w:hAnsi="黑体" w:eastAsia="黑体"/>
          <w:sz w:val="44"/>
          <w:szCs w:val="44"/>
        </w:rPr>
        <w:t>名</w:t>
      </w:r>
      <w:r>
        <w:rPr>
          <w:rStyle w:val="28"/>
          <w:rFonts w:hint="eastAsia" w:ascii="黑体" w:hAnsi="黑体" w:eastAsia="黑体"/>
          <w:b w:val="0"/>
        </w:rPr>
        <w:t>词解释</w:t>
      </w:r>
      <w:bookmarkEnd w:id="53"/>
      <w:bookmarkEnd w:id="54"/>
    </w:p>
    <w:p w14:paraId="775F936A">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1</w:t>
      </w:r>
      <w:r>
        <w:rPr>
          <w:rStyle w:val="17"/>
          <w:rFonts w:hint="default" w:ascii="Times New Roman" w:hAnsi="Times New Roman" w:eastAsia="仿宋_GB2312" w:cs="Times New Roman"/>
          <w:b w:val="0"/>
          <w:bCs/>
          <w:color w:val="auto"/>
          <w:kern w:val="2"/>
          <w:sz w:val="32"/>
          <w:szCs w:val="32"/>
          <w:lang w:val="en-US" w:eastAsia="zh-CN" w:bidi="ar-SA"/>
        </w:rPr>
        <w:t>.</w:t>
      </w:r>
      <w:r>
        <w:rPr>
          <w:rFonts w:hint="eastAsia" w:ascii="仿宋_GB2312" w:eastAsia="仿宋_GB2312"/>
          <w:color w:val="auto"/>
          <w:sz w:val="32"/>
          <w:szCs w:val="32"/>
        </w:rPr>
        <w:t>财政拨款收入：指单位从同级财政部门取得的财政预算资金。</w:t>
      </w:r>
    </w:p>
    <w:p w14:paraId="7D4DD230">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2.</w:t>
      </w:r>
      <w:r>
        <w:rPr>
          <w:rFonts w:hint="eastAsia" w:ascii="仿宋_GB2312" w:eastAsia="仿宋_GB2312"/>
          <w:color w:val="auto"/>
          <w:sz w:val="32"/>
          <w:szCs w:val="32"/>
        </w:rPr>
        <w:t>事业收入：指事业单位开展专业业务活动及辅助活动取得的收入。</w:t>
      </w:r>
    </w:p>
    <w:p w14:paraId="7200DAB5">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3.</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7616EC65">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4.</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w:t>
      </w:r>
      <w:r>
        <w:rPr>
          <w:rFonts w:hint="eastAsia" w:ascii="仿宋_GB2312" w:eastAsia="仿宋_GB2312"/>
          <w:color w:val="auto"/>
          <w:sz w:val="32"/>
          <w:szCs w:val="32"/>
          <w:lang w:eastAsia="zh-CN"/>
        </w:rPr>
        <w:t>金</w:t>
      </w:r>
      <w:r>
        <w:rPr>
          <w:rFonts w:hint="eastAsia" w:ascii="仿宋_GB2312" w:eastAsia="仿宋_GB2312"/>
          <w:color w:val="auto"/>
          <w:sz w:val="32"/>
          <w:szCs w:val="32"/>
        </w:rPr>
        <w:t>额。</w:t>
      </w:r>
      <w:r>
        <w:rPr>
          <w:rFonts w:ascii="仿宋_GB2312" w:eastAsia="仿宋_GB2312"/>
          <w:color w:val="auto"/>
          <w:sz w:val="32"/>
          <w:szCs w:val="32"/>
        </w:rPr>
        <w:t xml:space="preserve"> </w:t>
      </w:r>
    </w:p>
    <w:p w14:paraId="34C12135">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5.</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BEE1A2C">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6.</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F36CB46">
      <w:pPr>
        <w:pStyle w:val="26"/>
        <w:spacing w:line="560" w:lineRule="exact"/>
        <w:ind w:firstLine="640" w:firstLineChars="200"/>
        <w:rPr>
          <w:rFonts w:ascii="仿宋_GB2312" w:eastAsia="仿宋_GB2312"/>
          <w:color w:val="auto"/>
          <w:sz w:val="32"/>
          <w:szCs w:val="32"/>
        </w:rPr>
      </w:pPr>
      <w:r>
        <w:rPr>
          <w:rStyle w:val="17"/>
          <w:rFonts w:hint="eastAsia" w:ascii="Times New Roman" w:hAnsi="Times New Roman" w:eastAsia="仿宋_GB2312" w:cs="Times New Roman"/>
          <w:b w:val="0"/>
          <w:bCs/>
          <w:color w:val="auto"/>
          <w:kern w:val="2"/>
          <w:sz w:val="32"/>
          <w:szCs w:val="32"/>
          <w:lang w:val="en-US" w:eastAsia="zh-CN" w:bidi="ar-SA"/>
        </w:rPr>
        <w:t>7.</w:t>
      </w:r>
      <w:r>
        <w:rPr>
          <w:rFonts w:hint="eastAsia" w:ascii="仿宋_GB2312" w:eastAsia="仿宋_GB2312"/>
          <w:color w:val="auto"/>
          <w:sz w:val="32"/>
          <w:szCs w:val="32"/>
        </w:rPr>
        <w:t>年末结转和结余：指单位按有关规定结转到下年或以后年度继续使用的资金。</w:t>
      </w:r>
    </w:p>
    <w:p w14:paraId="4A13562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eastAsia" w:eastAsia="仿宋_GB2312" w:cs="Times New Roman"/>
          <w:b w:val="0"/>
          <w:bCs/>
          <w:color w:val="auto"/>
          <w:kern w:val="2"/>
          <w:sz w:val="32"/>
          <w:szCs w:val="32"/>
          <w:lang w:val="en-US" w:eastAsia="zh-CN" w:bidi="ar-SA"/>
        </w:rPr>
        <w:t>8</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社会保障和就业支出（类）行政事业单位养老支出（款）机关事业单位基本养老保险缴费支出（项）：指</w:t>
      </w:r>
      <w:r>
        <w:rPr>
          <w:rFonts w:hint="default" w:ascii="Times New Roman" w:hAnsi="Times New Roman" w:eastAsia="仿宋_GB2312" w:cs="Times New Roman"/>
          <w:color w:val="auto"/>
          <w:sz w:val="32"/>
          <w:szCs w:val="32"/>
          <w:lang w:val="en-US" w:eastAsia="zh-CN"/>
        </w:rPr>
        <w:t>机关事业单位实施养老保险制度由单位缴纳的基本养老保险费支出</w:t>
      </w:r>
      <w:r>
        <w:rPr>
          <w:rFonts w:hint="default" w:ascii="Times New Roman" w:hAnsi="Times New Roman" w:eastAsia="仿宋_GB2312" w:cs="Times New Roman"/>
          <w:color w:val="auto"/>
          <w:sz w:val="32"/>
          <w:szCs w:val="32"/>
        </w:rPr>
        <w:t>。</w:t>
      </w:r>
    </w:p>
    <w:p w14:paraId="06724BA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eastAsia" w:eastAsia="仿宋_GB2312" w:cs="Times New Roman"/>
          <w:b w:val="0"/>
          <w:bCs/>
          <w:color w:val="auto"/>
          <w:kern w:val="2"/>
          <w:sz w:val="32"/>
          <w:szCs w:val="32"/>
          <w:lang w:val="en-US" w:eastAsia="zh-CN" w:bidi="ar-SA"/>
        </w:rPr>
        <w:t>9</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社会保障和就业支出（类）行政事业单位养老支出（款）</w:t>
      </w:r>
      <w:r>
        <w:rPr>
          <w:rFonts w:hint="default" w:ascii="Times New Roman" w:hAnsi="Times New Roman" w:eastAsia="仿宋_GB2312" w:cs="Times New Roman"/>
          <w:color w:val="auto"/>
          <w:sz w:val="32"/>
          <w:szCs w:val="32"/>
          <w:lang w:eastAsia="zh-CN"/>
        </w:rPr>
        <w:t>事业单位离退休</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val="en-US" w:eastAsia="zh-CN"/>
        </w:rPr>
        <w:t>退休人员个人和家庭的补助支出</w:t>
      </w:r>
      <w:r>
        <w:rPr>
          <w:rFonts w:hint="default" w:ascii="Times New Roman" w:hAnsi="Times New Roman" w:eastAsia="仿宋_GB2312" w:cs="Times New Roman"/>
          <w:color w:val="auto"/>
          <w:sz w:val="32"/>
          <w:szCs w:val="32"/>
        </w:rPr>
        <w:t>。</w:t>
      </w:r>
    </w:p>
    <w:p w14:paraId="45B5AD57">
      <w:pPr>
        <w:pStyle w:val="2"/>
        <w:ind w:firstLine="640" w:firstLineChars="200"/>
        <w:rPr>
          <w:rStyle w:val="17"/>
          <w:rFonts w:hint="eastAsia" w:ascii="Times New Roman" w:cs="Times New Roman"/>
          <w:b w:val="0"/>
          <w:bCs/>
          <w:color w:val="auto"/>
          <w:sz w:val="32"/>
          <w:szCs w:val="32"/>
          <w:lang w:eastAsia="zh-CN"/>
        </w:rPr>
        <w:sectPr>
          <w:footerReference r:id="rId21" w:type="default"/>
          <w:pgSz w:w="11906" w:h="16838"/>
          <w:pgMar w:top="1440" w:right="1800" w:bottom="1440" w:left="1800" w:header="851" w:footer="992" w:gutter="0"/>
          <w:pgNumType w:fmt="decimal"/>
          <w:cols w:space="425" w:num="1"/>
          <w:docGrid w:type="lines" w:linePitch="312" w:charSpace="0"/>
        </w:sectPr>
      </w:pPr>
      <w:r>
        <w:rPr>
          <w:rStyle w:val="17"/>
          <w:rFonts w:hint="eastAsia" w:ascii="Times New Roman" w:hAnsi="Times New Roman" w:eastAsia="仿宋_GB2312" w:cs="Times New Roman"/>
          <w:b w:val="0"/>
          <w:bCs/>
          <w:color w:val="auto"/>
          <w:kern w:val="2"/>
          <w:sz w:val="32"/>
          <w:szCs w:val="32"/>
          <w:lang w:val="en-US" w:eastAsia="zh-CN" w:bidi="ar-SA"/>
        </w:rPr>
        <w:t>1</w:t>
      </w:r>
      <w:r>
        <w:rPr>
          <w:rStyle w:val="17"/>
          <w:rFonts w:hint="eastAsia" w:ascii="Times New Roman" w:cs="Times New Roman"/>
          <w:b w:val="0"/>
          <w:bCs/>
          <w:color w:val="auto"/>
          <w:kern w:val="2"/>
          <w:sz w:val="32"/>
          <w:szCs w:val="32"/>
          <w:lang w:val="en-US" w:eastAsia="zh-CN" w:bidi="ar-SA"/>
        </w:rPr>
        <w:t>0</w:t>
      </w:r>
      <w:r>
        <w:rPr>
          <w:rStyle w:val="17"/>
          <w:rFonts w:hint="eastAsia" w:ascii="Times New Roman" w:hAnsi="Times New Roman" w:eastAsia="仿宋_GB2312" w:cs="Times New Roman"/>
          <w:b w:val="0"/>
          <w:bCs/>
          <w:color w:val="auto"/>
          <w:kern w:val="2"/>
          <w:sz w:val="32"/>
          <w:szCs w:val="32"/>
          <w:lang w:val="en-US" w:eastAsia="zh-CN" w:bidi="ar-SA"/>
        </w:rPr>
        <w:t>.</w:t>
      </w:r>
      <w:r>
        <w:rPr>
          <w:rStyle w:val="17"/>
          <w:rFonts w:hint="default" w:ascii="Times New Roman" w:hAnsi="Times New Roman" w:eastAsia="仿宋_GB2312" w:cs="Times New Roman"/>
          <w:b w:val="0"/>
          <w:bCs/>
          <w:color w:val="auto"/>
          <w:sz w:val="32"/>
          <w:szCs w:val="32"/>
        </w:rPr>
        <w:t>社会保障和就业支出（类）行政事业单位养老支出（款）机关事业单位</w:t>
      </w:r>
      <w:r>
        <w:rPr>
          <w:rStyle w:val="17"/>
          <w:rFonts w:hint="eastAsia" w:ascii="Times New Roman" w:cs="Times New Roman"/>
          <w:b w:val="0"/>
          <w:bCs/>
          <w:color w:val="auto"/>
          <w:sz w:val="32"/>
          <w:szCs w:val="32"/>
          <w:lang w:eastAsia="zh-CN"/>
        </w:rPr>
        <w:t>职业年金</w:t>
      </w:r>
      <w:r>
        <w:rPr>
          <w:rStyle w:val="17"/>
          <w:rFonts w:hint="default" w:ascii="Times New Roman" w:hAnsi="Times New Roman" w:eastAsia="仿宋_GB2312" w:cs="Times New Roman"/>
          <w:b w:val="0"/>
          <w:bCs/>
          <w:color w:val="auto"/>
          <w:sz w:val="32"/>
          <w:szCs w:val="32"/>
        </w:rPr>
        <w:t>缴费支出（项）</w:t>
      </w:r>
      <w:r>
        <w:rPr>
          <w:rStyle w:val="17"/>
          <w:rFonts w:hint="eastAsia" w:ascii="Times New Roman" w:cs="Times New Roman"/>
          <w:b w:val="0"/>
          <w:bCs/>
          <w:color w:val="auto"/>
          <w:sz w:val="32"/>
          <w:szCs w:val="32"/>
          <w:lang w:eastAsia="zh-CN"/>
        </w:rPr>
        <w:t>：指辞职人员职业年</w:t>
      </w:r>
    </w:p>
    <w:p w14:paraId="7960BF89">
      <w:pPr>
        <w:pStyle w:val="2"/>
        <w:rPr>
          <w:rFonts w:hint="eastAsia" w:eastAsia="仿宋_GB2312"/>
          <w:lang w:val="en-US" w:eastAsia="zh-CN"/>
        </w:rPr>
      </w:pPr>
      <w:r>
        <w:rPr>
          <w:rStyle w:val="17"/>
          <w:rFonts w:hint="eastAsia" w:ascii="Times New Roman" w:cs="Times New Roman"/>
          <w:b w:val="0"/>
          <w:bCs/>
          <w:color w:val="auto"/>
          <w:sz w:val="32"/>
          <w:szCs w:val="32"/>
          <w:lang w:eastAsia="zh-CN"/>
        </w:rPr>
        <w:t>金记实支出。</w:t>
      </w:r>
    </w:p>
    <w:p w14:paraId="323A05C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eastAsia="仿宋_GB2312" w:cs="Times New Roman"/>
          <w:b w:val="0"/>
          <w:bCs/>
          <w:color w:val="auto"/>
          <w:kern w:val="2"/>
          <w:sz w:val="32"/>
          <w:szCs w:val="32"/>
          <w:lang w:val="en-US" w:eastAsia="zh-CN" w:bidi="ar-SA"/>
        </w:rPr>
        <w:t>1</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社会保障和就业支出（类）抚恤（款）死亡抚恤（项）：指的是按规定用于烈士和牺牲、病故人员家属的一次性和定期抚恤金、丧葬补助费以及烈士褒扬金。</w:t>
      </w:r>
    </w:p>
    <w:p w14:paraId="57A96FD3">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ascii="Times New Roman" w:cs="Times New Roman"/>
          <w:b w:val="0"/>
          <w:bCs/>
          <w:color w:val="auto"/>
          <w:kern w:val="2"/>
          <w:sz w:val="32"/>
          <w:szCs w:val="32"/>
          <w:lang w:val="en-US" w:eastAsia="zh-CN" w:bidi="ar-SA"/>
        </w:rPr>
        <w:t>2</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社会保障和就业支出（类）残疾人事业（款）其他残疾人事业支出（项）：为项目中的残疾人服务费用支出。</w:t>
      </w:r>
    </w:p>
    <w:p w14:paraId="3132A45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eastAsia="仿宋_GB2312" w:cs="Times New Roman"/>
          <w:b w:val="0"/>
          <w:bCs/>
          <w:color w:val="auto"/>
          <w:kern w:val="2"/>
          <w:sz w:val="32"/>
          <w:szCs w:val="32"/>
          <w:lang w:val="en-US" w:eastAsia="zh-CN" w:bidi="ar-SA"/>
        </w:rPr>
        <w:t>3</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卫生健康支出（类）基层医疗卫生机构（款）乡镇卫生院（项）：指</w:t>
      </w:r>
      <w:r>
        <w:rPr>
          <w:rFonts w:hint="default" w:ascii="Times New Roman" w:hAnsi="Times New Roman" w:eastAsia="仿宋_GB2312" w:cs="Times New Roman"/>
          <w:color w:val="auto"/>
          <w:sz w:val="32"/>
          <w:szCs w:val="32"/>
          <w:lang w:val="en-US" w:eastAsia="zh-CN"/>
        </w:rPr>
        <w:t>用于乡镇卫生院的日常支出</w:t>
      </w:r>
      <w:r>
        <w:rPr>
          <w:rFonts w:hint="default" w:ascii="Times New Roman" w:hAnsi="Times New Roman" w:eastAsia="仿宋_GB2312" w:cs="Times New Roman"/>
          <w:color w:val="auto"/>
          <w:sz w:val="32"/>
          <w:szCs w:val="32"/>
        </w:rPr>
        <w:t>。</w:t>
      </w:r>
    </w:p>
    <w:p w14:paraId="3EF6A8D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eastAsia="仿宋_GB2312" w:cs="Times New Roman"/>
          <w:b w:val="0"/>
          <w:bCs/>
          <w:color w:val="auto"/>
          <w:kern w:val="2"/>
          <w:sz w:val="32"/>
          <w:szCs w:val="32"/>
          <w:lang w:val="en-US" w:eastAsia="zh-CN" w:bidi="ar-SA"/>
        </w:rPr>
        <w:t>4</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卫生健康支出（类）基层医疗卫生机构（款）其他基层医疗卫生机构支出（项）：指</w:t>
      </w:r>
      <w:r>
        <w:rPr>
          <w:rFonts w:hint="default" w:ascii="Times New Roman" w:hAnsi="Times New Roman" w:eastAsia="仿宋_GB2312" w:cs="Times New Roman"/>
          <w:color w:val="auto"/>
          <w:sz w:val="32"/>
          <w:szCs w:val="32"/>
          <w:lang w:val="en-US" w:eastAsia="zh-CN"/>
        </w:rPr>
        <w:t>除上述项目以外的其他用于基层医疗卫生机构的支出</w:t>
      </w:r>
      <w:r>
        <w:rPr>
          <w:rFonts w:hint="default" w:ascii="Times New Roman" w:hAnsi="Times New Roman" w:eastAsia="仿宋_GB2312" w:cs="Times New Roman"/>
          <w:color w:val="auto"/>
          <w:sz w:val="32"/>
          <w:szCs w:val="32"/>
        </w:rPr>
        <w:t>。</w:t>
      </w:r>
    </w:p>
    <w:p w14:paraId="7655439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eastAsia="仿宋_GB2312" w:cs="Times New Roman"/>
          <w:b w:val="0"/>
          <w:bCs/>
          <w:color w:val="auto"/>
          <w:kern w:val="2"/>
          <w:sz w:val="32"/>
          <w:szCs w:val="32"/>
          <w:lang w:val="en-US" w:eastAsia="zh-CN" w:bidi="ar-SA"/>
        </w:rPr>
        <w:t>5</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卫生健康支出（类）公共卫生（款）基本公共卫生服务（项）：指</w:t>
      </w:r>
      <w:r>
        <w:rPr>
          <w:rFonts w:hint="default" w:ascii="Times New Roman" w:hAnsi="Times New Roman" w:eastAsia="仿宋_GB2312" w:cs="Times New Roman"/>
          <w:color w:val="auto"/>
          <w:sz w:val="32"/>
          <w:szCs w:val="32"/>
          <w:lang w:val="en-US" w:eastAsia="zh-CN"/>
        </w:rPr>
        <w:t>基本公共卫生服务项目支出</w:t>
      </w:r>
      <w:r>
        <w:rPr>
          <w:rFonts w:hint="default" w:ascii="Times New Roman" w:hAnsi="Times New Roman" w:eastAsia="仿宋_GB2312" w:cs="Times New Roman"/>
          <w:color w:val="auto"/>
          <w:sz w:val="32"/>
          <w:szCs w:val="32"/>
        </w:rPr>
        <w:t>。</w:t>
      </w:r>
    </w:p>
    <w:p w14:paraId="3974B28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eastAsia="仿宋_GB2312" w:cs="Times New Roman"/>
          <w:b w:val="0"/>
          <w:bCs/>
          <w:color w:val="auto"/>
          <w:kern w:val="2"/>
          <w:sz w:val="32"/>
          <w:szCs w:val="32"/>
          <w:lang w:val="en-US" w:eastAsia="zh-CN" w:bidi="ar-SA"/>
        </w:rPr>
        <w:t>6</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卫生健康支出（类）公共卫生（款）重大公共卫生服务（项）：指</w:t>
      </w:r>
      <w:r>
        <w:rPr>
          <w:rFonts w:hint="default" w:ascii="Times New Roman" w:hAnsi="Times New Roman" w:eastAsia="仿宋_GB2312" w:cs="Times New Roman"/>
          <w:color w:val="auto"/>
          <w:sz w:val="32"/>
          <w:szCs w:val="32"/>
          <w:lang w:val="en-US" w:eastAsia="zh-CN"/>
        </w:rPr>
        <w:t>重大疾病、重大传染病、预防控制等重大公共卫生服务项目支出</w:t>
      </w:r>
      <w:r>
        <w:rPr>
          <w:rFonts w:hint="default" w:ascii="Times New Roman" w:hAnsi="Times New Roman" w:eastAsia="仿宋_GB2312" w:cs="Times New Roman"/>
          <w:color w:val="auto"/>
          <w:sz w:val="32"/>
          <w:szCs w:val="32"/>
        </w:rPr>
        <w:t>。</w:t>
      </w:r>
    </w:p>
    <w:p w14:paraId="571F9041">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ascii="Times New Roman" w:cs="Times New Roman"/>
          <w:b w:val="0"/>
          <w:bCs/>
          <w:color w:val="auto"/>
          <w:kern w:val="2"/>
          <w:sz w:val="32"/>
          <w:szCs w:val="32"/>
          <w:lang w:val="en-US" w:eastAsia="zh-CN" w:bidi="ar-SA"/>
        </w:rPr>
        <w:t>7</w:t>
      </w:r>
      <w:r>
        <w:rPr>
          <w:rStyle w:val="17"/>
          <w:rFonts w:hint="eastAsia" w:ascii="Times New Roman" w:hAnsi="Times New Roman" w:eastAsia="仿宋_GB2312" w:cs="Times New Roman"/>
          <w:b w:val="0"/>
          <w:bCs/>
          <w:color w:val="auto"/>
          <w:kern w:val="2"/>
          <w:sz w:val="32"/>
          <w:szCs w:val="32"/>
          <w:lang w:val="en-US" w:eastAsia="zh-CN" w:bidi="ar-SA"/>
        </w:rPr>
        <w:t>.</w:t>
      </w:r>
      <w:r>
        <w:rPr>
          <w:rStyle w:val="17"/>
          <w:rFonts w:hint="default" w:ascii="Times New Roman" w:hAnsi="Times New Roman" w:eastAsia="仿宋_GB2312" w:cs="Times New Roman"/>
          <w:b w:val="0"/>
          <w:bCs/>
          <w:color w:val="auto"/>
          <w:sz w:val="32"/>
          <w:szCs w:val="32"/>
        </w:rPr>
        <w:t>卫生健康支出（类）</w:t>
      </w:r>
      <w:r>
        <w:rPr>
          <w:rStyle w:val="17"/>
          <w:rFonts w:hint="eastAsia" w:eastAsia="仿宋_GB2312" w:cs="Times New Roman"/>
          <w:b w:val="0"/>
          <w:bCs/>
          <w:color w:val="auto"/>
          <w:sz w:val="32"/>
          <w:szCs w:val="32"/>
          <w:lang w:eastAsia="zh-CN"/>
        </w:rPr>
        <w:t>其他卫生健康支出</w:t>
      </w:r>
      <w:r>
        <w:rPr>
          <w:rStyle w:val="17"/>
          <w:rFonts w:hint="default" w:ascii="Times New Roman" w:hAnsi="Times New Roman" w:eastAsia="仿宋_GB2312" w:cs="Times New Roman"/>
          <w:b w:val="0"/>
          <w:bCs/>
          <w:color w:val="auto"/>
          <w:sz w:val="32"/>
          <w:szCs w:val="32"/>
        </w:rPr>
        <w:t>（款）</w:t>
      </w:r>
      <w:r>
        <w:rPr>
          <w:rStyle w:val="17"/>
          <w:rFonts w:hint="eastAsia" w:eastAsia="仿宋_GB2312" w:cs="Times New Roman"/>
          <w:b w:val="0"/>
          <w:bCs/>
          <w:color w:val="auto"/>
          <w:sz w:val="32"/>
          <w:szCs w:val="32"/>
          <w:lang w:eastAsia="zh-CN"/>
        </w:rPr>
        <w:t>其他卫生健康支出</w:t>
      </w:r>
      <w:r>
        <w:rPr>
          <w:rStyle w:val="17"/>
          <w:rFonts w:hint="default" w:ascii="Times New Roman" w:hAnsi="Times New Roman" w:eastAsia="仿宋_GB2312" w:cs="Times New Roman"/>
          <w:b w:val="0"/>
          <w:bCs/>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r>
        <w:rPr>
          <w:rFonts w:hint="eastAsia" w:ascii="Times New Roman" w:cs="Times New Roman"/>
          <w:color w:val="auto"/>
          <w:sz w:val="32"/>
          <w:szCs w:val="32"/>
          <w:lang w:eastAsia="zh-CN"/>
        </w:rPr>
        <w:t>除上述项目以外其他用于卫生健康方面的支出</w:t>
      </w:r>
      <w:r>
        <w:rPr>
          <w:rFonts w:hint="default" w:ascii="Times New Roman" w:hAnsi="Times New Roman" w:eastAsia="仿宋_GB2312" w:cs="Times New Roman"/>
          <w:color w:val="auto"/>
          <w:sz w:val="32"/>
          <w:szCs w:val="32"/>
          <w:lang w:val="en-US" w:eastAsia="zh-CN"/>
        </w:rPr>
        <w:t>。</w:t>
      </w:r>
    </w:p>
    <w:p w14:paraId="537B9B56">
      <w:pPr>
        <w:keepNext w:val="0"/>
        <w:keepLines w:val="0"/>
        <w:pageBreakBefore w:val="0"/>
        <w:widowControl w:val="0"/>
        <w:kinsoku/>
        <w:wordWrap/>
        <w:overflowPunct/>
        <w:topLinePunct w:val="0"/>
        <w:bidi w:val="0"/>
        <w:snapToGrid/>
        <w:spacing w:line="560" w:lineRule="exact"/>
        <w:ind w:firstLine="640" w:firstLineChars="200"/>
        <w:textAlignment w:val="auto"/>
        <w:rPr>
          <w:rStyle w:val="17"/>
          <w:rFonts w:hint="default" w:ascii="Times New Roman" w:hAnsi="Times New Roman" w:eastAsia="仿宋_GB2312" w:cs="Times New Roman"/>
          <w:b w:val="0"/>
          <w:bCs/>
          <w:color w:val="auto"/>
          <w:kern w:val="2"/>
          <w:sz w:val="32"/>
          <w:szCs w:val="32"/>
          <w:lang w:val="en-US" w:eastAsia="zh-CN" w:bidi="ar-SA"/>
        </w:rPr>
      </w:pPr>
      <w:r>
        <w:rPr>
          <w:rStyle w:val="17"/>
          <w:rFonts w:hint="default" w:ascii="Times New Roman" w:hAnsi="Times New Roman" w:eastAsia="仿宋_GB2312" w:cs="Times New Roman"/>
          <w:b w:val="0"/>
          <w:bCs/>
          <w:color w:val="auto"/>
          <w:kern w:val="2"/>
          <w:sz w:val="32"/>
          <w:szCs w:val="32"/>
          <w:lang w:val="en-US" w:eastAsia="zh-CN" w:bidi="ar-SA"/>
        </w:rPr>
        <w:t>1</w:t>
      </w:r>
      <w:r>
        <w:rPr>
          <w:rStyle w:val="17"/>
          <w:rFonts w:hint="eastAsia" w:eastAsia="仿宋_GB2312" w:cs="Times New Roman"/>
          <w:b w:val="0"/>
          <w:bCs/>
          <w:color w:val="auto"/>
          <w:kern w:val="2"/>
          <w:sz w:val="32"/>
          <w:szCs w:val="32"/>
          <w:lang w:val="en-US" w:eastAsia="zh-CN" w:bidi="ar-SA"/>
        </w:rPr>
        <w:t>8</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卫生健康支出（类）行政事业单位医疗（款）事业单位医疗（项）：指</w:t>
      </w:r>
      <w:r>
        <w:rPr>
          <w:rFonts w:hint="default" w:ascii="Times New Roman" w:hAnsi="Times New Roman" w:eastAsia="仿宋_GB2312" w:cs="Times New Roman"/>
          <w:color w:val="auto"/>
          <w:sz w:val="32"/>
          <w:szCs w:val="32"/>
          <w:lang w:val="en-US" w:eastAsia="zh-CN"/>
        </w:rPr>
        <w:t>财政部门安排的事业单位基本医疗保险缴</w:t>
      </w:r>
      <w:r>
        <w:rPr>
          <w:rStyle w:val="17"/>
          <w:rFonts w:hint="default" w:ascii="Times New Roman" w:hAnsi="Times New Roman" w:eastAsia="仿宋_GB2312" w:cs="Times New Roman"/>
          <w:b w:val="0"/>
          <w:bCs/>
          <w:color w:val="auto"/>
          <w:kern w:val="2"/>
          <w:sz w:val="32"/>
          <w:szCs w:val="32"/>
          <w:lang w:val="en-US" w:eastAsia="zh-CN" w:bidi="ar-SA"/>
        </w:rPr>
        <w:t>费支出。</w:t>
      </w:r>
    </w:p>
    <w:p w14:paraId="75D9C77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sectPr>
          <w:footerReference r:id="rId22" w:type="default"/>
          <w:pgSz w:w="11906" w:h="16838"/>
          <w:pgMar w:top="1440" w:right="1800" w:bottom="1440" w:left="1800" w:header="851" w:footer="992" w:gutter="0"/>
          <w:pgNumType w:fmt="decimal"/>
          <w:cols w:space="425" w:num="1"/>
          <w:docGrid w:type="lines" w:linePitch="312" w:charSpace="0"/>
        </w:sectPr>
      </w:pPr>
      <w:r>
        <w:rPr>
          <w:rStyle w:val="17"/>
          <w:rFonts w:hint="eastAsia" w:eastAsia="仿宋_GB2312" w:cs="Times New Roman"/>
          <w:b w:val="0"/>
          <w:bCs/>
          <w:color w:val="auto"/>
          <w:kern w:val="2"/>
          <w:sz w:val="32"/>
          <w:szCs w:val="32"/>
          <w:lang w:val="en-US" w:eastAsia="zh-CN" w:bidi="ar-SA"/>
        </w:rPr>
        <w:t>19</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卫生健康支出（类）行政事业单位医疗（款）</w:t>
      </w:r>
      <w:r>
        <w:rPr>
          <w:rFonts w:hint="default" w:ascii="Times New Roman" w:hAnsi="Times New Roman" w:eastAsia="仿宋_GB2312" w:cs="Times New Roman"/>
          <w:color w:val="auto"/>
          <w:sz w:val="32"/>
          <w:szCs w:val="32"/>
          <w:lang w:eastAsia="zh-CN"/>
        </w:rPr>
        <w:t>其他行政事业单位医疗支出</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val="en-US" w:eastAsia="zh-CN"/>
        </w:rPr>
        <w:t>财政部门安排的公务员医疗</w:t>
      </w:r>
    </w:p>
    <w:p w14:paraId="13B2671B">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补助缴费支出</w:t>
      </w:r>
      <w:r>
        <w:rPr>
          <w:rFonts w:hint="default" w:ascii="Times New Roman" w:hAnsi="Times New Roman" w:eastAsia="仿宋_GB2312" w:cs="Times New Roman"/>
          <w:color w:val="auto"/>
          <w:sz w:val="32"/>
          <w:szCs w:val="32"/>
        </w:rPr>
        <w:t>。</w:t>
      </w:r>
    </w:p>
    <w:p w14:paraId="598B6EA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b w:val="0"/>
          <w:bCs/>
          <w:color w:val="auto"/>
          <w:kern w:val="2"/>
          <w:sz w:val="32"/>
          <w:szCs w:val="32"/>
          <w:lang w:val="en-US" w:eastAsia="zh-CN" w:bidi="ar-SA"/>
        </w:rPr>
        <w:t>2</w:t>
      </w:r>
      <w:r>
        <w:rPr>
          <w:rStyle w:val="17"/>
          <w:rFonts w:hint="eastAsia" w:eastAsia="仿宋_GB2312" w:cs="Times New Roman"/>
          <w:b w:val="0"/>
          <w:bCs/>
          <w:color w:val="auto"/>
          <w:kern w:val="2"/>
          <w:sz w:val="32"/>
          <w:szCs w:val="32"/>
          <w:lang w:val="en-US" w:eastAsia="zh-CN" w:bidi="ar-SA"/>
        </w:rPr>
        <w:t>0</w:t>
      </w:r>
      <w:r>
        <w:rPr>
          <w:rStyle w:val="17"/>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rPr>
        <w:t>住房保障支出（类）住房改革支出（款）住房公积金（项）：指</w:t>
      </w:r>
      <w:r>
        <w:rPr>
          <w:rFonts w:hint="default" w:ascii="Times New Roman" w:hAnsi="Times New Roman" w:eastAsia="仿宋_GB2312" w:cs="Times New Roman"/>
          <w:color w:val="auto"/>
          <w:sz w:val="32"/>
          <w:szCs w:val="32"/>
          <w:lang w:val="en-US" w:eastAsia="zh-CN"/>
        </w:rPr>
        <w:t>行政事业单位按人力资源和社会保障部、财政部规定的基本工资和津贴补贴以及规定比例为职工缴纳的住房公积金</w:t>
      </w:r>
      <w:r>
        <w:rPr>
          <w:rFonts w:hint="default" w:ascii="Times New Roman" w:hAnsi="Times New Roman" w:eastAsia="仿宋_GB2312" w:cs="Times New Roman"/>
          <w:color w:val="auto"/>
          <w:sz w:val="32"/>
          <w:szCs w:val="32"/>
        </w:rPr>
        <w:t>。</w:t>
      </w:r>
    </w:p>
    <w:p w14:paraId="2A3500BD">
      <w:pPr>
        <w:ind w:firstLine="640" w:firstLineChars="200"/>
        <w:rPr>
          <w:rFonts w:ascii="仿宋_GB2312" w:eastAsia="仿宋_GB2312"/>
          <w:sz w:val="32"/>
          <w:szCs w:val="32"/>
        </w:rPr>
      </w:pPr>
      <w:r>
        <w:rPr>
          <w:rFonts w:hint="eastAsia"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仿宋_GB2312" w:eastAsia="仿宋_GB2312"/>
          <w:sz w:val="32"/>
          <w:szCs w:val="32"/>
        </w:rPr>
        <w:t>基本支出：指为保障机构正常运转、完成日常工作任务而发生的人员支出和公用支出。</w:t>
      </w:r>
    </w:p>
    <w:p w14:paraId="5CCCDE83">
      <w:pPr>
        <w:ind w:firstLine="640" w:firstLineChars="200"/>
        <w:rPr>
          <w:rFonts w:ascii="仿宋_GB2312" w:eastAsia="仿宋_GB2312"/>
          <w:sz w:val="32"/>
          <w:szCs w:val="32"/>
        </w:rPr>
      </w:pPr>
      <w:r>
        <w:rPr>
          <w:rFonts w:hint="eastAsia"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09604BD">
      <w:pPr>
        <w:pStyle w:val="26"/>
        <w:spacing w:line="560" w:lineRule="exact"/>
        <w:ind w:firstLine="640" w:firstLineChars="200"/>
        <w:rPr>
          <w:rFonts w:hint="eastAsia" w:ascii="仿宋" w:hAnsi="仿宋" w:eastAsia="仿宋" w:cs="仿宋"/>
          <w:color w:val="auto"/>
          <w:sz w:val="32"/>
          <w:szCs w:val="32"/>
        </w:rPr>
      </w:pPr>
      <w:r>
        <w:rPr>
          <w:rFonts w:hint="eastAsia" w:ascii="Times New Roman" w:hAnsi="Times New Roman" w:eastAsia="仿宋_GB2312" w:cs="Times New Roman"/>
          <w:color w:val="auto"/>
          <w:kern w:val="2"/>
          <w:sz w:val="32"/>
          <w:szCs w:val="32"/>
          <w:lang w:val="en-US" w:eastAsia="zh-CN" w:bidi="ar-SA"/>
        </w:rPr>
        <w:t>23.</w:t>
      </w:r>
      <w:r>
        <w:rPr>
          <w:rFonts w:hint="eastAsia" w:ascii="仿宋" w:hAnsi="仿宋" w:eastAsia="仿宋" w:cs="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反映单位公务用车购置支出</w:t>
      </w:r>
      <w:r>
        <w:rPr>
          <w:rFonts w:hint="eastAsia" w:ascii="仿宋" w:hAnsi="仿宋" w:eastAsia="仿宋" w:cs="仿宋"/>
          <w:color w:val="000000" w:themeColor="text1"/>
          <w:sz w:val="32"/>
          <w:szCs w:val="32"/>
          <w14:textFill>
            <w14:solidFill>
              <w14:schemeClr w14:val="tx1"/>
            </w14:solidFill>
          </w14:textFill>
        </w:rPr>
        <w:t>（含车辆购置税</w:t>
      </w:r>
      <w:r>
        <w:rPr>
          <w:rFonts w:hint="eastAsia" w:hAnsi="仿宋" w:cs="仿宋"/>
          <w:color w:val="000000" w:themeColor="text1"/>
          <w:sz w:val="32"/>
          <w:szCs w:val="32"/>
          <w:lang w:eastAsia="zh-CN"/>
          <w14:textFill>
            <w14:solidFill>
              <w14:schemeClr w14:val="tx1"/>
            </w14:solidFill>
          </w14:textFill>
        </w:rPr>
        <w:t>、牌照费</w:t>
      </w:r>
      <w:r>
        <w:rPr>
          <w:rFonts w:hint="eastAsia" w:ascii="仿宋" w:hAnsi="仿宋" w:eastAsia="仿宋" w:cs="仿宋"/>
          <w:color w:val="000000" w:themeColor="text1"/>
          <w:sz w:val="32"/>
          <w:szCs w:val="32"/>
          <w14:textFill>
            <w14:solidFill>
              <w14:schemeClr w14:val="tx1"/>
            </w14:solidFill>
          </w14:textFill>
        </w:rPr>
        <w:t>）</w:t>
      </w:r>
      <w:r>
        <w:rPr>
          <w:rFonts w:hint="eastAsia" w:hAnsi="仿宋" w:cs="仿宋"/>
          <w:color w:val="000000" w:themeColor="text1"/>
          <w:sz w:val="32"/>
          <w:szCs w:val="32"/>
          <w:lang w:eastAsia="zh-CN"/>
          <w14:textFill>
            <w14:solidFill>
              <w14:schemeClr w14:val="tx1"/>
            </w14:solidFill>
          </w14:textFill>
        </w:rPr>
        <w:t>；公务用车运行维护费反应单位按规定保留的公务用车</w:t>
      </w:r>
      <w:r>
        <w:rPr>
          <w:rFonts w:hint="eastAsia" w:ascii="仿宋" w:hAnsi="仿宋" w:eastAsia="仿宋" w:cs="仿宋"/>
          <w:color w:val="auto"/>
          <w:sz w:val="32"/>
          <w:szCs w:val="32"/>
        </w:rPr>
        <w:t>燃料费、维修费、过路过桥费、保险费</w:t>
      </w:r>
      <w:r>
        <w:rPr>
          <w:rFonts w:hint="eastAsia" w:hAnsi="仿宋" w:cs="仿宋"/>
          <w:color w:val="auto"/>
          <w:sz w:val="32"/>
          <w:szCs w:val="32"/>
          <w:lang w:eastAsia="zh-CN"/>
        </w:rPr>
        <w:t>、安全奖励费用</w:t>
      </w:r>
      <w:r>
        <w:rPr>
          <w:rFonts w:hint="eastAsia" w:ascii="仿宋" w:hAnsi="仿宋" w:eastAsia="仿宋" w:cs="仿宋"/>
          <w:color w:val="auto"/>
          <w:sz w:val="32"/>
          <w:szCs w:val="32"/>
        </w:rPr>
        <w:t>等支出；公务接待费反映单位按规定开支的各类公务接待（含外宾接待）支出。</w:t>
      </w:r>
    </w:p>
    <w:p w14:paraId="36B675E9">
      <w:pPr>
        <w:spacing w:line="600" w:lineRule="exact"/>
        <w:jc w:val="center"/>
        <w:outlineLvl w:val="0"/>
        <w:rPr>
          <w:rFonts w:hint="eastAsia" w:ascii="黑体" w:hAnsi="黑体" w:eastAsia="黑体"/>
          <w:sz w:val="44"/>
          <w:szCs w:val="44"/>
        </w:rPr>
      </w:pPr>
      <w:bookmarkStart w:id="55" w:name="_Toc15396614"/>
    </w:p>
    <w:p w14:paraId="3DBA27C1">
      <w:pPr>
        <w:spacing w:line="600" w:lineRule="exact"/>
        <w:jc w:val="center"/>
        <w:outlineLvl w:val="0"/>
        <w:rPr>
          <w:rFonts w:hint="eastAsia" w:ascii="黑体" w:hAnsi="黑体" w:eastAsia="黑体"/>
          <w:sz w:val="44"/>
          <w:szCs w:val="44"/>
        </w:rPr>
      </w:pPr>
    </w:p>
    <w:p w14:paraId="078EE897">
      <w:pPr>
        <w:spacing w:line="600" w:lineRule="exact"/>
        <w:jc w:val="center"/>
        <w:outlineLvl w:val="0"/>
        <w:rPr>
          <w:rFonts w:hint="eastAsia" w:ascii="黑体" w:hAnsi="黑体" w:eastAsia="黑体"/>
          <w:sz w:val="44"/>
          <w:szCs w:val="44"/>
        </w:rPr>
      </w:pPr>
    </w:p>
    <w:p w14:paraId="3FFC886C">
      <w:pPr>
        <w:spacing w:line="600" w:lineRule="exact"/>
        <w:jc w:val="center"/>
        <w:outlineLvl w:val="0"/>
        <w:rPr>
          <w:rFonts w:hint="eastAsia" w:ascii="黑体" w:hAnsi="黑体" w:eastAsia="黑体"/>
          <w:sz w:val="44"/>
          <w:szCs w:val="44"/>
        </w:rPr>
      </w:pPr>
    </w:p>
    <w:p w14:paraId="2E1FBC26">
      <w:pPr>
        <w:spacing w:line="600" w:lineRule="exact"/>
        <w:jc w:val="center"/>
        <w:outlineLvl w:val="0"/>
        <w:rPr>
          <w:rFonts w:hint="eastAsia" w:ascii="黑体" w:hAnsi="黑体" w:eastAsia="黑体"/>
          <w:sz w:val="44"/>
          <w:szCs w:val="44"/>
        </w:rPr>
      </w:pPr>
    </w:p>
    <w:p w14:paraId="0F8AB610">
      <w:pPr>
        <w:spacing w:line="600" w:lineRule="exact"/>
        <w:jc w:val="center"/>
        <w:outlineLvl w:val="0"/>
        <w:rPr>
          <w:rFonts w:hint="eastAsia" w:ascii="黑体" w:hAnsi="黑体" w:eastAsia="黑体"/>
          <w:sz w:val="44"/>
          <w:szCs w:val="44"/>
        </w:rPr>
      </w:pPr>
    </w:p>
    <w:p w14:paraId="37C67BEE">
      <w:pPr>
        <w:spacing w:line="600" w:lineRule="exact"/>
        <w:jc w:val="center"/>
        <w:outlineLvl w:val="0"/>
        <w:rPr>
          <w:rFonts w:hint="eastAsia" w:ascii="黑体" w:hAnsi="黑体" w:eastAsia="黑体"/>
          <w:sz w:val="44"/>
          <w:szCs w:val="44"/>
        </w:rPr>
      </w:pPr>
    </w:p>
    <w:p w14:paraId="7AD918AE">
      <w:pPr>
        <w:spacing w:line="600" w:lineRule="exact"/>
        <w:ind w:firstLine="880" w:firstLineChars="200"/>
        <w:jc w:val="center"/>
        <w:outlineLvl w:val="0"/>
        <w:rPr>
          <w:rFonts w:ascii="仿宋_GB2312" w:hAnsi="仿宋_GB2312" w:eastAsia="仿宋_GB2312" w:cs="仿宋_GB2312"/>
          <w:sz w:val="32"/>
          <w:szCs w:val="32"/>
        </w:rPr>
      </w:pPr>
      <w:r>
        <w:rPr>
          <w:rFonts w:hint="eastAsia" w:ascii="黑体" w:hAnsi="黑体" w:eastAsia="黑体"/>
          <w:sz w:val="44"/>
          <w:szCs w:val="44"/>
        </w:rPr>
        <w:t>第</w:t>
      </w:r>
      <w:r>
        <w:rPr>
          <w:rStyle w:val="28"/>
          <w:rFonts w:hint="eastAsia" w:ascii="黑体" w:hAnsi="黑体" w:eastAsia="黑体"/>
          <w:b w:val="0"/>
        </w:rPr>
        <w:t>四部分 附件</w:t>
      </w:r>
      <w:bookmarkEnd w:id="55"/>
    </w:p>
    <w:p w14:paraId="24BA3D1E">
      <w:pPr>
        <w:pStyle w:val="26"/>
        <w:spacing w:line="560" w:lineRule="exact"/>
        <w:ind w:firstLine="1280" w:firstLineChars="400"/>
        <w:jc w:val="both"/>
        <w:rPr>
          <w:rFonts w:hint="eastAsia" w:ascii="仿宋" w:hAnsi="仿宋" w:eastAsia="仿宋" w:cs="仿宋"/>
          <w:sz w:val="32"/>
          <w:szCs w:val="32"/>
          <w:lang w:eastAsia="zh-CN"/>
        </w:rPr>
      </w:pPr>
    </w:p>
    <w:p w14:paraId="629F3830">
      <w:pPr>
        <w:pStyle w:val="26"/>
        <w:spacing w:line="560" w:lineRule="exact"/>
        <w:ind w:firstLine="1280" w:firstLineChars="4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部门预算项目支出绩效自评表（2023年度）</w:t>
      </w:r>
      <w:r>
        <w:rPr>
          <w:rFonts w:hint="eastAsia" w:hAnsi="仿宋" w:cs="仿宋"/>
          <w:sz w:val="32"/>
          <w:szCs w:val="32"/>
          <w:lang w:eastAsia="zh-CN"/>
        </w:rPr>
        <w:t>见附件</w:t>
      </w:r>
    </w:p>
    <w:p w14:paraId="40E2B489">
      <w:pPr>
        <w:pStyle w:val="2"/>
        <w:rPr>
          <w:rFonts w:hint="eastAsia"/>
          <w:lang w:val="en-US" w:eastAsia="zh-CN"/>
        </w:rPr>
      </w:pPr>
    </w:p>
    <w:p w14:paraId="18E4CD09">
      <w:pPr>
        <w:pStyle w:val="2"/>
        <w:spacing w:before="93"/>
        <w:jc w:val="left"/>
        <w:rPr>
          <w:rFonts w:hint="eastAsia" w:ascii="宋体"/>
          <w:b/>
          <w:sz w:val="44"/>
          <w:szCs w:val="44"/>
          <w:lang w:eastAsia="zh-CN"/>
        </w:rPr>
      </w:pPr>
      <w:bookmarkStart w:id="56" w:name="_Toc15396618"/>
      <w:bookmarkStart w:id="57" w:name="_Toc15377226"/>
    </w:p>
    <w:p w14:paraId="122F32CB">
      <w:pPr>
        <w:pStyle w:val="2"/>
        <w:spacing w:before="93"/>
        <w:rPr>
          <w:rFonts w:hint="eastAsia" w:hAnsi="Calibri" w:cs="仿宋"/>
          <w:sz w:val="32"/>
          <w:szCs w:val="32"/>
          <w:lang w:eastAsia="zh-CN"/>
        </w:rPr>
      </w:pPr>
    </w:p>
    <w:p w14:paraId="1F183844">
      <w:pPr>
        <w:pStyle w:val="2"/>
        <w:spacing w:before="93"/>
        <w:rPr>
          <w:rFonts w:hint="default" w:hAnsi="Calibri" w:cs="仿宋"/>
          <w:sz w:val="32"/>
          <w:szCs w:val="32"/>
          <w:lang w:val="en-US" w:eastAsia="zh-CN"/>
        </w:rPr>
      </w:pPr>
    </w:p>
    <w:p w14:paraId="1F4D6571">
      <w:pPr>
        <w:pStyle w:val="2"/>
        <w:spacing w:before="93"/>
        <w:rPr>
          <w:rFonts w:hint="default" w:hAnsi="Calibri" w:cs="仿宋"/>
          <w:sz w:val="32"/>
          <w:szCs w:val="32"/>
          <w:lang w:val="en-US" w:eastAsia="zh-CN"/>
        </w:rPr>
      </w:pPr>
    </w:p>
    <w:p w14:paraId="7ABC89C2">
      <w:pPr>
        <w:pStyle w:val="2"/>
        <w:spacing w:before="93"/>
        <w:rPr>
          <w:rFonts w:hint="default" w:hAnsi="Calibri" w:cs="仿宋"/>
          <w:sz w:val="32"/>
          <w:szCs w:val="32"/>
          <w:lang w:val="en-US" w:eastAsia="zh-CN"/>
        </w:rPr>
      </w:pPr>
    </w:p>
    <w:p w14:paraId="5DBEA13D">
      <w:pPr>
        <w:pStyle w:val="2"/>
        <w:spacing w:before="93"/>
        <w:rPr>
          <w:rFonts w:hint="default" w:hAnsi="Calibri" w:cs="仿宋"/>
          <w:sz w:val="32"/>
          <w:szCs w:val="32"/>
          <w:lang w:val="en-US" w:eastAsia="zh-CN"/>
        </w:rPr>
      </w:pPr>
    </w:p>
    <w:p w14:paraId="79DE8D85">
      <w:pPr>
        <w:pStyle w:val="2"/>
        <w:spacing w:before="93"/>
        <w:rPr>
          <w:rFonts w:hint="default" w:hAnsi="Calibri" w:cs="仿宋"/>
          <w:sz w:val="32"/>
          <w:szCs w:val="32"/>
          <w:lang w:val="en-US" w:eastAsia="zh-CN"/>
        </w:rPr>
      </w:pPr>
    </w:p>
    <w:p w14:paraId="1B9441E3">
      <w:pPr>
        <w:pStyle w:val="2"/>
        <w:spacing w:before="93"/>
        <w:rPr>
          <w:rFonts w:hint="default" w:hAnsi="Calibri" w:cs="仿宋"/>
          <w:sz w:val="32"/>
          <w:szCs w:val="32"/>
          <w:lang w:val="en-US" w:eastAsia="zh-CN"/>
        </w:rPr>
      </w:pPr>
    </w:p>
    <w:p w14:paraId="7226F2E4">
      <w:pPr>
        <w:pStyle w:val="2"/>
        <w:spacing w:before="93"/>
        <w:rPr>
          <w:rFonts w:hint="default" w:hAnsi="Calibri" w:cs="仿宋"/>
          <w:sz w:val="32"/>
          <w:szCs w:val="32"/>
          <w:lang w:val="en-US" w:eastAsia="zh-CN"/>
        </w:rPr>
      </w:pPr>
    </w:p>
    <w:p w14:paraId="2D0841B0">
      <w:pPr>
        <w:pStyle w:val="2"/>
        <w:spacing w:before="93"/>
        <w:rPr>
          <w:rFonts w:hint="default" w:hAnsi="Calibri" w:cs="仿宋"/>
          <w:sz w:val="32"/>
          <w:szCs w:val="32"/>
          <w:lang w:val="en-US" w:eastAsia="zh-CN"/>
        </w:rPr>
      </w:pPr>
    </w:p>
    <w:p w14:paraId="4F7AD231">
      <w:pPr>
        <w:pStyle w:val="2"/>
        <w:spacing w:before="93"/>
        <w:rPr>
          <w:rFonts w:hint="default" w:hAnsi="Calibri" w:cs="仿宋"/>
          <w:sz w:val="32"/>
          <w:szCs w:val="32"/>
          <w:lang w:val="en-US" w:eastAsia="zh-CN"/>
        </w:rPr>
      </w:pPr>
    </w:p>
    <w:p w14:paraId="5EF92215">
      <w:pPr>
        <w:pStyle w:val="2"/>
        <w:spacing w:before="93"/>
        <w:rPr>
          <w:rFonts w:hint="eastAsia" w:hAnsi="Calibri" w:cs="仿宋"/>
          <w:sz w:val="32"/>
          <w:szCs w:val="32"/>
          <w:lang w:eastAsia="zh-CN"/>
        </w:rPr>
      </w:pPr>
    </w:p>
    <w:p w14:paraId="1769222D">
      <w:pPr>
        <w:pStyle w:val="2"/>
        <w:spacing w:before="93"/>
        <w:rPr>
          <w:rFonts w:hAnsi="Calibri" w:cs="仿宋"/>
          <w:sz w:val="32"/>
          <w:szCs w:val="32"/>
        </w:rPr>
      </w:pPr>
    </w:p>
    <w:p w14:paraId="208579AD">
      <w:pPr>
        <w:pStyle w:val="2"/>
        <w:spacing w:before="93"/>
        <w:rPr>
          <w:rFonts w:hint="eastAsia" w:hAnsi="Calibri" w:cs="仿宋"/>
          <w:sz w:val="32"/>
          <w:szCs w:val="32"/>
          <w:lang w:eastAsia="zh-CN"/>
        </w:rPr>
      </w:pPr>
    </w:p>
    <w:p w14:paraId="53C3B370">
      <w:pPr>
        <w:pStyle w:val="2"/>
        <w:spacing w:before="93"/>
        <w:rPr>
          <w:rFonts w:hint="eastAsia" w:hAnsi="Calibri" w:cs="仿宋"/>
          <w:sz w:val="32"/>
          <w:szCs w:val="32"/>
          <w:lang w:eastAsia="zh-CN"/>
        </w:rPr>
      </w:pPr>
    </w:p>
    <w:p w14:paraId="2DBF9461">
      <w:pPr>
        <w:tabs>
          <w:tab w:val="left" w:pos="498"/>
        </w:tabs>
        <w:bidi w:val="0"/>
        <w:jc w:val="left"/>
        <w:rPr>
          <w:rFonts w:hint="default" w:hAnsi="Calibri" w:cs="仿宋"/>
          <w:sz w:val="32"/>
          <w:szCs w:val="32"/>
          <w:lang w:val="en-US" w:eastAsia="zh-CN"/>
        </w:rPr>
        <w:sectPr>
          <w:footerReference r:id="rId24" w:type="first"/>
          <w:footerReference r:id="rId23" w:type="default"/>
          <w:pgSz w:w="11906" w:h="16838"/>
          <w:pgMar w:top="1440" w:right="1293" w:bottom="1440" w:left="1293" w:header="851" w:footer="992" w:gutter="0"/>
          <w:pgNumType w:fmt="decimal"/>
          <w:cols w:space="0" w:num="1"/>
          <w:titlePg/>
          <w:rtlGutter w:val="0"/>
          <w:docGrid w:type="lines" w:linePitch="319" w:charSpace="0"/>
        </w:sectPr>
      </w:pPr>
    </w:p>
    <w:p w14:paraId="734B95D4">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6"/>
      <w:bookmarkEnd w:id="57"/>
      <w:bookmarkStart w:id="58" w:name="_Toc15396619"/>
    </w:p>
    <w:p w14:paraId="07F8E303">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8"/>
    </w:p>
    <w:p w14:paraId="2BB921CD">
      <w:pPr>
        <w:pStyle w:val="4"/>
        <w:rPr>
          <w:rFonts w:ascii="仿宋" w:hAnsi="仿宋" w:eastAsia="仿宋"/>
        </w:rPr>
      </w:pPr>
      <w:bookmarkStart w:id="59" w:name="_Toc15396620"/>
      <w:r>
        <w:rPr>
          <w:rFonts w:hint="eastAsia" w:ascii="仿宋" w:hAnsi="仿宋" w:eastAsia="仿宋"/>
          <w:b w:val="0"/>
        </w:rPr>
        <w:t>二、收</w:t>
      </w:r>
      <w:r>
        <w:rPr>
          <w:rStyle w:val="29"/>
          <w:rFonts w:hint="eastAsia" w:ascii="仿宋" w:hAnsi="仿宋" w:eastAsia="仿宋"/>
          <w:b w:val="0"/>
          <w:bCs w:val="0"/>
        </w:rPr>
        <w:t>入决算表</w:t>
      </w:r>
      <w:bookmarkEnd w:id="59"/>
    </w:p>
    <w:p w14:paraId="3070E625">
      <w:pPr>
        <w:pStyle w:val="4"/>
        <w:rPr>
          <w:rFonts w:ascii="仿宋" w:hAnsi="仿宋" w:eastAsia="仿宋"/>
        </w:rPr>
      </w:pPr>
      <w:bookmarkStart w:id="60"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0"/>
    </w:p>
    <w:p w14:paraId="7996C3F8">
      <w:pPr>
        <w:pStyle w:val="4"/>
        <w:rPr>
          <w:rFonts w:ascii="仿宋" w:hAnsi="仿宋" w:eastAsia="仿宋"/>
          <w:b w:val="0"/>
        </w:rPr>
      </w:pPr>
      <w:bookmarkStart w:id="61"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1"/>
    </w:p>
    <w:p w14:paraId="7A069170">
      <w:pPr>
        <w:pStyle w:val="4"/>
        <w:rPr>
          <w:rStyle w:val="29"/>
          <w:rFonts w:ascii="仿宋" w:hAnsi="仿宋" w:eastAsia="仿宋"/>
          <w:b w:val="0"/>
          <w:bCs w:val="0"/>
        </w:rPr>
      </w:pPr>
      <w:bookmarkStart w:id="62"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2"/>
      <w:bookmarkStart w:id="63" w:name="_Toc15396624"/>
    </w:p>
    <w:p w14:paraId="2AF5F3CE">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3"/>
    </w:p>
    <w:p w14:paraId="6A6F14FD">
      <w:pPr>
        <w:pStyle w:val="4"/>
        <w:rPr>
          <w:rFonts w:ascii="仿宋" w:hAnsi="仿宋" w:eastAsia="仿宋"/>
        </w:rPr>
      </w:pPr>
      <w:bookmarkStart w:id="64"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4"/>
    </w:p>
    <w:p w14:paraId="1E3A392C">
      <w:pPr>
        <w:pStyle w:val="4"/>
        <w:rPr>
          <w:rFonts w:ascii="仿宋" w:hAnsi="仿宋" w:eastAsia="仿宋"/>
        </w:rPr>
      </w:pPr>
      <w:bookmarkStart w:id="65"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5"/>
    </w:p>
    <w:p w14:paraId="59D45413">
      <w:pPr>
        <w:pStyle w:val="4"/>
        <w:rPr>
          <w:rFonts w:ascii="仿宋" w:hAnsi="仿宋" w:eastAsia="仿宋"/>
        </w:rPr>
      </w:pPr>
      <w:bookmarkStart w:id="66"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6"/>
    </w:p>
    <w:p w14:paraId="1620BCC2">
      <w:pPr>
        <w:pStyle w:val="4"/>
        <w:rPr>
          <w:rFonts w:ascii="仿宋" w:hAnsi="仿宋" w:eastAsia="仿宋"/>
        </w:rPr>
      </w:pPr>
      <w:bookmarkStart w:id="67" w:name="_Toc15396628"/>
      <w:r>
        <w:rPr>
          <w:rStyle w:val="29"/>
          <w:rFonts w:hint="eastAsia" w:ascii="仿宋" w:hAnsi="仿宋" w:eastAsia="仿宋"/>
          <w:b w:val="0"/>
          <w:bCs w:val="0"/>
        </w:rPr>
        <w:t>十、</w:t>
      </w:r>
      <w:bookmarkEnd w:id="67"/>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08DDB9DE">
      <w:pPr>
        <w:pStyle w:val="4"/>
        <w:rPr>
          <w:rFonts w:ascii="仿宋" w:hAnsi="仿宋" w:eastAsia="仿宋"/>
        </w:rPr>
      </w:pPr>
      <w:bookmarkStart w:id="68" w:name="_Toc15396629"/>
      <w:r>
        <w:rPr>
          <w:rStyle w:val="29"/>
          <w:rFonts w:hint="eastAsia" w:ascii="仿宋" w:hAnsi="仿宋" w:eastAsia="仿宋"/>
          <w:b w:val="0"/>
          <w:bCs w:val="0"/>
        </w:rPr>
        <w:t>十一、</w:t>
      </w:r>
      <w:bookmarkEnd w:id="68"/>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6569916F">
      <w:pPr>
        <w:pStyle w:val="4"/>
        <w:rPr>
          <w:rFonts w:ascii="仿宋" w:hAnsi="仿宋" w:eastAsia="仿宋"/>
        </w:rPr>
      </w:pPr>
      <w:bookmarkStart w:id="69" w:name="_Toc15396630"/>
      <w:r>
        <w:rPr>
          <w:rStyle w:val="29"/>
          <w:rFonts w:hint="eastAsia" w:ascii="仿宋" w:hAnsi="仿宋" w:eastAsia="仿宋"/>
          <w:b w:val="0"/>
          <w:bCs w:val="0"/>
        </w:rPr>
        <w:t>十二、</w:t>
      </w:r>
      <w:bookmarkEnd w:id="69"/>
      <w:r>
        <w:rPr>
          <w:rStyle w:val="29"/>
          <w:rFonts w:hint="eastAsia" w:ascii="仿宋" w:hAnsi="仿宋" w:eastAsia="仿宋"/>
          <w:b w:val="0"/>
          <w:bCs w:val="0"/>
        </w:rPr>
        <w:t>国有资本经营预算财政拨款支出决算表</w:t>
      </w:r>
    </w:p>
    <w:p w14:paraId="2DCA31E2">
      <w:pPr>
        <w:pStyle w:val="4"/>
        <w:bidi w:val="0"/>
        <w:spacing w:before="0" w:after="0" w:line="240" w:lineRule="auto"/>
        <w:rPr>
          <w:rFonts w:hint="eastAsia" w:eastAsia="仿宋_GB2312"/>
          <w:lang w:eastAsia="zh-CN"/>
        </w:rPr>
      </w:pPr>
      <w:bookmarkStart w:id="70" w:name="_Toc15396631"/>
      <w:r>
        <w:rPr>
          <w:rStyle w:val="29"/>
          <w:rFonts w:hint="eastAsia" w:ascii="仿宋" w:hAnsi="仿宋" w:eastAsia="仿宋"/>
          <w:b w:val="0"/>
          <w:bCs w:val="0"/>
        </w:rPr>
        <w:t>十三、</w:t>
      </w:r>
      <w:bookmarkEnd w:id="70"/>
      <w:r>
        <w:rPr>
          <w:rStyle w:val="29"/>
          <w:rFonts w:hint="eastAsia" w:ascii="仿宋" w:hAnsi="仿宋" w:eastAsia="仿宋"/>
          <w:b w:val="0"/>
          <w:bCs w:val="0"/>
        </w:rPr>
        <w:t>财政拨款“三公”经费支出决算</w:t>
      </w:r>
      <w:r>
        <w:rPr>
          <w:rStyle w:val="29"/>
          <w:rFonts w:hint="eastAsia" w:ascii="仿宋" w:hAnsi="仿宋" w:eastAsia="仿宋"/>
          <w:b w:val="0"/>
          <w:bCs w:val="0"/>
          <w:lang w:eastAsia="zh-CN"/>
        </w:rPr>
        <w:t>表</w:t>
      </w:r>
    </w:p>
    <w:sectPr>
      <w:footerReference r:id="rId26" w:type="first"/>
      <w:footerReference r:id="rId25" w:type="default"/>
      <w:pgSz w:w="11906" w:h="16838"/>
      <w:pgMar w:top="1440" w:right="1293" w:bottom="1440" w:left="1293" w:header="851" w:footer="992" w:gutter="0"/>
      <w:pgNumType w:fmt="decimal"/>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BDD1">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68B1">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7D7C3">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C07D7C3">
                    <w:pPr>
                      <w:pStyle w:val="10"/>
                    </w:pPr>
                    <w:r>
                      <w:fldChar w:fldCharType="begin"/>
                    </w:r>
                    <w:r>
                      <w:instrText xml:space="preserve"> PAGE  \* MERGEFORMAT </w:instrText>
                    </w:r>
                    <w:r>
                      <w:fldChar w:fldCharType="separate"/>
                    </w:r>
                    <w:r>
                      <w:t>3</w:t>
                    </w:r>
                    <w:r>
                      <w:fldChar w:fldCharType="end"/>
                    </w:r>
                  </w:p>
                </w:txbxContent>
              </v:textbox>
            </v:shape>
          </w:pict>
        </mc:Fallback>
      </mc:AlternateContent>
    </w:r>
  </w:p>
  <w:p w14:paraId="446B197C">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D49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6E8B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856E8B3">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6E5B">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DBBE1">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B9DBBE1">
                    <w:pPr>
                      <w:pStyle w:val="10"/>
                    </w:pPr>
                    <w:r>
                      <w:fldChar w:fldCharType="begin"/>
                    </w:r>
                    <w:r>
                      <w:instrText xml:space="preserve"> PAGE  \* MERGEFORMAT </w:instrText>
                    </w:r>
                    <w:r>
                      <w:fldChar w:fldCharType="separate"/>
                    </w:r>
                    <w:r>
                      <w:t>4</w:t>
                    </w:r>
                    <w:r>
                      <w:fldChar w:fldCharType="end"/>
                    </w:r>
                  </w:p>
                </w:txbxContent>
              </v:textbox>
            </v:shape>
          </w:pict>
        </mc:Fallback>
      </mc:AlternateContent>
    </w:r>
  </w:p>
  <w:p w14:paraId="25C8C76D">
    <w:pPr>
      <w:pStyle w:val="1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3085">
    <w:pPr>
      <w:pStyle w:val="1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CD70">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716CD70">
                    <w:pPr>
                      <w:pStyle w:val="10"/>
                    </w:pPr>
                    <w:r>
                      <w:fldChar w:fldCharType="begin"/>
                    </w:r>
                    <w:r>
                      <w:instrText xml:space="preserve"> PAGE  \* MERGEFORMAT </w:instrText>
                    </w:r>
                    <w:r>
                      <w:fldChar w:fldCharType="separate"/>
                    </w:r>
                    <w:r>
                      <w:t>5</w:t>
                    </w:r>
                    <w:r>
                      <w:fldChar w:fldCharType="end"/>
                    </w:r>
                  </w:p>
                </w:txbxContent>
              </v:textbox>
            </v:shape>
          </w:pict>
        </mc:Fallback>
      </mc:AlternateContent>
    </w:r>
  </w:p>
  <w:p w14:paraId="69425A9C">
    <w:pPr>
      <w:pStyle w:val="1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FDC6">
    <w:pPr>
      <w:pStyle w:val="1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AED77">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3AED77">
                    <w:pPr>
                      <w:pStyle w:val="10"/>
                    </w:pPr>
                    <w:r>
                      <w:fldChar w:fldCharType="begin"/>
                    </w:r>
                    <w:r>
                      <w:instrText xml:space="preserve"> PAGE  \* MERGEFORMAT </w:instrText>
                    </w:r>
                    <w:r>
                      <w:fldChar w:fldCharType="separate"/>
                    </w:r>
                    <w:r>
                      <w:t>6</w:t>
                    </w:r>
                    <w:r>
                      <w:fldChar w:fldCharType="end"/>
                    </w:r>
                  </w:p>
                </w:txbxContent>
              </v:textbox>
            </v:shape>
          </w:pict>
        </mc:Fallback>
      </mc:AlternateContent>
    </w:r>
  </w:p>
  <w:p w14:paraId="1CB7589A">
    <w:pPr>
      <w:pStyle w:val="1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F837">
    <w:pPr>
      <w:pStyle w:val="1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A7C09">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0FA7C09">
                    <w:pPr>
                      <w:pStyle w:val="10"/>
                    </w:pPr>
                    <w:r>
                      <w:fldChar w:fldCharType="begin"/>
                    </w:r>
                    <w:r>
                      <w:instrText xml:space="preserve"> PAGE  \* MERGEFORMAT </w:instrText>
                    </w:r>
                    <w:r>
                      <w:fldChar w:fldCharType="separate"/>
                    </w:r>
                    <w:r>
                      <w:t>7</w:t>
                    </w:r>
                    <w:r>
                      <w:fldChar w:fldCharType="end"/>
                    </w:r>
                  </w:p>
                </w:txbxContent>
              </v:textbox>
            </v:shape>
          </w:pict>
        </mc:Fallback>
      </mc:AlternateContent>
    </w:r>
  </w:p>
  <w:p w14:paraId="7A439D34">
    <w:pPr>
      <w:pStyle w:val="1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0D18">
    <w:pPr>
      <w:pStyle w:val="1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A710D">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63A710D">
                    <w:pPr>
                      <w:pStyle w:val="10"/>
                    </w:pPr>
                    <w:r>
                      <w:fldChar w:fldCharType="begin"/>
                    </w:r>
                    <w:r>
                      <w:instrText xml:space="preserve"> PAGE  \* MERGEFORMAT </w:instrText>
                    </w:r>
                    <w:r>
                      <w:fldChar w:fldCharType="separate"/>
                    </w:r>
                    <w:r>
                      <w:t>8</w:t>
                    </w:r>
                    <w:r>
                      <w:fldChar w:fldCharType="end"/>
                    </w:r>
                  </w:p>
                </w:txbxContent>
              </v:textbox>
            </v:shape>
          </w:pict>
        </mc:Fallback>
      </mc:AlternateContent>
    </w:r>
  </w:p>
  <w:p w14:paraId="3B162EB7">
    <w:pPr>
      <w:pStyle w:val="1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11F8">
    <w:pPr>
      <w:pStyle w:val="10"/>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152A">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209152A">
                    <w:pPr>
                      <w:pStyle w:val="10"/>
                    </w:pPr>
                    <w:r>
                      <w:fldChar w:fldCharType="begin"/>
                    </w:r>
                    <w:r>
                      <w:instrText xml:space="preserve"> PAGE  \* MERGEFORMAT </w:instrText>
                    </w:r>
                    <w:r>
                      <w:fldChar w:fldCharType="separate"/>
                    </w:r>
                    <w:r>
                      <w:t>9</w:t>
                    </w:r>
                    <w:r>
                      <w:fldChar w:fldCharType="end"/>
                    </w:r>
                  </w:p>
                </w:txbxContent>
              </v:textbox>
            </v:shape>
          </w:pict>
        </mc:Fallback>
      </mc:AlternateContent>
    </w:r>
  </w:p>
  <w:p w14:paraId="4F403544">
    <w:pPr>
      <w:pStyle w:val="1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AAC0">
    <w:pPr>
      <w:pStyle w:val="10"/>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64F40">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8564F40">
                    <w:pPr>
                      <w:pStyle w:val="10"/>
                    </w:pPr>
                    <w:r>
                      <w:fldChar w:fldCharType="begin"/>
                    </w:r>
                    <w:r>
                      <w:instrText xml:space="preserve"> PAGE  \* MERGEFORMAT </w:instrText>
                    </w:r>
                    <w:r>
                      <w:fldChar w:fldCharType="separate"/>
                    </w:r>
                    <w:r>
                      <w:t>10</w:t>
                    </w:r>
                    <w:r>
                      <w:fldChar w:fldCharType="end"/>
                    </w:r>
                  </w:p>
                </w:txbxContent>
              </v:textbox>
            </v:shape>
          </w:pict>
        </mc:Fallback>
      </mc:AlternateContent>
    </w:r>
  </w:p>
  <w:p w14:paraId="236E50FF">
    <w:pPr>
      <w:pStyle w:val="1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F684">
    <w:pPr>
      <w:pStyle w:val="1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28D17">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6728D17">
                    <w:pPr>
                      <w:pStyle w:val="10"/>
                    </w:pPr>
                    <w:r>
                      <w:fldChar w:fldCharType="begin"/>
                    </w:r>
                    <w:r>
                      <w:instrText xml:space="preserve"> PAGE  \* MERGEFORMAT </w:instrText>
                    </w:r>
                    <w:r>
                      <w:fldChar w:fldCharType="separate"/>
                    </w:r>
                    <w:r>
                      <w:t>11</w:t>
                    </w:r>
                    <w:r>
                      <w:fldChar w:fldCharType="end"/>
                    </w:r>
                  </w:p>
                </w:txbxContent>
              </v:textbox>
            </v:shape>
          </w:pict>
        </mc:Fallback>
      </mc:AlternateContent>
    </w:r>
  </w:p>
  <w:p w14:paraId="55823EE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0829">
    <w:pPr>
      <w:pStyle w:val="1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1F36">
    <w:pPr>
      <w:pStyle w:val="10"/>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ABF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FF8ABF9">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6CC7C02">
    <w:pPr>
      <w:pStyle w:val="1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D2CA">
    <w:pPr>
      <w:pStyle w:val="10"/>
      <w:tabs>
        <w:tab w:val="center" w:pos="4660"/>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EC09B">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BCEC09B">
                    <w:pPr>
                      <w:pStyle w:val="10"/>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lang w:eastAsia="zh-CN"/>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7630">
    <w:pPr>
      <w:pStyle w:val="10"/>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989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26E989D">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AA40713">
    <w:pPr>
      <w:pStyle w:val="1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84E1">
    <w:pPr>
      <w:pStyle w:val="10"/>
      <w:tabs>
        <w:tab w:val="center" w:pos="6979"/>
        <w:tab w:val="clear" w:pos="4153"/>
      </w:tabs>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78715">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B078715">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2325">
    <w:pPr>
      <w:pStyle w:val="10"/>
      <w:tabs>
        <w:tab w:val="center" w:pos="4090"/>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423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08690294">
                              <w:pPr>
                                <w:pStyle w:val="10"/>
                                <w:jc w:val="center"/>
                              </w:pPr>
                            </w:p>
                            <w:p w14:paraId="1BFCD916">
                              <w:pPr>
                                <w:pStyle w:val="10"/>
                                <w:jc w:val="center"/>
                              </w:pPr>
                            </w:p>
                            <w:p w14:paraId="291AEF1C">
                              <w:pPr>
                                <w:pStyle w:val="10"/>
                                <w:jc w:val="center"/>
                              </w:pPr>
                            </w:p>
                            <w:p w14:paraId="6C3F9809">
                              <w:pPr>
                                <w:pStyle w:val="10"/>
                                <w:jc w:val="center"/>
                              </w:pPr>
                            </w:p>
                            <w:p w14:paraId="0F1C5148">
                              <w:pPr>
                                <w:pStyle w:val="10"/>
                                <w:jc w:val="center"/>
                              </w:pPr>
                              <w:r>
                                <w:fldChar w:fldCharType="begin"/>
                              </w:r>
                              <w:r>
                                <w:instrText xml:space="preserve">PAGE   \* MERGEFORMAT</w:instrText>
                              </w:r>
                              <w:r>
                                <w:fldChar w:fldCharType="separate"/>
                              </w:r>
                              <w:r>
                                <w:rPr>
                                  <w:lang w:val="zh-CN"/>
                                </w:rPr>
                                <w:t>15</w:t>
                              </w:r>
                              <w:r>
                                <w:fldChar w:fldCharType="end"/>
                              </w:r>
                            </w:p>
                          </w:sdtContent>
                        </w:sdt>
                        <w:p w14:paraId="0888A7FE">
                          <w:pPr>
                            <w:pStyle w:val="2"/>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08690294">
                        <w:pPr>
                          <w:pStyle w:val="10"/>
                          <w:jc w:val="center"/>
                        </w:pPr>
                      </w:p>
                      <w:p w14:paraId="1BFCD916">
                        <w:pPr>
                          <w:pStyle w:val="10"/>
                          <w:jc w:val="center"/>
                        </w:pPr>
                      </w:p>
                      <w:p w14:paraId="291AEF1C">
                        <w:pPr>
                          <w:pStyle w:val="10"/>
                          <w:jc w:val="center"/>
                        </w:pPr>
                      </w:p>
                      <w:p w14:paraId="6C3F9809">
                        <w:pPr>
                          <w:pStyle w:val="10"/>
                          <w:jc w:val="center"/>
                        </w:pPr>
                      </w:p>
                      <w:p w14:paraId="0F1C5148">
                        <w:pPr>
                          <w:pStyle w:val="10"/>
                          <w:jc w:val="center"/>
                        </w:pPr>
                        <w:r>
                          <w:fldChar w:fldCharType="begin"/>
                        </w:r>
                        <w:r>
                          <w:instrText xml:space="preserve">PAGE   \* MERGEFORMAT</w:instrText>
                        </w:r>
                        <w:r>
                          <w:fldChar w:fldCharType="separate"/>
                        </w:r>
                        <w:r>
                          <w:rPr>
                            <w:lang w:val="zh-CN"/>
                          </w:rPr>
                          <w:t>15</w:t>
                        </w:r>
                        <w:r>
                          <w:fldChar w:fldCharType="end"/>
                        </w:r>
                      </w:p>
                    </w:sdtContent>
                  </w:sdt>
                  <w:p w14:paraId="0888A7FE">
                    <w:pPr>
                      <w:pStyle w:val="2"/>
                      <w:jc w:val="center"/>
                    </w:pPr>
                  </w:p>
                </w:txbxContent>
              </v:textbox>
            </v:shape>
          </w:pict>
        </mc:Fallback>
      </mc:AlternateContent>
    </w:r>
  </w:p>
  <w:p w14:paraId="5F0DFF4A">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747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8067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DE8067F">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D8EB">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C0B3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1FC0B33">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84C2385">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68B4">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498B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52498BD">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5DA5">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F9BA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24F9BA0">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85DB235">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4D1C">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1082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8210820">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07E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C6081"/>
    <w:multiLevelType w:val="singleLevel"/>
    <w:tmpl w:val="AB2C6081"/>
    <w:lvl w:ilvl="0" w:tentative="0">
      <w:start w:val="1"/>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zgyNzhkMzE2NDdhMmJmMWEyMzM3OWY4NWQxZ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779"/>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4664C"/>
    <w:rsid w:val="03DC2831"/>
    <w:rsid w:val="0690109C"/>
    <w:rsid w:val="079D394F"/>
    <w:rsid w:val="081B5E94"/>
    <w:rsid w:val="08DD547B"/>
    <w:rsid w:val="09D409FD"/>
    <w:rsid w:val="0A2032A3"/>
    <w:rsid w:val="0B8A37D8"/>
    <w:rsid w:val="0D585CA7"/>
    <w:rsid w:val="0D796E2B"/>
    <w:rsid w:val="0F5FFB2F"/>
    <w:rsid w:val="0FFFCF60"/>
    <w:rsid w:val="108E23A9"/>
    <w:rsid w:val="10C055FF"/>
    <w:rsid w:val="10C861C9"/>
    <w:rsid w:val="118107EC"/>
    <w:rsid w:val="11925DDD"/>
    <w:rsid w:val="11DD6519"/>
    <w:rsid w:val="12047144"/>
    <w:rsid w:val="128F5269"/>
    <w:rsid w:val="12DA05C2"/>
    <w:rsid w:val="14345714"/>
    <w:rsid w:val="14A41314"/>
    <w:rsid w:val="14FE5F5C"/>
    <w:rsid w:val="16466D03"/>
    <w:rsid w:val="16BB723D"/>
    <w:rsid w:val="17EC599E"/>
    <w:rsid w:val="18015F3F"/>
    <w:rsid w:val="18705E92"/>
    <w:rsid w:val="18D56F48"/>
    <w:rsid w:val="191C2FE6"/>
    <w:rsid w:val="19E5593D"/>
    <w:rsid w:val="1AAA2465"/>
    <w:rsid w:val="1BAD5341"/>
    <w:rsid w:val="1BE8440E"/>
    <w:rsid w:val="1D155CEE"/>
    <w:rsid w:val="1DF157CB"/>
    <w:rsid w:val="1E3525B1"/>
    <w:rsid w:val="1FDBBF84"/>
    <w:rsid w:val="20F27D41"/>
    <w:rsid w:val="20F57F95"/>
    <w:rsid w:val="2182430A"/>
    <w:rsid w:val="231E6E92"/>
    <w:rsid w:val="2366700F"/>
    <w:rsid w:val="240371BF"/>
    <w:rsid w:val="246421A3"/>
    <w:rsid w:val="252D481E"/>
    <w:rsid w:val="25711CC6"/>
    <w:rsid w:val="25C741E6"/>
    <w:rsid w:val="269C4546"/>
    <w:rsid w:val="276F80C0"/>
    <w:rsid w:val="27842671"/>
    <w:rsid w:val="27952750"/>
    <w:rsid w:val="27CB3A82"/>
    <w:rsid w:val="284423BC"/>
    <w:rsid w:val="29FD04D3"/>
    <w:rsid w:val="2ABE7A3E"/>
    <w:rsid w:val="2AEA52C7"/>
    <w:rsid w:val="2AFF09B6"/>
    <w:rsid w:val="2C7F187A"/>
    <w:rsid w:val="2CA234A8"/>
    <w:rsid w:val="2E184AB2"/>
    <w:rsid w:val="2E3B5303"/>
    <w:rsid w:val="2E4472A9"/>
    <w:rsid w:val="2EAE715A"/>
    <w:rsid w:val="2EC059BA"/>
    <w:rsid w:val="2EFA178C"/>
    <w:rsid w:val="2EFDF86C"/>
    <w:rsid w:val="2F9D17E1"/>
    <w:rsid w:val="30B46D73"/>
    <w:rsid w:val="319679B8"/>
    <w:rsid w:val="319F7F4E"/>
    <w:rsid w:val="31C51004"/>
    <w:rsid w:val="346625C4"/>
    <w:rsid w:val="350F118C"/>
    <w:rsid w:val="356A28F1"/>
    <w:rsid w:val="357C035A"/>
    <w:rsid w:val="368E000D"/>
    <w:rsid w:val="37F001CC"/>
    <w:rsid w:val="383D272C"/>
    <w:rsid w:val="38D07406"/>
    <w:rsid w:val="396867FD"/>
    <w:rsid w:val="397D3689"/>
    <w:rsid w:val="39AE70AB"/>
    <w:rsid w:val="39D2255E"/>
    <w:rsid w:val="3A4DCE41"/>
    <w:rsid w:val="3BCB56FA"/>
    <w:rsid w:val="3BEB25B5"/>
    <w:rsid w:val="3C0C0783"/>
    <w:rsid w:val="3D332398"/>
    <w:rsid w:val="3E4D15BF"/>
    <w:rsid w:val="3EE7C2F4"/>
    <w:rsid w:val="3F307C05"/>
    <w:rsid w:val="3F371B56"/>
    <w:rsid w:val="3F792ED8"/>
    <w:rsid w:val="3F9F3A96"/>
    <w:rsid w:val="3FBA6341"/>
    <w:rsid w:val="3FECA4B2"/>
    <w:rsid w:val="3FF58C48"/>
    <w:rsid w:val="40BA45A0"/>
    <w:rsid w:val="422449A5"/>
    <w:rsid w:val="4240445D"/>
    <w:rsid w:val="42FF6694"/>
    <w:rsid w:val="431B587A"/>
    <w:rsid w:val="432427C8"/>
    <w:rsid w:val="4403322E"/>
    <w:rsid w:val="44204084"/>
    <w:rsid w:val="4427792D"/>
    <w:rsid w:val="47096BDE"/>
    <w:rsid w:val="478C691E"/>
    <w:rsid w:val="48BF60AB"/>
    <w:rsid w:val="48EF54BF"/>
    <w:rsid w:val="493C27E9"/>
    <w:rsid w:val="496F39ED"/>
    <w:rsid w:val="49A84D7E"/>
    <w:rsid w:val="49FF41D3"/>
    <w:rsid w:val="4B575AE6"/>
    <w:rsid w:val="4BE068DB"/>
    <w:rsid w:val="4BF6002B"/>
    <w:rsid w:val="4BFFC6BE"/>
    <w:rsid w:val="4D64632D"/>
    <w:rsid w:val="4ECE2238"/>
    <w:rsid w:val="4F280720"/>
    <w:rsid w:val="4FDC597E"/>
    <w:rsid w:val="502C26BA"/>
    <w:rsid w:val="50A530C4"/>
    <w:rsid w:val="50BF40AA"/>
    <w:rsid w:val="51DB4B86"/>
    <w:rsid w:val="51F64DB0"/>
    <w:rsid w:val="52254B91"/>
    <w:rsid w:val="525A7E08"/>
    <w:rsid w:val="52834BB8"/>
    <w:rsid w:val="52E2601C"/>
    <w:rsid w:val="539D1736"/>
    <w:rsid w:val="55333C3E"/>
    <w:rsid w:val="553C2528"/>
    <w:rsid w:val="5781180D"/>
    <w:rsid w:val="59C03535"/>
    <w:rsid w:val="5A773188"/>
    <w:rsid w:val="5BE82E8F"/>
    <w:rsid w:val="5C3A17E4"/>
    <w:rsid w:val="5C914DF6"/>
    <w:rsid w:val="5F67802D"/>
    <w:rsid w:val="5F7DC4F2"/>
    <w:rsid w:val="5FA673E2"/>
    <w:rsid w:val="5FB36814"/>
    <w:rsid w:val="5FBB8E56"/>
    <w:rsid w:val="5FFB5535"/>
    <w:rsid w:val="600656EF"/>
    <w:rsid w:val="61293AC1"/>
    <w:rsid w:val="61845453"/>
    <w:rsid w:val="61B51D6C"/>
    <w:rsid w:val="633F38C1"/>
    <w:rsid w:val="639860B9"/>
    <w:rsid w:val="63B958D9"/>
    <w:rsid w:val="64CA39A1"/>
    <w:rsid w:val="67E41BCF"/>
    <w:rsid w:val="690B662F"/>
    <w:rsid w:val="69630ADE"/>
    <w:rsid w:val="69BD5F13"/>
    <w:rsid w:val="69C91482"/>
    <w:rsid w:val="69FB0B4B"/>
    <w:rsid w:val="6AEA1C9F"/>
    <w:rsid w:val="6BFFE1FB"/>
    <w:rsid w:val="6C4A05C8"/>
    <w:rsid w:val="6D3B1A89"/>
    <w:rsid w:val="6D9E3BBD"/>
    <w:rsid w:val="6DB7D8A3"/>
    <w:rsid w:val="6E7004A6"/>
    <w:rsid w:val="6EC78701"/>
    <w:rsid w:val="6F7A5481"/>
    <w:rsid w:val="6F7C1813"/>
    <w:rsid w:val="6FFE07A9"/>
    <w:rsid w:val="71431D56"/>
    <w:rsid w:val="71945F20"/>
    <w:rsid w:val="71BF4EC2"/>
    <w:rsid w:val="72734D90"/>
    <w:rsid w:val="73E75B71"/>
    <w:rsid w:val="7412278C"/>
    <w:rsid w:val="74242EB5"/>
    <w:rsid w:val="747C4102"/>
    <w:rsid w:val="7566482B"/>
    <w:rsid w:val="75DDCDA9"/>
    <w:rsid w:val="75FF44B1"/>
    <w:rsid w:val="775E1F5D"/>
    <w:rsid w:val="77670518"/>
    <w:rsid w:val="777FA627"/>
    <w:rsid w:val="77DF1B5F"/>
    <w:rsid w:val="77EF2D9D"/>
    <w:rsid w:val="78881725"/>
    <w:rsid w:val="78BD196C"/>
    <w:rsid w:val="79D6057E"/>
    <w:rsid w:val="79E7B28D"/>
    <w:rsid w:val="7ACFF0C2"/>
    <w:rsid w:val="7AFB9108"/>
    <w:rsid w:val="7B0A46AE"/>
    <w:rsid w:val="7BD5340C"/>
    <w:rsid w:val="7BFB19D2"/>
    <w:rsid w:val="7BFD1750"/>
    <w:rsid w:val="7BFDAA1B"/>
    <w:rsid w:val="7C2253BC"/>
    <w:rsid w:val="7CDF9A82"/>
    <w:rsid w:val="7CFFA1BD"/>
    <w:rsid w:val="7D077CE1"/>
    <w:rsid w:val="7D2E3F7A"/>
    <w:rsid w:val="7DED9490"/>
    <w:rsid w:val="7DFF4872"/>
    <w:rsid w:val="7E2C48B5"/>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2 Char"/>
    <w:basedOn w:val="16"/>
    <w:link w:val="4"/>
    <w:qFormat/>
    <w:uiPriority w:val="9"/>
    <w:rPr>
      <w:rFonts w:ascii="Cambria" w:hAnsi="Cambria" w:eastAsia="宋体" w:cs="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5.xml"/><Relationship Id="rId32" Type="http://schemas.openxmlformats.org/officeDocument/2006/relationships/chart" Target="charts/chart4.xml"/><Relationship Id="rId31" Type="http://schemas.openxmlformats.org/officeDocument/2006/relationships/chart" Target="charts/chart3.xml"/><Relationship Id="rId30" Type="http://schemas.openxmlformats.org/officeDocument/2006/relationships/chart" Target="charts/chart2.xml"/><Relationship Id="rId3" Type="http://schemas.openxmlformats.org/officeDocument/2006/relationships/footer" Target="footer1.xml"/><Relationship Id="rId29" Type="http://schemas.openxmlformats.org/officeDocument/2006/relationships/chart" Target="charts/chart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J:\2023&#24180;&#20915;&#31639;&#20844;&#24320;\&#22270;&#24418;&#21046;&#20316;&#26041;&#2786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J:\2023&#24180;&#20915;&#31639;&#20844;&#24320;\&#22270;&#24418;&#21046;&#20316;&#26041;&#2786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J:\2023&#24180;&#20915;&#31639;&#20844;&#24320;\&#22270;&#24418;&#21046;&#20316;&#26041;&#2786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J:\2023&#24180;&#20915;&#31639;&#20844;&#24320;\&#22270;&#24418;&#21046;&#20316;&#26041;&#2786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J:\2023&#24180;&#20915;&#31639;&#20844;&#24320;\&#22270;&#24418;&#21046;&#20316;&#26041;&#278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endParaRPr lang="en-US" altLang="zh-CN"/>
          </a:p>
        </c:rich>
      </c:tx>
      <c:layout/>
      <c:overlay val="0"/>
      <c:spPr>
        <a:noFill/>
        <a:ln>
          <a:noFill/>
        </a:ln>
        <a:effectLst/>
      </c:spPr>
    </c:title>
    <c:autoTitleDeleted val="0"/>
    <c:plotArea>
      <c:layout/>
      <c:ofPieChart>
        <c:ofPieType val="pie"/>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[图形制作方法.xlsx]图2!$A$1:$C$1</c:f>
              <c:strCache>
                <c:ptCount val="3"/>
                <c:pt idx="0">
                  <c:v>一般公共预算财政拨款收入</c:v>
                </c:pt>
                <c:pt idx="1">
                  <c:v>事业收入</c:v>
                </c:pt>
                <c:pt idx="2">
                  <c:v>其他收入</c:v>
                </c:pt>
              </c:strCache>
            </c:strRef>
          </c:cat>
          <c:val>
            <c:numRef>
              <c:f>[图形制作方法.xlsx]图2!$A$2:$C$2</c:f>
              <c:numCache>
                <c:formatCode>0.00%</c:formatCode>
                <c:ptCount val="3"/>
                <c:pt idx="0">
                  <c:v>0.807</c:v>
                </c:pt>
                <c:pt idx="1">
                  <c:v>0.1926</c:v>
                </c:pt>
                <c:pt idx="2">
                  <c:v>0.0004</c:v>
                </c:pt>
              </c:numCache>
            </c:numRef>
          </c:val>
        </c:ser>
        <c:dLbls>
          <c:showLegendKey val="0"/>
          <c:showVal val="1"/>
          <c:showCatName val="0"/>
          <c:showSerName val="0"/>
          <c:showPercent val="0"/>
          <c:showBubbleSize val="0"/>
          <c:showLeaderLines val="1"/>
        </c:dLbls>
        <c:gapWidth val="6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0.2425"/>
          <c:y val="0.9159527668441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tLang="en-US"/>
              <a:t>支出决算结构图</a:t>
            </a:r>
            <a:endParaRPr lang="en-US" altLang="zh-CN"/>
          </a:p>
        </c:rich>
      </c:tx>
      <c:layout>
        <c:manualLayout>
          <c:xMode val="edge"/>
          <c:yMode val="edge"/>
          <c:x val="0.364736842105263"/>
          <c:y val="0.030659172202350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[图形制作方法.xlsx]图3!$A$1:$B$1</c:f>
              <c:strCache>
                <c:ptCount val="2"/>
                <c:pt idx="0">
                  <c:v>基本支出</c:v>
                </c:pt>
                <c:pt idx="1">
                  <c:v>项目支出</c:v>
                </c:pt>
              </c:strCache>
            </c:strRef>
          </c:cat>
          <c:val>
            <c:numRef>
              <c:f>[图形制作方法.xlsx]图3!$A$2:$B$2</c:f>
              <c:numCache>
                <c:formatCode>0.00%</c:formatCode>
                <c:ptCount val="2"/>
                <c:pt idx="0">
                  <c:v>0.6737</c:v>
                </c:pt>
                <c:pt idx="1">
                  <c:v>0.3263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77631578947368"/>
          <c:y val="0.915942769545222"/>
          <c:w val="0.457105263157895"/>
          <c:h val="0.07639243740419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财政拨款收、支决算总计变动情况（万元）</a:t>
            </a:r>
          </a:p>
        </c:rich>
      </c:tx>
      <c:layout/>
      <c:overlay val="0"/>
      <c:spPr>
        <a:noFill/>
        <a:ln>
          <a:noFill/>
        </a:ln>
        <a:effectLst/>
      </c:spPr>
    </c:title>
    <c:autoTitleDeleted val="0"/>
    <c:plotArea>
      <c:layout/>
      <c:barChart>
        <c:barDir val="col"/>
        <c:grouping val="clustered"/>
        <c:varyColors val="0"/>
        <c:ser>
          <c:idx val="0"/>
          <c:order val="0"/>
          <c:tx>
            <c:strRef>
              <c:f>[图形制作方法.xlsx]图4、图5!$A$28</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[图形制作方法.xlsx]图4、图5!$B$27:$C$27</c:f>
              <c:strCache>
                <c:ptCount val="2"/>
                <c:pt idx="0">
                  <c:v>财政拨款收入</c:v>
                </c:pt>
                <c:pt idx="1">
                  <c:v>财政拨款支出</c:v>
                </c:pt>
              </c:strCache>
            </c:strRef>
          </c:cat>
          <c:val>
            <c:numRef>
              <c:f>[图形制作方法.xlsx]图4、图5!$B$28:$C$28</c:f>
              <c:numCache>
                <c:formatCode>General</c:formatCode>
                <c:ptCount val="2"/>
                <c:pt idx="0">
                  <c:v>724.2</c:v>
                </c:pt>
                <c:pt idx="1">
                  <c:v>724.2</c:v>
                </c:pt>
              </c:numCache>
            </c:numRef>
          </c:val>
        </c:ser>
        <c:ser>
          <c:idx val="1"/>
          <c:order val="1"/>
          <c:tx>
            <c:strRef>
              <c:f>[图形制作方法.xlsx]图4、图5!$A$29</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[图形制作方法.xlsx]图4、图5!$B$27:$C$27</c:f>
              <c:strCache>
                <c:ptCount val="2"/>
                <c:pt idx="0">
                  <c:v>财政拨款收入</c:v>
                </c:pt>
                <c:pt idx="1">
                  <c:v>财政拨款支出</c:v>
                </c:pt>
              </c:strCache>
            </c:strRef>
          </c:cat>
          <c:val>
            <c:numRef>
              <c:f>[图形制作方法.xlsx]图4、图5!$B$29:$C$29</c:f>
              <c:numCache>
                <c:formatCode>General</c:formatCode>
                <c:ptCount val="2"/>
                <c:pt idx="0">
                  <c:v>800.4</c:v>
                </c:pt>
                <c:pt idx="1">
                  <c:v>800.4</c:v>
                </c:pt>
              </c:numCache>
            </c:numRef>
          </c:val>
        </c:ser>
        <c:dLbls>
          <c:showLegendKey val="0"/>
          <c:showVal val="1"/>
          <c:showCatName val="0"/>
          <c:showSerName val="0"/>
          <c:showPercent val="0"/>
          <c:showBubbleSize val="0"/>
        </c:dLbls>
        <c:gapWidth val="246"/>
        <c:overlap val="-28"/>
        <c:axId val="852212958"/>
        <c:axId val="40337868"/>
      </c:barChart>
      <c:catAx>
        <c:axId val="8522129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37868"/>
        <c:crosses val="autoZero"/>
        <c:auto val="1"/>
        <c:lblAlgn val="ctr"/>
        <c:lblOffset val="100"/>
        <c:noMultiLvlLbl val="0"/>
      </c:catAx>
      <c:valAx>
        <c:axId val="4033786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22129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一般公共预算财政拨款支出决算变动情况（万元）</a:t>
            </a:r>
          </a:p>
        </c:rich>
      </c:tx>
      <c:layout/>
      <c:overlay val="0"/>
      <c:spPr>
        <a:noFill/>
        <a:ln>
          <a:noFill/>
        </a:ln>
        <a:effectLst/>
      </c:spPr>
    </c:title>
    <c:autoTitleDeleted val="0"/>
    <c:plotArea>
      <c:layout>
        <c:manualLayout>
          <c:layoutTarget val="inner"/>
          <c:xMode val="edge"/>
          <c:yMode val="edge"/>
          <c:x val="0.0736315789473684"/>
          <c:y val="0.108522727272727"/>
          <c:w val="0.888210526315789"/>
          <c:h val="0.606805555555556"/>
        </c:manualLayout>
      </c:layout>
      <c:barChart>
        <c:barDir val="col"/>
        <c:grouping val="clustered"/>
        <c:varyColors val="0"/>
        <c:ser>
          <c:idx val="0"/>
          <c:order val="0"/>
          <c:tx>
            <c:strRef>
              <c:f>[图形制作方法.xlsx]图4、图5!$K$1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[图形制作方法.xlsx]图4、图5!$J$2:$J$3</c:f>
              <c:strCache>
                <c:ptCount val="2"/>
                <c:pt idx="0">
                  <c:v>2022年</c:v>
                </c:pt>
                <c:pt idx="1">
                  <c:v>2023年</c:v>
                </c:pt>
              </c:strCache>
            </c:strRef>
          </c:cat>
          <c:val>
            <c:numRef>
              <c:f>[图形制作方法.xlsx]图4、图5!$K$2:$K$3</c:f>
              <c:numCache>
                <c:formatCode>General</c:formatCode>
                <c:ptCount val="2"/>
                <c:pt idx="0">
                  <c:v>724.2</c:v>
                </c:pt>
                <c:pt idx="1">
                  <c:v>800.4</c:v>
                </c:pt>
              </c:numCache>
            </c:numRef>
          </c:val>
        </c:ser>
        <c:dLbls>
          <c:showLegendKey val="0"/>
          <c:showVal val="1"/>
          <c:showCatName val="0"/>
          <c:showSerName val="0"/>
          <c:showPercent val="0"/>
          <c:showBubbleSize val="0"/>
        </c:dLbls>
        <c:gapWidth val="246"/>
        <c:overlap val="-28"/>
        <c:axId val="157235061"/>
        <c:axId val="530069494"/>
      </c:barChart>
      <c:catAx>
        <c:axId val="1572350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069494"/>
        <c:crosses val="autoZero"/>
        <c:auto val="1"/>
        <c:lblAlgn val="ctr"/>
        <c:lblOffset val="100"/>
        <c:noMultiLvlLbl val="0"/>
      </c:catAx>
      <c:valAx>
        <c:axId val="5300694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2350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[图形制作方法.xlsx]图6!$A$16:$C$16</c:f>
              <c:strCache>
                <c:ptCount val="3"/>
                <c:pt idx="0">
                  <c:v>社会保障和就业支出</c:v>
                </c:pt>
                <c:pt idx="1">
                  <c:v>卫生健康支出</c:v>
                </c:pt>
                <c:pt idx="2">
                  <c:v>住房保障支出</c:v>
                </c:pt>
              </c:strCache>
            </c:strRef>
          </c:cat>
          <c:val>
            <c:numRef>
              <c:f>[图形制作方法.xlsx]图6!$A$17:$C$17</c:f>
              <c:numCache>
                <c:formatCode>0.00%</c:formatCode>
                <c:ptCount val="3"/>
                <c:pt idx="0">
                  <c:v>0.1104</c:v>
                </c:pt>
                <c:pt idx="1">
                  <c:v>0.8419</c:v>
                </c:pt>
                <c:pt idx="2">
                  <c:v>0.0477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189210526315789"/>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0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1">
      <cs:styleClr val="auto"/>
    </cs:fillRef>
    <cs:effectRef idx="0"/>
    <cs:fontRef idx="minor">
      <a:schemeClr val="tx1"/>
    </cs:fontRef>
    <cs:spPr>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5189</Words>
  <Characters>6070</Characters>
  <Lines>54</Lines>
  <Paragraphs>15</Paragraphs>
  <TotalTime>10</TotalTime>
  <ScaleCrop>false</ScaleCrop>
  <LinksUpToDate>false</LinksUpToDate>
  <CharactersWithSpaces>6107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小白菜</cp:lastModifiedBy>
  <cp:lastPrinted>2023-08-03T02:35:00Z</cp:lastPrinted>
  <dcterms:modified xsi:type="dcterms:W3CDTF">2024-10-23T07:39:34Z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CD86E622A4F74916B618A83FC8FC716E_13</vt:lpwstr>
  </property>
</Properties>
</file>