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6D1B9">
      <w:pPr>
        <w:spacing w:line="600" w:lineRule="exact"/>
        <w:jc w:val="left"/>
        <w:outlineLvl w:val="0"/>
        <w:rPr>
          <w:rFonts w:ascii="方正小标宋简体" w:hAnsi="宋体" w:eastAsia="方正小标宋简体"/>
          <w:szCs w:val="21"/>
        </w:rPr>
      </w:pPr>
      <w:bookmarkStart w:id="0" w:name="_Toc15306267"/>
    </w:p>
    <w:p w14:paraId="44E68146">
      <w:pPr>
        <w:pStyle w:val="6"/>
        <w:spacing w:before="93"/>
      </w:pPr>
    </w:p>
    <w:p w14:paraId="77731301">
      <w:pPr>
        <w:spacing w:line="600" w:lineRule="exact"/>
        <w:jc w:val="center"/>
        <w:outlineLvl w:val="0"/>
        <w:rPr>
          <w:rFonts w:ascii="方正小标宋简体" w:hAnsi="宋体" w:eastAsia="方正小标宋简体"/>
          <w:sz w:val="72"/>
          <w:szCs w:val="72"/>
        </w:rPr>
      </w:pPr>
    </w:p>
    <w:p w14:paraId="21C521BC">
      <w:pPr>
        <w:spacing w:line="600" w:lineRule="exact"/>
        <w:jc w:val="center"/>
        <w:outlineLvl w:val="0"/>
        <w:rPr>
          <w:rFonts w:ascii="方正小标宋简体" w:hAnsi="宋体" w:eastAsia="方正小标宋简体"/>
          <w:sz w:val="72"/>
          <w:szCs w:val="72"/>
        </w:rPr>
      </w:pPr>
    </w:p>
    <w:p w14:paraId="0947ED2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77425"/>
      <w:bookmarkStart w:id="4" w:name="_Toc15377193"/>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5612D28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06268"/>
      <w:bookmarkStart w:id="9" w:name="_Toc15377194"/>
      <w:bookmarkStart w:id="10" w:name="_Toc15378442"/>
      <w:bookmarkStart w:id="11" w:name="_Toc15377426"/>
      <w:r>
        <w:rPr>
          <w:rFonts w:hint="eastAsia" w:ascii="方正小标宋简体" w:hAnsi="方正小标宋简体" w:eastAsia="方正小标宋简体" w:cs="方正小标宋简体"/>
          <w:sz w:val="72"/>
          <w:szCs w:val="72"/>
        </w:rPr>
        <w:t>盐边县航务海事中心单位决算</w:t>
      </w:r>
      <w:bookmarkEnd w:id="6"/>
      <w:bookmarkEnd w:id="7"/>
      <w:bookmarkEnd w:id="8"/>
      <w:bookmarkEnd w:id="9"/>
      <w:bookmarkEnd w:id="10"/>
      <w:bookmarkEnd w:id="11"/>
    </w:p>
    <w:p w14:paraId="65C3ADD1">
      <w:pPr>
        <w:widowControl/>
        <w:jc w:val="center"/>
        <w:rPr>
          <w:rFonts w:ascii="黑体" w:hAns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5A61B8F8">
      <w:pPr>
        <w:widowControl/>
        <w:jc w:val="center"/>
        <w:rPr>
          <w:rFonts w:ascii="黑体" w:hAnsi="黑体" w:eastAsia="黑体"/>
          <w:sz w:val="48"/>
          <w:szCs w:val="48"/>
        </w:rPr>
      </w:pPr>
      <w:r>
        <w:rPr>
          <w:rFonts w:hint="eastAsia" w:ascii="黑体" w:hAnsi="黑体" w:eastAsia="黑体"/>
          <w:sz w:val="48"/>
          <w:szCs w:val="48"/>
        </w:rPr>
        <w:t>目录</w:t>
      </w:r>
    </w:p>
    <w:p w14:paraId="57D03D4D">
      <w:pPr>
        <w:widowControl/>
        <w:jc w:val="center"/>
        <w:rPr>
          <w:rFonts w:ascii="黑体" w:hAnsi="黑体" w:eastAsia="黑体" w:cstheme="minorBidi"/>
          <w:sz w:val="28"/>
          <w:szCs w:val="28"/>
        </w:rPr>
      </w:pPr>
    </w:p>
    <w:p w14:paraId="0E5D36D3">
      <w:pPr>
        <w:pStyle w:val="12"/>
      </w:pPr>
      <w:r>
        <w:rPr>
          <w:rFonts w:hint="eastAsia"/>
        </w:rPr>
        <w:t>公开时间：2024年10月2</w:t>
      </w:r>
      <w:r>
        <w:rPr>
          <w:rFonts w:hint="eastAsia"/>
          <w:lang w:val="en-US" w:eastAsia="zh-CN"/>
        </w:rPr>
        <w:t>8</w:t>
      </w:r>
      <w:r>
        <w:rPr>
          <w:rFonts w:hint="eastAsia"/>
        </w:rPr>
        <w:t>日</w:t>
      </w:r>
      <w:bookmarkStart w:id="67" w:name="_GoBack"/>
      <w:bookmarkEnd w:id="67"/>
    </w:p>
    <w:p w14:paraId="4CA1D51A"/>
    <w:p w14:paraId="58BC95F8">
      <w:pPr>
        <w:pStyle w:val="12"/>
        <w:adjustRightInd w:val="0"/>
        <w:snapToGrid w:val="0"/>
        <w:spacing w:before="0" w:line="440" w:lineRule="exact"/>
        <w:jc w:val="left"/>
        <w:rPr>
          <w:rFonts w:cstheme="minorBidi"/>
          <w:sz w:val="24"/>
          <w:szCs w:val="24"/>
        </w:rPr>
      </w:pPr>
      <w:r>
        <w:rPr>
          <w:rFonts w:hint="eastAsia"/>
          <w:sz w:val="24"/>
        </w:rPr>
        <w:t>第一部分单位概况</w:t>
      </w:r>
      <w:r>
        <w:ptab w:relativeTo="margin" w:alignment="right" w:leader="dot"/>
      </w:r>
      <w:r>
        <w:rPr>
          <w:rFonts w:hint="eastAsia"/>
          <w:sz w:val="24"/>
        </w:rPr>
        <w:t>1</w:t>
      </w:r>
    </w:p>
    <w:p w14:paraId="4E790F52">
      <w:pPr>
        <w:pStyle w:val="13"/>
        <w:adjustRightInd w:val="0"/>
        <w:snapToGrid w:val="0"/>
        <w:spacing w:line="440" w:lineRule="exact"/>
        <w:jc w:val="left"/>
        <w:rPr>
          <w:sz w:val="24"/>
        </w:rPr>
      </w:pPr>
      <w:r>
        <w:rPr>
          <w:rFonts w:hint="eastAsia"/>
          <w:sz w:val="24"/>
        </w:rPr>
        <w:t>一、主要职责</w:t>
      </w:r>
      <w:r>
        <w:ptab w:relativeTo="margin" w:alignment="right" w:leader="dot"/>
      </w:r>
      <w:r>
        <w:rPr>
          <w:rFonts w:ascii="仿宋" w:hAnsi="仿宋" w:eastAsia="仿宋"/>
          <w:sz w:val="24"/>
        </w:rPr>
        <w:t>1</w:t>
      </w:r>
    </w:p>
    <w:p w14:paraId="7E4911C7">
      <w:pPr>
        <w:pStyle w:val="13"/>
        <w:adjustRightInd w:val="0"/>
        <w:snapToGrid w:val="0"/>
        <w:spacing w:line="440" w:lineRule="exact"/>
        <w:jc w:val="left"/>
      </w:pPr>
      <w:r>
        <w:rPr>
          <w:rFonts w:hint="eastAsia"/>
          <w:sz w:val="24"/>
        </w:rPr>
        <w:t>二、机构设置</w:t>
      </w:r>
      <w:r>
        <w:ptab w:relativeTo="margin" w:alignment="right" w:leader="dot"/>
      </w:r>
      <w:r>
        <w:rPr>
          <w:rFonts w:ascii="仿宋" w:hAnsi="仿宋" w:eastAsia="仿宋"/>
          <w:sz w:val="24"/>
        </w:rPr>
        <w:t>1</w:t>
      </w:r>
    </w:p>
    <w:p w14:paraId="3302893C">
      <w:pPr>
        <w:pStyle w:val="12"/>
        <w:adjustRightInd w:val="0"/>
        <w:snapToGrid w:val="0"/>
        <w:spacing w:before="0" w:line="440" w:lineRule="exact"/>
        <w:jc w:val="left"/>
        <w:rPr>
          <w:rFonts w:cstheme="minorBidi"/>
          <w:sz w:val="24"/>
          <w:szCs w:val="24"/>
        </w:rPr>
      </w:pPr>
      <w:r>
        <w:rPr>
          <w:rFonts w:hint="eastAsia"/>
          <w:sz w:val="24"/>
        </w:rPr>
        <w:t>第二部分 2023年度单位决算情况说明</w:t>
      </w:r>
      <w:r>
        <w:ptab w:relativeTo="margin" w:alignment="right" w:leader="dot"/>
      </w:r>
      <w:r>
        <w:rPr>
          <w:rFonts w:hint="eastAsia"/>
          <w:sz w:val="24"/>
        </w:rPr>
        <w:t>3</w:t>
      </w:r>
    </w:p>
    <w:p w14:paraId="56D92C13">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ptab w:relativeTo="margin" w:alignment="right" w:leader="dot"/>
      </w:r>
      <w:r>
        <w:rPr>
          <w:rFonts w:hint="eastAsia" w:ascii="仿宋" w:hAnsi="仿宋" w:eastAsia="仿宋"/>
          <w:sz w:val="24"/>
        </w:rPr>
        <w:t>3</w:t>
      </w:r>
    </w:p>
    <w:p w14:paraId="4941A336">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ptab w:relativeTo="margin" w:alignment="right" w:leader="dot"/>
      </w:r>
      <w:r>
        <w:rPr>
          <w:rFonts w:hint="eastAsia" w:ascii="仿宋" w:hAnsi="仿宋" w:eastAsia="仿宋"/>
          <w:sz w:val="24"/>
        </w:rPr>
        <w:t>3</w:t>
      </w:r>
    </w:p>
    <w:p w14:paraId="0FC8C080">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ptab w:relativeTo="margin" w:alignment="right" w:leader="dot"/>
      </w:r>
      <w:r>
        <w:rPr>
          <w:rFonts w:hint="eastAsia" w:ascii="仿宋" w:hAnsi="仿宋" w:eastAsia="仿宋"/>
          <w:sz w:val="24"/>
        </w:rPr>
        <w:t>4</w:t>
      </w:r>
    </w:p>
    <w:p w14:paraId="1C5A8465">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ptab w:relativeTo="margin" w:alignment="right" w:leader="dot"/>
      </w:r>
      <w:r>
        <w:rPr>
          <w:rFonts w:hint="eastAsia" w:ascii="仿宋" w:hAnsi="仿宋" w:eastAsia="仿宋"/>
          <w:sz w:val="24"/>
        </w:rPr>
        <w:t>5</w:t>
      </w:r>
    </w:p>
    <w:p w14:paraId="3B4C5B7D">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ptab w:relativeTo="margin" w:alignment="right" w:leader="dot"/>
      </w:r>
      <w:r>
        <w:rPr>
          <w:rFonts w:hint="eastAsia" w:ascii="仿宋" w:hAnsi="仿宋" w:eastAsia="仿宋"/>
          <w:sz w:val="24"/>
        </w:rPr>
        <w:t>5</w:t>
      </w:r>
    </w:p>
    <w:p w14:paraId="3C1111E5">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ptab w:relativeTo="margin" w:alignment="right" w:leader="dot"/>
      </w:r>
      <w:r>
        <w:rPr>
          <w:rFonts w:hint="eastAsia" w:ascii="仿宋" w:hAnsi="仿宋" w:eastAsia="仿宋"/>
          <w:sz w:val="24"/>
        </w:rPr>
        <w:t>8</w:t>
      </w:r>
    </w:p>
    <w:p w14:paraId="672D9044">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ptab w:relativeTo="margin" w:alignment="right" w:leader="dot"/>
      </w:r>
      <w:r>
        <w:rPr>
          <w:rFonts w:hint="eastAsia" w:ascii="仿宋" w:hAnsi="仿宋" w:eastAsia="仿宋"/>
          <w:sz w:val="24"/>
        </w:rPr>
        <w:t>9</w:t>
      </w:r>
    </w:p>
    <w:p w14:paraId="4700BD9A">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ptab w:relativeTo="margin" w:alignment="right" w:leader="dot"/>
      </w:r>
      <w:r>
        <w:rPr>
          <w:rFonts w:hint="eastAsia" w:ascii="仿宋" w:hAnsi="仿宋" w:eastAsia="仿宋"/>
          <w:sz w:val="24"/>
        </w:rPr>
        <w:t>9</w:t>
      </w:r>
    </w:p>
    <w:p w14:paraId="66477A1D">
      <w:pPr>
        <w:pStyle w:val="13"/>
        <w:adjustRightInd w:val="0"/>
        <w:snapToGrid w:val="0"/>
        <w:spacing w:line="440" w:lineRule="exact"/>
        <w:jc w:val="left"/>
        <w:rPr>
          <w:sz w:val="24"/>
        </w:rPr>
      </w:pPr>
      <w:r>
        <w:rPr>
          <w:rFonts w:hint="eastAsia"/>
          <w:sz w:val="24"/>
        </w:rPr>
        <w:t>九、国有资本经营预算支出决算情况说明</w:t>
      </w:r>
      <w:r>
        <w:ptab w:relativeTo="margin" w:alignment="right" w:leader="dot"/>
      </w:r>
      <w:r>
        <w:rPr>
          <w:rFonts w:ascii="仿宋" w:hAnsi="仿宋" w:eastAsia="仿宋"/>
          <w:sz w:val="24"/>
        </w:rPr>
        <w:t>1</w:t>
      </w:r>
      <w:r>
        <w:rPr>
          <w:rFonts w:hint="eastAsia" w:ascii="仿宋" w:hAnsi="仿宋" w:eastAsia="仿宋"/>
          <w:sz w:val="24"/>
        </w:rPr>
        <w:t>0</w:t>
      </w:r>
    </w:p>
    <w:p w14:paraId="579482F9">
      <w:pPr>
        <w:pStyle w:val="13"/>
        <w:adjustRightInd w:val="0"/>
        <w:snapToGrid w:val="0"/>
        <w:spacing w:line="440" w:lineRule="exact"/>
        <w:jc w:val="left"/>
        <w:rPr>
          <w:sz w:val="24"/>
        </w:rPr>
      </w:pPr>
      <w:r>
        <w:rPr>
          <w:rFonts w:hint="eastAsia"/>
          <w:sz w:val="24"/>
        </w:rPr>
        <w:t>十、其他重要事项的情况说明</w:t>
      </w:r>
      <w:r>
        <w:ptab w:relativeTo="margin" w:alignment="right" w:leader="dot"/>
      </w:r>
      <w:r>
        <w:rPr>
          <w:rFonts w:ascii="仿宋" w:hAnsi="仿宋" w:eastAsia="仿宋"/>
          <w:sz w:val="24"/>
        </w:rPr>
        <w:t>1</w:t>
      </w:r>
      <w:r>
        <w:rPr>
          <w:rFonts w:hint="eastAsia" w:ascii="仿宋" w:hAnsi="仿宋" w:eastAsia="仿宋"/>
          <w:sz w:val="24"/>
        </w:rPr>
        <w:t>0</w:t>
      </w:r>
    </w:p>
    <w:p w14:paraId="72449D47">
      <w:pPr>
        <w:pStyle w:val="12"/>
        <w:adjustRightInd w:val="0"/>
        <w:snapToGrid w:val="0"/>
        <w:spacing w:before="0" w:line="440" w:lineRule="exact"/>
        <w:jc w:val="left"/>
        <w:rPr>
          <w:rFonts w:cstheme="minorBidi"/>
          <w:sz w:val="24"/>
          <w:szCs w:val="24"/>
        </w:rPr>
      </w:pPr>
      <w:r>
        <w:rPr>
          <w:rFonts w:hint="eastAsia"/>
          <w:sz w:val="24"/>
        </w:rPr>
        <w:t>第三部分名词解释</w:t>
      </w:r>
      <w:r>
        <w:ptab w:relativeTo="margin" w:alignment="right" w:leader="dot"/>
      </w:r>
      <w:r>
        <w:rPr>
          <w:rFonts w:hint="eastAsia"/>
          <w:sz w:val="24"/>
        </w:rPr>
        <w:t>11</w:t>
      </w:r>
    </w:p>
    <w:p w14:paraId="4E608B0B">
      <w:pPr>
        <w:pStyle w:val="12"/>
        <w:adjustRightInd w:val="0"/>
        <w:snapToGrid w:val="0"/>
        <w:spacing w:before="0" w:line="440" w:lineRule="exact"/>
        <w:jc w:val="left"/>
        <w:rPr>
          <w:rFonts w:cstheme="minorBidi"/>
          <w:sz w:val="24"/>
          <w:szCs w:val="24"/>
        </w:rPr>
      </w:pPr>
      <w:r>
        <w:rPr>
          <w:rFonts w:hint="eastAsia"/>
          <w:sz w:val="24"/>
        </w:rPr>
        <w:t>第四部分附件</w:t>
      </w:r>
      <w:r>
        <w:ptab w:relativeTo="margin" w:alignment="right" w:leader="dot"/>
      </w:r>
      <w:r>
        <w:rPr>
          <w:rFonts w:hint="eastAsia"/>
          <w:sz w:val="24"/>
        </w:rPr>
        <w:t>14</w:t>
      </w:r>
    </w:p>
    <w:p w14:paraId="52FE89E8">
      <w:pPr>
        <w:pStyle w:val="12"/>
        <w:adjustRightInd w:val="0"/>
        <w:snapToGrid w:val="0"/>
        <w:spacing w:before="0" w:line="440" w:lineRule="exact"/>
        <w:jc w:val="left"/>
        <w:rPr>
          <w:rFonts w:cstheme="minorBidi"/>
          <w:sz w:val="24"/>
          <w:szCs w:val="24"/>
        </w:rPr>
      </w:pPr>
      <w:r>
        <w:rPr>
          <w:rFonts w:hint="eastAsia"/>
          <w:sz w:val="24"/>
        </w:rPr>
        <w:t>第五部分附表</w:t>
      </w:r>
      <w:r>
        <w:ptab w:relativeTo="margin" w:alignment="right" w:leader="dot"/>
      </w:r>
      <w:r>
        <w:rPr>
          <w:rFonts w:hint="eastAsia"/>
          <w:sz w:val="24"/>
        </w:rPr>
        <w:t>15</w:t>
      </w:r>
    </w:p>
    <w:p w14:paraId="41B7226D">
      <w:pPr>
        <w:pStyle w:val="13"/>
        <w:adjustRightInd w:val="0"/>
        <w:snapToGrid w:val="0"/>
        <w:spacing w:line="440" w:lineRule="exact"/>
        <w:jc w:val="left"/>
        <w:rPr>
          <w:sz w:val="24"/>
        </w:rPr>
      </w:pPr>
      <w:r>
        <w:rPr>
          <w:rFonts w:hint="eastAsia"/>
          <w:sz w:val="24"/>
        </w:rPr>
        <w:t>一、收入支出决算总表</w:t>
      </w:r>
      <w:r>
        <w:ptab w:relativeTo="margin" w:alignment="right" w:leader="dot"/>
      </w:r>
      <w:r>
        <w:rPr>
          <w:rFonts w:ascii="仿宋" w:hAnsi="仿宋" w:eastAsia="仿宋"/>
          <w:sz w:val="24"/>
        </w:rPr>
        <w:t>1</w:t>
      </w:r>
      <w:r>
        <w:rPr>
          <w:rFonts w:hint="eastAsia" w:ascii="仿宋" w:hAnsi="仿宋" w:eastAsia="仿宋"/>
          <w:sz w:val="24"/>
        </w:rPr>
        <w:t>5</w:t>
      </w:r>
    </w:p>
    <w:p w14:paraId="3F793B43">
      <w:pPr>
        <w:pStyle w:val="13"/>
        <w:adjustRightInd w:val="0"/>
        <w:snapToGrid w:val="0"/>
        <w:spacing w:line="440" w:lineRule="exact"/>
        <w:jc w:val="left"/>
        <w:rPr>
          <w:sz w:val="24"/>
        </w:rPr>
      </w:pPr>
      <w:r>
        <w:rPr>
          <w:rFonts w:hint="eastAsia"/>
          <w:sz w:val="24"/>
        </w:rPr>
        <w:t>二、收入决算表</w:t>
      </w:r>
      <w:r>
        <w:ptab w:relativeTo="margin" w:alignment="right" w:leader="dot"/>
      </w:r>
      <w:r>
        <w:rPr>
          <w:rFonts w:ascii="仿宋" w:hAnsi="仿宋" w:eastAsia="仿宋"/>
          <w:sz w:val="24"/>
        </w:rPr>
        <w:t>1</w:t>
      </w:r>
      <w:r>
        <w:rPr>
          <w:rFonts w:hint="eastAsia" w:ascii="仿宋" w:hAnsi="仿宋" w:eastAsia="仿宋"/>
          <w:sz w:val="24"/>
        </w:rPr>
        <w:t>5</w:t>
      </w:r>
    </w:p>
    <w:p w14:paraId="376DA9FF">
      <w:pPr>
        <w:pStyle w:val="13"/>
        <w:adjustRightInd w:val="0"/>
        <w:snapToGrid w:val="0"/>
        <w:spacing w:line="440" w:lineRule="exact"/>
        <w:jc w:val="left"/>
        <w:rPr>
          <w:sz w:val="24"/>
        </w:rPr>
      </w:pPr>
      <w:r>
        <w:rPr>
          <w:rFonts w:hint="eastAsia"/>
          <w:sz w:val="24"/>
        </w:rPr>
        <w:t>三、支出决算表</w:t>
      </w:r>
      <w:r>
        <w:ptab w:relativeTo="margin" w:alignment="right" w:leader="dot"/>
      </w:r>
      <w:r>
        <w:rPr>
          <w:rFonts w:ascii="仿宋" w:hAnsi="仿宋" w:eastAsia="仿宋"/>
          <w:sz w:val="24"/>
        </w:rPr>
        <w:t>1</w:t>
      </w:r>
      <w:r>
        <w:rPr>
          <w:rFonts w:hint="eastAsia" w:ascii="仿宋" w:hAnsi="仿宋" w:eastAsia="仿宋"/>
          <w:sz w:val="24"/>
        </w:rPr>
        <w:t>5</w:t>
      </w:r>
    </w:p>
    <w:p w14:paraId="61DD3951">
      <w:pPr>
        <w:pStyle w:val="13"/>
        <w:adjustRightInd w:val="0"/>
        <w:snapToGrid w:val="0"/>
        <w:spacing w:line="440" w:lineRule="exact"/>
        <w:jc w:val="left"/>
        <w:rPr>
          <w:sz w:val="24"/>
        </w:rPr>
      </w:pPr>
      <w:r>
        <w:rPr>
          <w:rFonts w:hint="eastAsia"/>
          <w:sz w:val="24"/>
        </w:rPr>
        <w:t>四、财政拨款收入支出决算总表</w:t>
      </w:r>
      <w:r>
        <w:ptab w:relativeTo="margin" w:alignment="right" w:leader="dot"/>
      </w:r>
      <w:r>
        <w:rPr>
          <w:rFonts w:ascii="仿宋" w:hAnsi="仿宋" w:eastAsia="仿宋"/>
          <w:sz w:val="24"/>
        </w:rPr>
        <w:t>1</w:t>
      </w:r>
      <w:r>
        <w:rPr>
          <w:rFonts w:hint="eastAsia" w:ascii="仿宋" w:hAnsi="仿宋" w:eastAsia="仿宋"/>
          <w:sz w:val="24"/>
        </w:rPr>
        <w:t>5</w:t>
      </w:r>
    </w:p>
    <w:p w14:paraId="14DA825A">
      <w:pPr>
        <w:pStyle w:val="13"/>
        <w:adjustRightInd w:val="0"/>
        <w:snapToGrid w:val="0"/>
        <w:spacing w:line="440" w:lineRule="exact"/>
        <w:jc w:val="left"/>
        <w:rPr>
          <w:sz w:val="24"/>
        </w:rPr>
      </w:pPr>
      <w:r>
        <w:rPr>
          <w:rFonts w:hint="eastAsia"/>
          <w:sz w:val="24"/>
        </w:rPr>
        <w:t>五、财政拨款支出决算明细表</w:t>
      </w:r>
      <w:r>
        <w:ptab w:relativeTo="margin" w:alignment="right" w:leader="dot"/>
      </w:r>
      <w:r>
        <w:rPr>
          <w:rFonts w:ascii="仿宋" w:hAnsi="仿宋" w:eastAsia="仿宋"/>
          <w:sz w:val="24"/>
        </w:rPr>
        <w:t>1</w:t>
      </w:r>
      <w:r>
        <w:rPr>
          <w:rFonts w:hint="eastAsia" w:ascii="仿宋" w:hAnsi="仿宋" w:eastAsia="仿宋"/>
          <w:sz w:val="24"/>
        </w:rPr>
        <w:t>5</w:t>
      </w:r>
    </w:p>
    <w:p w14:paraId="24EF1C2C">
      <w:pPr>
        <w:pStyle w:val="13"/>
        <w:adjustRightInd w:val="0"/>
        <w:snapToGrid w:val="0"/>
        <w:spacing w:line="440" w:lineRule="exact"/>
        <w:jc w:val="left"/>
        <w:rPr>
          <w:sz w:val="24"/>
        </w:rPr>
      </w:pPr>
      <w:r>
        <w:rPr>
          <w:rFonts w:hint="eastAsia"/>
          <w:sz w:val="24"/>
        </w:rPr>
        <w:t>六、一般公共预算财政拨款支出决算表</w:t>
      </w:r>
      <w:r>
        <w:ptab w:relativeTo="margin" w:alignment="right" w:leader="dot"/>
      </w:r>
      <w:r>
        <w:rPr>
          <w:rFonts w:ascii="仿宋" w:hAnsi="仿宋" w:eastAsia="仿宋"/>
          <w:sz w:val="24"/>
        </w:rPr>
        <w:t>1</w:t>
      </w:r>
      <w:r>
        <w:rPr>
          <w:rFonts w:hint="eastAsia" w:ascii="仿宋" w:hAnsi="仿宋" w:eastAsia="仿宋"/>
          <w:sz w:val="24"/>
        </w:rPr>
        <w:t>5</w:t>
      </w:r>
    </w:p>
    <w:p w14:paraId="2C413B47">
      <w:pPr>
        <w:pStyle w:val="13"/>
        <w:adjustRightInd w:val="0"/>
        <w:snapToGrid w:val="0"/>
        <w:spacing w:line="440" w:lineRule="exact"/>
        <w:jc w:val="left"/>
        <w:rPr>
          <w:sz w:val="24"/>
        </w:rPr>
      </w:pPr>
      <w:r>
        <w:rPr>
          <w:rFonts w:hint="eastAsia"/>
          <w:sz w:val="24"/>
        </w:rPr>
        <w:t>七、一般公共预算财政拨款支出决算明细表</w:t>
      </w:r>
      <w:r>
        <w:ptab w:relativeTo="margin" w:alignment="right" w:leader="dot"/>
      </w:r>
      <w:r>
        <w:rPr>
          <w:rFonts w:ascii="仿宋" w:hAnsi="仿宋" w:eastAsia="仿宋"/>
          <w:sz w:val="24"/>
        </w:rPr>
        <w:t>1</w:t>
      </w:r>
      <w:r>
        <w:rPr>
          <w:rFonts w:hint="eastAsia" w:ascii="仿宋" w:hAnsi="仿宋" w:eastAsia="仿宋"/>
          <w:sz w:val="24"/>
        </w:rPr>
        <w:t>5</w:t>
      </w:r>
    </w:p>
    <w:p w14:paraId="14C25C68">
      <w:pPr>
        <w:pStyle w:val="13"/>
        <w:adjustRightInd w:val="0"/>
        <w:snapToGrid w:val="0"/>
        <w:spacing w:line="440" w:lineRule="exact"/>
        <w:jc w:val="left"/>
        <w:rPr>
          <w:sz w:val="24"/>
        </w:rPr>
      </w:pPr>
      <w:r>
        <w:rPr>
          <w:rFonts w:hint="eastAsia"/>
          <w:sz w:val="24"/>
        </w:rPr>
        <w:t>八、一般公共预算财政拨款基本支出决算明细表</w:t>
      </w:r>
      <w:r>
        <w:ptab w:relativeTo="margin" w:alignment="right" w:leader="dot"/>
      </w:r>
      <w:r>
        <w:rPr>
          <w:rFonts w:ascii="仿宋" w:hAnsi="仿宋" w:eastAsia="仿宋"/>
          <w:sz w:val="24"/>
        </w:rPr>
        <w:t>1</w:t>
      </w:r>
      <w:r>
        <w:rPr>
          <w:rFonts w:hint="eastAsia" w:ascii="仿宋" w:hAnsi="仿宋" w:eastAsia="仿宋"/>
          <w:sz w:val="24"/>
        </w:rPr>
        <w:t>5</w:t>
      </w:r>
    </w:p>
    <w:p w14:paraId="099DCECE">
      <w:pPr>
        <w:pStyle w:val="13"/>
        <w:adjustRightInd w:val="0"/>
        <w:snapToGrid w:val="0"/>
        <w:spacing w:line="440" w:lineRule="exact"/>
        <w:jc w:val="left"/>
        <w:rPr>
          <w:sz w:val="24"/>
        </w:rPr>
      </w:pPr>
      <w:r>
        <w:rPr>
          <w:rFonts w:hint="eastAsia"/>
          <w:sz w:val="24"/>
        </w:rPr>
        <w:t>九、一般公共预算财政拨款项目支出决算表</w:t>
      </w:r>
      <w:r>
        <w:ptab w:relativeTo="margin" w:alignment="right" w:leader="dot"/>
      </w:r>
      <w:r>
        <w:rPr>
          <w:rFonts w:ascii="仿宋" w:hAnsi="仿宋" w:eastAsia="仿宋"/>
          <w:sz w:val="24"/>
        </w:rPr>
        <w:t>1</w:t>
      </w:r>
      <w:r>
        <w:rPr>
          <w:rFonts w:hint="eastAsia" w:ascii="仿宋" w:hAnsi="仿宋" w:eastAsia="仿宋"/>
          <w:sz w:val="24"/>
        </w:rPr>
        <w:t>5</w:t>
      </w:r>
    </w:p>
    <w:p w14:paraId="47351C0C">
      <w:pPr>
        <w:pStyle w:val="13"/>
        <w:adjustRightInd w:val="0"/>
        <w:snapToGrid w:val="0"/>
        <w:spacing w:line="440" w:lineRule="exact"/>
        <w:jc w:val="left"/>
        <w:rPr>
          <w:sz w:val="24"/>
        </w:rPr>
      </w:pPr>
      <w:r>
        <w:rPr>
          <w:rFonts w:hint="eastAsia"/>
          <w:sz w:val="24"/>
        </w:rPr>
        <w:t>十、政府性基金预算财政拨款收入支出决算表</w:t>
      </w:r>
      <w:r>
        <w:ptab w:relativeTo="margin" w:alignment="right" w:leader="dot"/>
      </w:r>
      <w:r>
        <w:rPr>
          <w:rFonts w:ascii="仿宋" w:hAnsi="仿宋" w:eastAsia="仿宋"/>
          <w:sz w:val="24"/>
        </w:rPr>
        <w:t>1</w:t>
      </w:r>
      <w:r>
        <w:rPr>
          <w:rFonts w:hint="eastAsia" w:ascii="仿宋" w:hAnsi="仿宋" w:eastAsia="仿宋"/>
          <w:sz w:val="24"/>
        </w:rPr>
        <w:t>5</w:t>
      </w:r>
    </w:p>
    <w:p w14:paraId="5DE10349">
      <w:pPr>
        <w:pStyle w:val="13"/>
        <w:adjustRightInd w:val="0"/>
        <w:snapToGrid w:val="0"/>
        <w:spacing w:line="440" w:lineRule="exact"/>
        <w:jc w:val="left"/>
        <w:rPr>
          <w:sz w:val="24"/>
        </w:rPr>
      </w:pPr>
      <w:r>
        <w:rPr>
          <w:rFonts w:hint="eastAsia"/>
          <w:sz w:val="24"/>
        </w:rPr>
        <w:t>十一、国有资本经营预算财政拨款收入支出决算表</w:t>
      </w:r>
      <w:r>
        <w:ptab w:relativeTo="margin" w:alignment="right" w:leader="dot"/>
      </w:r>
      <w:r>
        <w:rPr>
          <w:rFonts w:ascii="仿宋" w:hAnsi="仿宋" w:eastAsia="仿宋"/>
          <w:sz w:val="24"/>
        </w:rPr>
        <w:t>1</w:t>
      </w:r>
      <w:r>
        <w:rPr>
          <w:rFonts w:hint="eastAsia" w:ascii="仿宋" w:hAnsi="仿宋" w:eastAsia="仿宋"/>
          <w:sz w:val="24"/>
        </w:rPr>
        <w:t>5</w:t>
      </w:r>
    </w:p>
    <w:p w14:paraId="1DE9B8D7">
      <w:pPr>
        <w:pStyle w:val="13"/>
        <w:adjustRightInd w:val="0"/>
        <w:snapToGrid w:val="0"/>
        <w:spacing w:line="440" w:lineRule="exact"/>
        <w:jc w:val="left"/>
        <w:rPr>
          <w:sz w:val="24"/>
        </w:rPr>
      </w:pPr>
      <w:r>
        <w:rPr>
          <w:rFonts w:hint="eastAsia"/>
          <w:sz w:val="24"/>
        </w:rPr>
        <w:t>十二、国有资本经营预算财政拨款支出决算表</w:t>
      </w:r>
      <w:r>
        <w:ptab w:relativeTo="margin" w:alignment="right" w:leader="dot"/>
      </w:r>
      <w:r>
        <w:rPr>
          <w:rFonts w:ascii="仿宋" w:hAnsi="仿宋" w:eastAsia="仿宋"/>
          <w:sz w:val="24"/>
        </w:rPr>
        <w:t>1</w:t>
      </w:r>
      <w:r>
        <w:rPr>
          <w:rFonts w:hint="eastAsia" w:ascii="仿宋" w:hAnsi="仿宋" w:eastAsia="仿宋"/>
          <w:sz w:val="24"/>
        </w:rPr>
        <w:t>5</w:t>
      </w:r>
    </w:p>
    <w:p w14:paraId="112AFE2B">
      <w:pPr>
        <w:pStyle w:val="13"/>
        <w:adjustRightInd w:val="0"/>
        <w:snapToGrid w:val="0"/>
        <w:spacing w:line="440" w:lineRule="exact"/>
        <w:jc w:val="left"/>
        <w:rPr>
          <w:sz w:val="24"/>
        </w:rPr>
      </w:pPr>
      <w:r>
        <w:rPr>
          <w:rFonts w:hint="eastAsia"/>
          <w:sz w:val="24"/>
        </w:rPr>
        <w:t>十三、财政拨款“三公”经费支出决算表</w:t>
      </w:r>
      <w:r>
        <w:ptab w:relativeTo="margin" w:alignment="right" w:leader="dot"/>
      </w:r>
      <w:r>
        <w:rPr>
          <w:rFonts w:ascii="仿宋" w:hAnsi="仿宋" w:eastAsia="仿宋"/>
          <w:sz w:val="24"/>
        </w:rPr>
        <w:t>1</w:t>
      </w:r>
      <w:r>
        <w:rPr>
          <w:rFonts w:hint="eastAsia" w:ascii="仿宋" w:hAnsi="仿宋" w:eastAsia="仿宋"/>
          <w:sz w:val="24"/>
        </w:rPr>
        <w:t>5</w:t>
      </w:r>
    </w:p>
    <w:p w14:paraId="573C1E33">
      <w:pPr>
        <w:pStyle w:val="3"/>
        <w:jc w:val="center"/>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15396599"/>
    </w:p>
    <w:p w14:paraId="54421EE8">
      <w:pPr>
        <w:pStyle w:val="3"/>
        <w:jc w:val="center"/>
        <w:rPr>
          <w:rFonts w:ascii="黑体" w:hAnsi="黑体" w:eastAsia="黑体"/>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707C5883">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14:paraId="24FC32B6">
      <w:pPr>
        <w:pStyle w:val="14"/>
        <w:spacing w:line="560" w:lineRule="exact"/>
        <w:ind w:firstLine="320" w:firstLineChars="1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（1）认真宣传贯彻、执行国家有关水上交通安全的政策、法规，贯彻执行“安全第一、预防为主”的方针，制定贯彻执行的具体措施，传布水上交通安全的经验和教训，严格遵守海事行政执法守则。</w:t>
      </w:r>
    </w:p>
    <w:p w14:paraId="1102D2ED">
      <w:pPr>
        <w:pStyle w:val="14"/>
        <w:spacing w:line="560" w:lineRule="exact"/>
        <w:ind w:firstLine="480" w:firstLineChars="15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严格</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海事法律法规开展日常工作的检查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发现违法行为，按照相关规定移交执法大队，由执法大队按照相关</w:t>
      </w:r>
      <w:r>
        <w:rPr>
          <w:rFonts w:hint="eastAsia" w:ascii="Times New Roman" w:hAnsi="Times New Roman" w:eastAsia="仿宋_GB2312" w:cs="Times New Roman"/>
          <w:sz w:val="32"/>
          <w:szCs w:val="32"/>
        </w:rPr>
        <w:t>法律</w:t>
      </w:r>
      <w:r>
        <w:rPr>
          <w:rFonts w:ascii="Times New Roman" w:hAnsi="Times New Roman" w:eastAsia="仿宋_GB2312" w:cs="Times New Roman"/>
          <w:sz w:val="32"/>
          <w:szCs w:val="32"/>
        </w:rPr>
        <w:t>违法</w:t>
      </w:r>
      <w:r>
        <w:rPr>
          <w:rFonts w:hint="eastAsia" w:ascii="Times New Roman" w:hAnsi="Times New Roman" w:eastAsia="仿宋_GB2312" w:cs="Times New Roman"/>
          <w:sz w:val="32"/>
          <w:szCs w:val="32"/>
        </w:rPr>
        <w:t>进行查处</w:t>
      </w:r>
      <w:r>
        <w:rPr>
          <w:rFonts w:ascii="Times New Roman" w:hAnsi="Times New Roman" w:eastAsia="仿宋_GB2312" w:cs="Times New Roman"/>
          <w:sz w:val="32"/>
          <w:szCs w:val="32"/>
        </w:rPr>
        <w:t>。</w:t>
      </w:r>
    </w:p>
    <w:p w14:paraId="6F9ED5B5">
      <w:pPr>
        <w:pStyle w:val="14"/>
        <w:spacing w:line="560" w:lineRule="exact"/>
        <w:ind w:firstLine="480" w:firstLineChars="15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（3）维护水上交通秩序，保障人民群众生命、财产安全。监督船舶的船员配备，对船舶进出港口进行安全检查及签证工作，查出安全隐患督促整改。</w:t>
      </w:r>
    </w:p>
    <w:p w14:paraId="0B21C93F">
      <w:pPr>
        <w:pStyle w:val="14"/>
        <w:spacing w:line="560" w:lineRule="exact"/>
        <w:ind w:firstLine="480" w:firstLineChars="15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（4）指导乡（镇）船管机构的业务工作，定期对船管员开展业务培训，并对船员进行法规宣传教育。</w:t>
      </w:r>
    </w:p>
    <w:p w14:paraId="78EC95E2">
      <w:pPr>
        <w:pStyle w:val="14"/>
        <w:spacing w:line="560" w:lineRule="exact"/>
        <w:ind w:firstLine="480" w:firstLineChars="15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（5）负责辖区内水上交通事故的现场组织施救，并及时、认真、公正的调查处理水上交通事故及船舶污染水域事故。办理船舶交通事故的统计，编制报表。</w:t>
      </w:r>
    </w:p>
    <w:p w14:paraId="682FA7C3">
      <w:pPr>
        <w:pStyle w:val="14"/>
        <w:spacing w:line="560" w:lineRule="exact"/>
        <w:ind w:firstLine="480" w:firstLineChars="15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（6）负责海事各项基础工作的原始资料、报表、台帐、档案的健全和管理工作。</w:t>
      </w:r>
    </w:p>
    <w:p w14:paraId="65DD2451">
      <w:pPr>
        <w:spacing w:line="560" w:lineRule="exact"/>
        <w:ind w:firstLine="480" w:firstLineChars="150"/>
      </w:pPr>
      <w:r>
        <w:rPr>
          <w:rFonts w:eastAsia="仿宋_GB2312"/>
          <w:color w:val="333333"/>
          <w:kern w:val="0"/>
          <w:sz w:val="32"/>
          <w:szCs w:val="32"/>
        </w:rPr>
        <w:t>（7）完成上级交办的其它工作。</w:t>
      </w:r>
    </w:p>
    <w:p w14:paraId="1742B8AE">
      <w:pPr>
        <w:pStyle w:val="4"/>
        <w:rPr>
          <w:rFonts w:ascii="黑体" w:hAnsi="黑体" w:eastAsia="黑体"/>
          <w:b w:val="0"/>
        </w:rPr>
      </w:pPr>
      <w:r>
        <w:rPr>
          <w:rFonts w:hint="eastAsia" w:ascii="黑体" w:hAnsi="黑体" w:eastAsia="黑体"/>
          <w:b w:val="0"/>
        </w:rPr>
        <w:t>二、机构设置</w:t>
      </w:r>
    </w:p>
    <w:p w14:paraId="44655BEF">
      <w:pPr>
        <w:pStyle w:val="4"/>
        <w:ind w:firstLine="640" w:firstLineChars="200"/>
        <w:rPr>
          <w:rFonts w:ascii="仿宋" w:hAnsi="仿宋" w:eastAsia="仿宋" w:cs="Times New Roman"/>
          <w:b w:val="0"/>
          <w:bCs w:val="0"/>
        </w:rPr>
      </w:pPr>
      <w:r>
        <w:rPr>
          <w:rFonts w:hint="eastAsia" w:ascii="仿宋" w:hAnsi="仿宋" w:eastAsia="仿宋" w:cs="Times New Roman"/>
          <w:b w:val="0"/>
          <w:bCs w:val="0"/>
        </w:rPr>
        <w:t>盐边县航务海事中心为参照公务员法管理的事业单位，是下属二级预算单位，无内设机构。</w:t>
      </w:r>
    </w:p>
    <w:p w14:paraId="74B4F572">
      <w:pPr>
        <w:pStyle w:val="2"/>
      </w:pPr>
    </w:p>
    <w:bookmarkEnd w:id="14"/>
    <w:bookmarkEnd w:id="15"/>
    <w:p w14:paraId="0EEF0940">
      <w:pPr>
        <w:widowControl/>
        <w:jc w:val="left"/>
        <w:rPr>
          <w:rFonts w:ascii="仿宋" w:hAnsi="仿宋" w:eastAsia="仿宋"/>
          <w:kern w:val="0"/>
          <w:sz w:val="32"/>
          <w:szCs w:val="32"/>
        </w:rPr>
      </w:pPr>
      <w:r>
        <w:rPr>
          <w:rFonts w:ascii="仿宋" w:hAnsi="仿宋" w:eastAsia="仿宋"/>
          <w:sz w:val="32"/>
          <w:szCs w:val="32"/>
        </w:rPr>
        <w:br w:type="page"/>
      </w:r>
    </w:p>
    <w:p w14:paraId="3BF4F379">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783E279A"/>
    <w:p w14:paraId="2A3C7E7B">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64467BD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115.69</w:t>
      </w:r>
      <w:r>
        <w:rPr>
          <w:rFonts w:hint="eastAsia" w:ascii="仿宋" w:hAnsi="仿宋" w:eastAsia="仿宋"/>
          <w:sz w:val="32"/>
          <w:szCs w:val="32"/>
        </w:rPr>
        <w:t>万元。与2022年度相比，收、支总计各增加26.84万元，增长30.21</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正常变动</w:t>
      </w:r>
      <w:r>
        <w:rPr>
          <w:rFonts w:hint="eastAsia" w:ascii="仿宋" w:hAnsi="仿宋" w:eastAsia="仿宋"/>
          <w:sz w:val="32"/>
          <w:szCs w:val="32"/>
        </w:rPr>
        <w:t>。</w:t>
      </w:r>
    </w:p>
    <w:p w14:paraId="155AA8D6">
      <w:pPr>
        <w:pStyle w:val="2"/>
      </w:pPr>
      <w:r>
        <w:drawing>
          <wp:inline distT="0" distB="0" distL="0" distR="0">
            <wp:extent cx="5715000" cy="3514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27232" cy="3522248"/>
                    </a:xfrm>
                    <a:prstGeom prst="rect">
                      <a:avLst/>
                    </a:prstGeom>
                    <a:noFill/>
                  </pic:spPr>
                </pic:pic>
              </a:graphicData>
            </a:graphic>
          </wp:inline>
        </w:drawing>
      </w:r>
    </w:p>
    <w:p w14:paraId="167A4920">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6BAFA36">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0032195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115.69</w:t>
      </w:r>
      <w:r>
        <w:rPr>
          <w:rFonts w:hint="eastAsia" w:ascii="仿宋" w:hAnsi="仿宋" w:eastAsia="仿宋"/>
          <w:sz w:val="32"/>
          <w:szCs w:val="32"/>
        </w:rPr>
        <w:t>万元，其中：一般公共预算财政拨款收入</w:t>
      </w:r>
      <w:r>
        <w:rPr>
          <w:rFonts w:ascii="仿宋" w:hAnsi="仿宋" w:eastAsia="仿宋"/>
          <w:b/>
          <w:sz w:val="32"/>
          <w:szCs w:val="32"/>
        </w:rPr>
        <w:t>115.69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565F8E71">
      <w:pPr>
        <w:spacing w:line="600" w:lineRule="exact"/>
        <w:ind w:firstLine="640" w:firstLineChars="200"/>
        <w:outlineLvl w:val="1"/>
        <w:rPr>
          <w:rFonts w:ascii="仿宋" w:hAnsi="仿宋" w:eastAsia="仿宋"/>
          <w:sz w:val="32"/>
          <w:szCs w:val="32"/>
        </w:rPr>
      </w:pPr>
    </w:p>
    <w:p w14:paraId="5807B768">
      <w:pPr>
        <w:pStyle w:val="2"/>
      </w:pPr>
      <w:r>
        <w:drawing>
          <wp:inline distT="0" distB="0" distL="0" distR="0">
            <wp:extent cx="5695950" cy="34194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93291" cy="3417879"/>
                    </a:xfrm>
                    <a:prstGeom prst="rect">
                      <a:avLst/>
                    </a:prstGeom>
                    <a:noFill/>
                  </pic:spPr>
                </pic:pic>
              </a:graphicData>
            </a:graphic>
          </wp:inline>
        </w:drawing>
      </w:r>
    </w:p>
    <w:p w14:paraId="1918B273">
      <w:pPr>
        <w:spacing w:line="600" w:lineRule="exact"/>
        <w:ind w:firstLine="960" w:firstLineChars="300"/>
        <w:rPr>
          <w:rFonts w:ascii="仿宋" w:hAnsi="仿宋" w:eastAsia="仿宋"/>
          <w:sz w:val="32"/>
          <w:szCs w:val="32"/>
        </w:rPr>
      </w:pPr>
      <w:r>
        <w:rPr>
          <w:rFonts w:hint="eastAsia" w:ascii="仿宋" w:hAnsi="仿宋" w:eastAsia="仿宋"/>
          <w:sz w:val="32"/>
          <w:szCs w:val="32"/>
        </w:rPr>
        <w:t>（图2：收入决算结构图）（饼状图）</w:t>
      </w:r>
    </w:p>
    <w:p w14:paraId="2C45DA3D">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104E4DF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115.69</w:t>
      </w:r>
      <w:r>
        <w:rPr>
          <w:rFonts w:hint="eastAsia" w:ascii="仿宋" w:hAnsi="仿宋" w:eastAsia="仿宋"/>
          <w:sz w:val="32"/>
          <w:szCs w:val="32"/>
        </w:rPr>
        <w:t>万元，其中：基本支出</w:t>
      </w:r>
      <w:r>
        <w:rPr>
          <w:rFonts w:ascii="仿宋" w:hAnsi="仿宋" w:eastAsia="仿宋"/>
          <w:b/>
          <w:sz w:val="32"/>
          <w:szCs w:val="32"/>
        </w:rPr>
        <w:t>115.69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14:paraId="48ECE25C">
      <w:pPr>
        <w:ind w:left="960" w:hanging="960" w:hangingChars="300"/>
        <w:rPr>
          <w:rFonts w:ascii="仿宋" w:hAnsi="仿宋" w:eastAsia="仿宋"/>
          <w:sz w:val="32"/>
          <w:szCs w:val="32"/>
        </w:rPr>
      </w:pPr>
      <w:r>
        <w:rPr>
          <w:rFonts w:ascii="仿宋" w:hAnsi="仿宋" w:eastAsia="仿宋"/>
          <w:sz w:val="32"/>
          <w:szCs w:val="32"/>
          <w:shd w:val="pct10" w:color="auto" w:fill="FFFFFF"/>
        </w:rPr>
        <w:drawing>
          <wp:inline distT="0" distB="0" distL="0" distR="0">
            <wp:extent cx="5695950" cy="2886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05417" cy="2890872"/>
                    </a:xfrm>
                    <a:prstGeom prst="rect">
                      <a:avLst/>
                    </a:prstGeom>
                    <a:noFill/>
                  </pic:spPr>
                </pic:pic>
              </a:graphicData>
            </a:graphic>
          </wp:inline>
        </w:drawing>
      </w:r>
      <w:r>
        <w:rPr>
          <w:rFonts w:hint="eastAsia" w:ascii="仿宋" w:hAnsi="仿宋" w:eastAsia="仿宋"/>
          <w:sz w:val="32"/>
          <w:szCs w:val="32"/>
        </w:rPr>
        <w:t>（图3：支出决算结构图）（饼状图）</w:t>
      </w:r>
    </w:p>
    <w:p w14:paraId="0FC868D4">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1CF0D47C">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115.69</w:t>
      </w:r>
      <w:r>
        <w:rPr>
          <w:rFonts w:hint="eastAsia" w:ascii="仿宋" w:hAnsi="仿宋" w:eastAsia="仿宋"/>
          <w:sz w:val="32"/>
          <w:szCs w:val="32"/>
        </w:rPr>
        <w:t>万元。与2022年度相比，财政拨款收、支总计各增加26.84万元，增长30.21</w:t>
      </w:r>
      <w:r>
        <w:rPr>
          <w:rFonts w:ascii="仿宋" w:hAnsi="仿宋" w:eastAsia="仿宋"/>
          <w:sz w:val="32"/>
          <w:szCs w:val="32"/>
        </w:rPr>
        <w:t>%</w:t>
      </w:r>
      <w:r>
        <w:rPr>
          <w:rFonts w:hint="eastAsia" w:ascii="仿宋" w:hAnsi="仿宋" w:eastAsia="仿宋"/>
          <w:sz w:val="32"/>
          <w:szCs w:val="32"/>
        </w:rPr>
        <w:t>。主要变动原因是正常变动。</w:t>
      </w:r>
    </w:p>
    <w:p w14:paraId="611F7D88">
      <w:pPr>
        <w:pStyle w:val="2"/>
      </w:pPr>
      <w:r>
        <w:drawing>
          <wp:inline distT="0" distB="0" distL="0" distR="0">
            <wp:extent cx="5676900" cy="3457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75858" cy="3456940"/>
                    </a:xfrm>
                    <a:prstGeom prst="rect">
                      <a:avLst/>
                    </a:prstGeom>
                    <a:noFill/>
                  </pic:spPr>
                </pic:pic>
              </a:graphicData>
            </a:graphic>
          </wp:inline>
        </w:drawing>
      </w:r>
    </w:p>
    <w:p w14:paraId="338A4390">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2689FA36">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435971E7">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B859E7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115.69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。与2022年度相比，一般公共预算财政拨款支出增加26.84万元，增长30.21</w:t>
      </w:r>
      <w:r>
        <w:rPr>
          <w:rFonts w:ascii="仿宋" w:hAnsi="仿宋" w:eastAsia="仿宋"/>
          <w:sz w:val="32"/>
          <w:szCs w:val="32"/>
        </w:rPr>
        <w:t>%</w:t>
      </w:r>
      <w:r>
        <w:rPr>
          <w:rFonts w:hint="eastAsia" w:ascii="仿宋" w:hAnsi="仿宋" w:eastAsia="仿宋"/>
          <w:sz w:val="32"/>
          <w:szCs w:val="32"/>
        </w:rPr>
        <w:t xml:space="preserve">。主要变动原因是正常变动。 </w:t>
      </w:r>
    </w:p>
    <w:p w14:paraId="70A84278">
      <w:pPr>
        <w:pStyle w:val="2"/>
      </w:pPr>
    </w:p>
    <w:p w14:paraId="5B3BEE81"/>
    <w:p w14:paraId="65540BE0">
      <w:pPr>
        <w:pStyle w:val="2"/>
      </w:pPr>
      <w:r>
        <w:drawing>
          <wp:inline distT="0" distB="0" distL="0" distR="0">
            <wp:extent cx="5638800" cy="344424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38800" cy="3444240"/>
                    </a:xfrm>
                    <a:prstGeom prst="rect">
                      <a:avLst/>
                    </a:prstGeom>
                    <a:noFill/>
                  </pic:spPr>
                </pic:pic>
              </a:graphicData>
            </a:graphic>
          </wp:inline>
        </w:drawing>
      </w:r>
    </w:p>
    <w:p w14:paraId="7CF3A23D">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CD243BB">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31749F7">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115.69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13.25万元，占11.45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9.17万元，占7.93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8.22万元，占7.11</w:t>
      </w:r>
      <w:r>
        <w:rPr>
          <w:rFonts w:ascii="仿宋" w:hAnsi="仿宋" w:eastAsia="仿宋"/>
          <w:sz w:val="32"/>
          <w:szCs w:val="32"/>
        </w:rPr>
        <w:t>%</w:t>
      </w:r>
      <w:r>
        <w:rPr>
          <w:rFonts w:hint="eastAsia" w:ascii="仿宋" w:hAnsi="仿宋" w:eastAsia="仿宋"/>
          <w:sz w:val="32"/>
          <w:szCs w:val="32"/>
        </w:rPr>
        <w:t>；</w:t>
      </w:r>
      <w:r>
        <w:rPr>
          <w:rFonts w:ascii="仿宋" w:hAnsi="仿宋" w:eastAsia="仿宋"/>
          <w:b/>
          <w:bCs/>
          <w:sz w:val="32"/>
          <w:szCs w:val="32"/>
        </w:rPr>
        <w:t>交通运输支出</w:t>
      </w:r>
      <w:r>
        <w:rPr>
          <w:rFonts w:hint="eastAsia" w:ascii="仿宋" w:hAnsi="仿宋" w:eastAsia="仿宋"/>
          <w:b/>
          <w:bCs/>
          <w:sz w:val="32"/>
          <w:szCs w:val="32"/>
        </w:rPr>
        <w:t>85.05，</w:t>
      </w:r>
      <w:r>
        <w:rPr>
          <w:rFonts w:hint="eastAsia" w:ascii="仿宋" w:hAnsi="仿宋" w:eastAsia="仿宋"/>
          <w:sz w:val="32"/>
          <w:szCs w:val="32"/>
        </w:rPr>
        <w:t>占73.52</w:t>
      </w:r>
      <w:r>
        <w:rPr>
          <w:rFonts w:ascii="仿宋" w:hAnsi="仿宋" w:eastAsia="仿宋"/>
          <w:sz w:val="32"/>
          <w:szCs w:val="32"/>
        </w:rPr>
        <w:t>%</w:t>
      </w:r>
      <w:r>
        <w:rPr>
          <w:rFonts w:hint="eastAsia" w:ascii="仿宋" w:hAnsi="仿宋" w:eastAsia="仿宋"/>
          <w:sz w:val="32"/>
          <w:szCs w:val="32"/>
        </w:rPr>
        <w:t>。</w:t>
      </w:r>
    </w:p>
    <w:p w14:paraId="70FB15A3">
      <w:pPr>
        <w:rPr>
          <w:rFonts w:ascii="仿宋" w:hAnsi="仿宋" w:eastAsia="仿宋"/>
          <w:sz w:val="32"/>
          <w:szCs w:val="32"/>
        </w:rPr>
      </w:pPr>
    </w:p>
    <w:p w14:paraId="36DBA063">
      <w:pPr>
        <w:pStyle w:val="2"/>
      </w:pPr>
    </w:p>
    <w:p w14:paraId="45D913CF"/>
    <w:p w14:paraId="3759FAB6">
      <w:pPr>
        <w:pStyle w:val="2"/>
      </w:pPr>
    </w:p>
    <w:p w14:paraId="5E9307A6"/>
    <w:p w14:paraId="236D25AE">
      <w:pPr>
        <w:pStyle w:val="2"/>
      </w:pPr>
    </w:p>
    <w:p w14:paraId="672CD23C"/>
    <w:p w14:paraId="2F7DB173">
      <w:pPr>
        <w:pStyle w:val="2"/>
      </w:pPr>
      <w:r>
        <w:drawing>
          <wp:inline distT="0" distB="0" distL="0" distR="0">
            <wp:extent cx="5610225" cy="38385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15072" cy="3841891"/>
                    </a:xfrm>
                    <a:prstGeom prst="rect">
                      <a:avLst/>
                    </a:prstGeom>
                    <a:noFill/>
                  </pic:spPr>
                </pic:pic>
              </a:graphicData>
            </a:graphic>
          </wp:inline>
        </w:drawing>
      </w:r>
    </w:p>
    <w:p w14:paraId="459CB7B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7BF9CDE">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F38549A">
      <w:pPr>
        <w:spacing w:line="600" w:lineRule="exact"/>
        <w:ind w:firstLine="643" w:firstLineChars="200"/>
        <w:outlineLvl w:val="2"/>
        <w:rPr>
          <w:rStyle w:val="18"/>
          <w:rFonts w:ascii="仿宋" w:hAnsi="仿宋" w:eastAsia="仿宋"/>
          <w:bCs/>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115.69</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14:paraId="4F2FAB8F">
      <w:pPr>
        <w:spacing w:line="600" w:lineRule="exact"/>
        <w:ind w:firstLine="964" w:firstLineChars="300"/>
        <w:rPr>
          <w:rFonts w:ascii="仿宋_GB2312" w:eastAsia="仿宋_GB2312" w:cs="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 xml:space="preserve"> 社会保障和就业支出（208类）行政事业单位养老支出（05款）行政单位离退休（01项）</w:t>
      </w:r>
      <w:r>
        <w:rPr>
          <w:rFonts w:ascii="仿宋_GB2312" w:eastAsia="仿宋_GB2312" w:cs="仿宋_GB2312"/>
          <w:b/>
          <w:bCs/>
          <w:color w:val="000000"/>
          <w:sz w:val="32"/>
          <w:szCs w:val="32"/>
        </w:rPr>
        <w:t>:</w:t>
      </w:r>
      <w:r>
        <w:rPr>
          <w:rFonts w:hint="eastAsia" w:ascii="仿宋" w:eastAsia="仿宋" w:cs="仿宋"/>
          <w:sz w:val="32"/>
          <w:szCs w:val="32"/>
        </w:rPr>
        <w:t>支出决算为1.71万元，完成预算</w:t>
      </w:r>
      <w:r>
        <w:rPr>
          <w:rFonts w:ascii="仿宋" w:eastAsia="仿宋" w:cs="仿宋"/>
          <w:sz w:val="32"/>
          <w:szCs w:val="32"/>
        </w:rPr>
        <w:t>100%</w:t>
      </w:r>
      <w:r>
        <w:rPr>
          <w:rFonts w:hint="eastAsia" w:ascii="仿宋" w:eastAsia="仿宋" w:cs="仿宋"/>
          <w:sz w:val="32"/>
          <w:szCs w:val="32"/>
        </w:rPr>
        <w:t>。</w:t>
      </w:r>
    </w:p>
    <w:p w14:paraId="7B2117A6">
      <w:pPr>
        <w:spacing w:line="600" w:lineRule="exact"/>
        <w:ind w:firstLine="640"/>
        <w:rPr>
          <w:rFonts w:ascii="仿宋_GB2312" w:eastAsia="仿宋" w:cs="仿宋_GB2312"/>
          <w:b/>
          <w:bCs/>
          <w:color w:val="000000"/>
          <w:sz w:val="32"/>
          <w:szCs w:val="32"/>
        </w:rPr>
      </w:pPr>
      <w:r>
        <w:rPr>
          <w:rFonts w:hint="eastAsia" w:ascii="仿宋_GB2312" w:eastAsia="仿宋_GB2312" w:cs="仿宋_GB2312"/>
          <w:b/>
          <w:bCs/>
          <w:color w:val="000000"/>
          <w:sz w:val="32"/>
          <w:szCs w:val="32"/>
        </w:rPr>
        <w:t>2</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社会保障和就业支出（类208）行政事业单位养老支出（05款）机关事业单位基本养老保险缴费（05项）</w:t>
      </w:r>
      <w:r>
        <w:rPr>
          <w:rFonts w:ascii="仿宋_GB2312" w:eastAsia="仿宋_GB2312" w:cs="仿宋_GB2312"/>
          <w:b/>
          <w:bCs/>
          <w:color w:val="000000"/>
          <w:sz w:val="32"/>
          <w:szCs w:val="32"/>
        </w:rPr>
        <w:t>:</w:t>
      </w:r>
      <w:r>
        <w:rPr>
          <w:rFonts w:hint="eastAsia" w:ascii="仿宋" w:eastAsia="仿宋" w:cs="仿宋"/>
          <w:sz w:val="32"/>
          <w:szCs w:val="32"/>
        </w:rPr>
        <w:t>支出决算为11.55万元，完成预算</w:t>
      </w:r>
      <w:r>
        <w:rPr>
          <w:rFonts w:ascii="仿宋" w:eastAsia="仿宋" w:cs="仿宋"/>
          <w:sz w:val="32"/>
          <w:szCs w:val="32"/>
        </w:rPr>
        <w:t>100%</w:t>
      </w:r>
      <w:r>
        <w:rPr>
          <w:rFonts w:hint="eastAsia" w:ascii="仿宋" w:eastAsia="仿宋" w:cs="仿宋"/>
          <w:sz w:val="32"/>
          <w:szCs w:val="32"/>
        </w:rPr>
        <w:t>。</w:t>
      </w:r>
    </w:p>
    <w:p w14:paraId="1772A7DE">
      <w:pPr>
        <w:spacing w:line="600" w:lineRule="exact"/>
        <w:ind w:firstLine="640"/>
        <w:rPr>
          <w:rFonts w:ascii="仿宋" w:eastAsia="仿宋" w:cs="仿宋"/>
          <w:sz w:val="32"/>
          <w:szCs w:val="32"/>
        </w:rPr>
      </w:pPr>
      <w:r>
        <w:rPr>
          <w:rFonts w:hint="eastAsia" w:ascii="仿宋_GB2312" w:eastAsia="仿宋_GB2312" w:cs="仿宋_GB2312"/>
          <w:b/>
          <w:bCs/>
          <w:color w:val="000000"/>
          <w:sz w:val="32"/>
          <w:szCs w:val="32"/>
        </w:rPr>
        <w:t>3.卫生健康支出（210类）行政事业单位医疗（11款）行政单位医疗（01项）</w:t>
      </w:r>
      <w:r>
        <w:rPr>
          <w:rFonts w:ascii="仿宋_GB2312" w:eastAsia="仿宋_GB2312" w:cs="仿宋_GB2312"/>
          <w:b/>
          <w:bCs/>
          <w:color w:val="000000"/>
          <w:sz w:val="32"/>
          <w:szCs w:val="32"/>
        </w:rPr>
        <w:t>:</w:t>
      </w:r>
      <w:r>
        <w:rPr>
          <w:rFonts w:hint="eastAsia" w:ascii="仿宋" w:eastAsia="仿宋" w:cs="仿宋"/>
          <w:sz w:val="32"/>
          <w:szCs w:val="32"/>
        </w:rPr>
        <w:t>支出决算为5.51万元，完成预算</w:t>
      </w:r>
      <w:r>
        <w:rPr>
          <w:rFonts w:ascii="仿宋" w:eastAsia="仿宋" w:cs="仿宋"/>
          <w:sz w:val="32"/>
          <w:szCs w:val="32"/>
        </w:rPr>
        <w:t>100%</w:t>
      </w:r>
      <w:r>
        <w:rPr>
          <w:rFonts w:hint="eastAsia" w:ascii="仿宋" w:eastAsia="仿宋" w:cs="仿宋"/>
          <w:sz w:val="32"/>
          <w:szCs w:val="32"/>
        </w:rPr>
        <w:t>。</w:t>
      </w:r>
    </w:p>
    <w:p w14:paraId="0FD76609">
      <w:pPr>
        <w:spacing w:line="600" w:lineRule="exact"/>
        <w:ind w:firstLine="640"/>
        <w:rPr>
          <w:rFonts w:ascii="仿宋" w:eastAsia="仿宋" w:cs="仿宋"/>
          <w:sz w:val="32"/>
          <w:szCs w:val="32"/>
        </w:rPr>
      </w:pPr>
      <w:r>
        <w:rPr>
          <w:rFonts w:hint="eastAsia" w:ascii="仿宋_GB2312" w:eastAsia="仿宋_GB2312" w:cs="仿宋_GB2312"/>
          <w:b/>
          <w:bCs/>
          <w:color w:val="000000"/>
          <w:sz w:val="32"/>
          <w:szCs w:val="32"/>
        </w:rPr>
        <w:t>4.卫生健康支出（210类）行政事业单位医疗（11款）公务员医疗补助（03项）</w:t>
      </w:r>
      <w:r>
        <w:rPr>
          <w:rFonts w:ascii="仿宋_GB2312" w:eastAsia="仿宋_GB2312" w:cs="仿宋_GB2312"/>
          <w:b/>
          <w:bCs/>
          <w:color w:val="000000"/>
          <w:sz w:val="32"/>
          <w:szCs w:val="32"/>
        </w:rPr>
        <w:t>:</w:t>
      </w:r>
      <w:r>
        <w:rPr>
          <w:rFonts w:hint="eastAsia" w:ascii="仿宋" w:eastAsia="仿宋" w:cs="仿宋"/>
          <w:sz w:val="32"/>
          <w:szCs w:val="32"/>
        </w:rPr>
        <w:t>支出决算为0.74万元，完成预算</w:t>
      </w:r>
      <w:r>
        <w:rPr>
          <w:rFonts w:ascii="仿宋" w:eastAsia="仿宋" w:cs="仿宋"/>
          <w:sz w:val="32"/>
          <w:szCs w:val="32"/>
        </w:rPr>
        <w:t>100%</w:t>
      </w:r>
      <w:r>
        <w:rPr>
          <w:rFonts w:hint="eastAsia" w:ascii="仿宋" w:eastAsia="仿宋" w:cs="仿宋"/>
          <w:sz w:val="32"/>
          <w:szCs w:val="32"/>
        </w:rPr>
        <w:t>。</w:t>
      </w:r>
    </w:p>
    <w:p w14:paraId="5D983F9C">
      <w:pPr>
        <w:spacing w:line="600" w:lineRule="exact"/>
        <w:ind w:firstLine="640"/>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5.卫生健康支出（210类）行政事业单位医疗（11款）其他行政事业单位医疗支出（99项）</w:t>
      </w:r>
      <w:r>
        <w:rPr>
          <w:rFonts w:ascii="仿宋_GB2312" w:eastAsia="仿宋_GB2312" w:cs="仿宋_GB2312"/>
          <w:b/>
          <w:bCs/>
          <w:color w:val="000000"/>
          <w:sz w:val="32"/>
          <w:szCs w:val="32"/>
        </w:rPr>
        <w:t>:</w:t>
      </w:r>
      <w:r>
        <w:rPr>
          <w:rFonts w:hint="eastAsia" w:ascii="仿宋" w:eastAsia="仿宋" w:cs="仿宋"/>
          <w:sz w:val="32"/>
          <w:szCs w:val="32"/>
        </w:rPr>
        <w:t>支出决算为2.91万元，完成预算</w:t>
      </w:r>
      <w:r>
        <w:rPr>
          <w:rFonts w:ascii="仿宋" w:eastAsia="仿宋" w:cs="仿宋"/>
          <w:sz w:val="32"/>
          <w:szCs w:val="32"/>
        </w:rPr>
        <w:t>100%</w:t>
      </w:r>
      <w:r>
        <w:rPr>
          <w:rFonts w:hint="eastAsia" w:ascii="仿宋" w:eastAsia="仿宋" w:cs="仿宋"/>
          <w:sz w:val="32"/>
          <w:szCs w:val="32"/>
        </w:rPr>
        <w:t>。</w:t>
      </w:r>
    </w:p>
    <w:p w14:paraId="094E53C0">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6</w:t>
      </w:r>
      <w:r>
        <w:rPr>
          <w:rStyle w:val="18"/>
          <w:rFonts w:ascii="仿宋" w:hAnsi="仿宋" w:eastAsia="仿宋"/>
          <w:bCs/>
          <w:sz w:val="32"/>
          <w:szCs w:val="32"/>
        </w:rPr>
        <w:t>.</w:t>
      </w:r>
      <w:r>
        <w:rPr>
          <w:rStyle w:val="18"/>
          <w:rFonts w:hint="eastAsia" w:ascii="仿宋" w:hAnsi="仿宋" w:eastAsia="仿宋"/>
          <w:bCs/>
          <w:sz w:val="32"/>
          <w:szCs w:val="32"/>
        </w:rPr>
        <w:t>交通运输（214类）</w:t>
      </w:r>
      <w:r>
        <w:rPr>
          <w:rStyle w:val="18"/>
          <w:rFonts w:ascii="仿宋" w:hAnsi="仿宋" w:eastAsia="仿宋"/>
          <w:bCs/>
          <w:sz w:val="32"/>
          <w:szCs w:val="32"/>
        </w:rPr>
        <w:t>公路水路运输</w:t>
      </w:r>
      <w:r>
        <w:rPr>
          <w:rStyle w:val="18"/>
          <w:rFonts w:hint="eastAsia" w:ascii="仿宋" w:hAnsi="仿宋" w:eastAsia="仿宋"/>
          <w:bCs/>
          <w:sz w:val="32"/>
          <w:szCs w:val="32"/>
        </w:rPr>
        <w:t>（01款）</w:t>
      </w:r>
      <w:r>
        <w:rPr>
          <w:rStyle w:val="18"/>
          <w:rFonts w:ascii="仿宋" w:hAnsi="仿宋" w:eastAsia="仿宋"/>
          <w:bCs/>
          <w:sz w:val="32"/>
          <w:szCs w:val="32"/>
        </w:rPr>
        <w:t>行政运行</w:t>
      </w:r>
      <w:r>
        <w:rPr>
          <w:rStyle w:val="18"/>
          <w:rFonts w:hint="eastAsia" w:ascii="仿宋" w:hAnsi="仿宋" w:eastAsia="仿宋"/>
          <w:bCs/>
          <w:sz w:val="32"/>
          <w:szCs w:val="32"/>
        </w:rPr>
        <w:t>（01项）</w:t>
      </w:r>
      <w:r>
        <w:rPr>
          <w:rStyle w:val="18"/>
          <w:rFonts w:ascii="仿宋" w:hAnsi="仿宋" w:eastAsia="仿宋"/>
          <w:bCs/>
          <w:sz w:val="32"/>
          <w:szCs w:val="32"/>
        </w:rPr>
        <w:t>:</w:t>
      </w:r>
      <w:r>
        <w:rPr>
          <w:rStyle w:val="18"/>
          <w:rFonts w:hint="eastAsia" w:ascii="仿宋" w:hAnsi="仿宋" w:eastAsia="仿宋"/>
          <w:b w:val="0"/>
          <w:bCs/>
          <w:sz w:val="32"/>
          <w:szCs w:val="32"/>
        </w:rPr>
        <w:t>支出决算为85.05万元，完成预算100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2CECD704">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7</w:t>
      </w:r>
      <w:r>
        <w:rPr>
          <w:rStyle w:val="18"/>
          <w:rFonts w:ascii="仿宋" w:hAnsi="仿宋" w:eastAsia="仿宋"/>
          <w:bCs/>
          <w:sz w:val="32"/>
          <w:szCs w:val="32"/>
        </w:rPr>
        <w:t>.</w:t>
      </w:r>
      <w:r>
        <w:rPr>
          <w:rStyle w:val="18"/>
          <w:rFonts w:hint="eastAsia" w:ascii="仿宋" w:hAnsi="仿宋" w:eastAsia="仿宋"/>
          <w:bCs/>
          <w:sz w:val="32"/>
          <w:szCs w:val="32"/>
        </w:rPr>
        <w:t>住房保障（221类）</w:t>
      </w:r>
      <w:r>
        <w:rPr>
          <w:rStyle w:val="18"/>
          <w:rFonts w:ascii="仿宋" w:hAnsi="仿宋" w:eastAsia="仿宋"/>
          <w:bCs/>
          <w:sz w:val="32"/>
          <w:szCs w:val="32"/>
        </w:rPr>
        <w:t>住房改革支出</w:t>
      </w:r>
      <w:r>
        <w:rPr>
          <w:rStyle w:val="18"/>
          <w:rFonts w:hint="eastAsia" w:ascii="仿宋" w:hAnsi="仿宋" w:eastAsia="仿宋"/>
          <w:bCs/>
          <w:sz w:val="32"/>
          <w:szCs w:val="32"/>
        </w:rPr>
        <w:t>（02款）</w:t>
      </w:r>
      <w:r>
        <w:rPr>
          <w:rStyle w:val="18"/>
          <w:rFonts w:ascii="仿宋" w:hAnsi="仿宋" w:eastAsia="仿宋"/>
          <w:bCs/>
          <w:sz w:val="32"/>
          <w:szCs w:val="32"/>
        </w:rPr>
        <w:t>住房公积金</w:t>
      </w:r>
      <w:r>
        <w:rPr>
          <w:rStyle w:val="18"/>
          <w:rFonts w:hint="eastAsia" w:ascii="仿宋" w:hAnsi="仿宋" w:eastAsia="仿宋"/>
          <w:bCs/>
          <w:sz w:val="32"/>
          <w:szCs w:val="32"/>
        </w:rPr>
        <w:t>（01项）</w:t>
      </w:r>
      <w:r>
        <w:rPr>
          <w:rStyle w:val="18"/>
          <w:rFonts w:ascii="仿宋" w:hAnsi="仿宋" w:eastAsia="仿宋"/>
          <w:bCs/>
          <w:sz w:val="32"/>
          <w:szCs w:val="32"/>
        </w:rPr>
        <w:t>:</w:t>
      </w:r>
      <w:r>
        <w:rPr>
          <w:rStyle w:val="18"/>
          <w:rFonts w:hint="eastAsia" w:ascii="仿宋" w:hAnsi="仿宋" w:eastAsia="仿宋"/>
          <w:b w:val="0"/>
          <w:bCs/>
          <w:sz w:val="32"/>
          <w:szCs w:val="32"/>
        </w:rPr>
        <w:t>支出决算为8.22万元，完成预算100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2952987B">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04B69B2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115.69</w:t>
      </w:r>
      <w:r>
        <w:rPr>
          <w:rFonts w:hint="eastAsia" w:ascii="仿宋" w:hAnsi="仿宋" w:eastAsia="仿宋"/>
          <w:sz w:val="32"/>
          <w:szCs w:val="32"/>
        </w:rPr>
        <w:t>万元，其中：</w:t>
      </w:r>
    </w:p>
    <w:p w14:paraId="525405A7">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105.38</w:t>
      </w:r>
      <w:r>
        <w:rPr>
          <w:rFonts w:hint="eastAsia" w:ascii="仿宋" w:hAnsi="仿宋" w:eastAsia="仿宋"/>
          <w:sz w:val="32"/>
          <w:szCs w:val="32"/>
        </w:rPr>
        <w:t>万元，主要包括：基本工资、津贴补贴、奖金、机关事业单位基本养老保险缴费、职业年金缴费、其他社会保障缴费、其他工资福利支出、生活补助、医疗费补助、奖励金、住房公积金等。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10.32</w:t>
      </w:r>
      <w:r>
        <w:rPr>
          <w:rFonts w:hint="eastAsia" w:ascii="仿宋" w:hAnsi="仿宋" w:eastAsia="仿宋"/>
          <w:sz w:val="32"/>
          <w:szCs w:val="32"/>
        </w:rPr>
        <w:t>万元，主要包括：办公费、印刷费、电费、邮电费、差旅费、维修（护）费、工会经费、福利费、其他交通费等。</w:t>
      </w:r>
    </w:p>
    <w:p w14:paraId="47CDCCAB">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0224D1A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5EF931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1CBE51D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0F5D04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6A95E25">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CFE6915">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人。因公出国（境）支出决算与2022年持平。</w:t>
      </w:r>
    </w:p>
    <w:p w14:paraId="1BD0CCB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w:t>
      </w:r>
    </w:p>
    <w:p w14:paraId="7282EC8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万元。全年按规定更新购置公务用车0辆。截至2023年</w:t>
      </w:r>
      <w:r>
        <w:rPr>
          <w:rFonts w:ascii="仿宋_GB2312" w:eastAsia="仿宋_GB2312"/>
          <w:sz w:val="32"/>
          <w:szCs w:val="32"/>
        </w:rPr>
        <w:t>12</w:t>
      </w:r>
      <w:r>
        <w:rPr>
          <w:rFonts w:hint="eastAsia" w:ascii="仿宋_GB2312" w:eastAsia="仿宋_GB2312"/>
          <w:sz w:val="32"/>
          <w:szCs w:val="32"/>
        </w:rPr>
        <w:t>月31日，单位共有公务用车0辆。</w:t>
      </w:r>
    </w:p>
    <w:p w14:paraId="38C8C69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741F5A7">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其中：</w:t>
      </w:r>
    </w:p>
    <w:p w14:paraId="1BF1B3C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5E92B64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440031A7">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4741372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5687BA8">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108F8696">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7B4AF87">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511BED17">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F8BF2F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盐边县航务海事中心</w:t>
      </w:r>
      <w:r>
        <w:rPr>
          <w:rFonts w:hint="eastAsia" w:ascii="仿宋_GB2312" w:eastAsia="仿宋_GB2312"/>
          <w:sz w:val="32"/>
          <w:szCs w:val="32"/>
        </w:rPr>
        <w:t>机关运行经费支出</w:t>
      </w:r>
      <w:r>
        <w:rPr>
          <w:rFonts w:ascii="仿宋" w:hAnsi="仿宋" w:eastAsia="仿宋"/>
          <w:b/>
          <w:sz w:val="32"/>
          <w:szCs w:val="32"/>
        </w:rPr>
        <w:t>10.32</w:t>
      </w:r>
      <w:r>
        <w:rPr>
          <w:rFonts w:hint="eastAsia" w:ascii="仿宋_GB2312" w:eastAsia="仿宋_GB2312"/>
          <w:sz w:val="32"/>
          <w:szCs w:val="32"/>
        </w:rPr>
        <w:t>万元，比2022年度增加2.37万元，增长29.81</w:t>
      </w:r>
      <w:r>
        <w:rPr>
          <w:rFonts w:ascii="仿宋_GB2312" w:eastAsia="仿宋_GB2312"/>
          <w:sz w:val="32"/>
          <w:szCs w:val="32"/>
        </w:rPr>
        <w:t>%</w:t>
      </w:r>
      <w:r>
        <w:rPr>
          <w:rFonts w:hint="eastAsia" w:ascii="仿宋_GB2312" w:eastAsia="仿宋_GB2312"/>
          <w:sz w:val="32"/>
          <w:szCs w:val="32"/>
        </w:rPr>
        <w:t>。主要原因是正常增加。</w:t>
      </w:r>
    </w:p>
    <w:p w14:paraId="1729AFC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049911E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盐边县航务海事中心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5AE59F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3A2C47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盐边县航务海事中心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6CED43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4224DA5">
      <w:pPr>
        <w:spacing w:line="600" w:lineRule="exact"/>
        <w:ind w:firstLine="640" w:firstLineChars="200"/>
        <w:rPr>
          <w:rFonts w:ascii="仿宋_GB2312" w:eastAsia="仿宋_GB2312"/>
          <w:sz w:val="32"/>
          <w:szCs w:val="32"/>
        </w:rPr>
      </w:pPr>
      <w:r>
        <w:rPr>
          <w:rFonts w:hint="eastAsia" w:ascii="仿宋_GB2312" w:eastAsia="仿宋_GB2312"/>
          <w:sz w:val="32"/>
          <w:szCs w:val="32"/>
        </w:rPr>
        <w:t>本单位2023年只有基本支出，无项目支出。无项目绩效目标。</w:t>
      </w:r>
    </w:p>
    <w:p w14:paraId="6204BEE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54F117A">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78EF1341">
      <w:pPr>
        <w:spacing w:line="600" w:lineRule="exact"/>
        <w:jc w:val="left"/>
        <w:rPr>
          <w:rFonts w:ascii="宋体"/>
          <w:b/>
          <w:sz w:val="44"/>
          <w:szCs w:val="44"/>
        </w:rPr>
      </w:pPr>
    </w:p>
    <w:p w14:paraId="2312B1C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CD3968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0E921A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D55D6A3">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69EB6FD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32321DF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3CFEDCA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7AF56D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22DE80C">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社会保障和就业（208类）</w:t>
      </w:r>
      <w:r>
        <w:rPr>
          <w:rFonts w:hint="eastAsia" w:ascii="仿宋_GB2312" w:hAnsi="Cambria" w:eastAsia="仿宋_GB2312" w:cs="仿宋_GB2312"/>
          <w:color w:val="000000"/>
          <w:sz w:val="32"/>
          <w:szCs w:val="32"/>
        </w:rPr>
        <w:t>行政事业单位养老支出</w:t>
      </w:r>
      <w:r>
        <w:rPr>
          <w:rFonts w:hint="eastAsia" w:ascii="仿宋_GB2312" w:eastAsia="仿宋_GB2312"/>
          <w:sz w:val="32"/>
          <w:szCs w:val="32"/>
        </w:rPr>
        <w:t>（05款）</w:t>
      </w:r>
      <w:r>
        <w:rPr>
          <w:rFonts w:hint="eastAsia" w:ascii="仿宋_GB2312" w:hAnsi="Cambria" w:eastAsia="仿宋_GB2312" w:cs="仿宋_GB2312"/>
          <w:color w:val="000000"/>
          <w:sz w:val="32"/>
          <w:szCs w:val="32"/>
        </w:rPr>
        <w:t>行政单位离退休</w:t>
      </w:r>
      <w:r>
        <w:rPr>
          <w:rFonts w:hint="eastAsia" w:ascii="仿宋_GB2312" w:eastAsia="仿宋_GB2312"/>
          <w:sz w:val="32"/>
          <w:szCs w:val="32"/>
        </w:rPr>
        <w:t>（01项）：</w:t>
      </w:r>
      <w:r>
        <w:rPr>
          <w:rFonts w:hint="eastAsia" w:ascii="仿宋_GB2312" w:hAnsi="Cambria" w:eastAsia="仿宋_GB2312" w:cs="仿宋_GB2312"/>
          <w:color w:val="000000"/>
          <w:sz w:val="32"/>
          <w:szCs w:val="32"/>
        </w:rPr>
        <w:t>指行政单位（包括实行公务员管理的事业单位）开支的离退休经费</w:t>
      </w:r>
      <w:r>
        <w:rPr>
          <w:rFonts w:hint="eastAsia" w:ascii="仿宋_GB2312" w:eastAsia="仿宋_GB2312"/>
          <w:sz w:val="32"/>
          <w:szCs w:val="32"/>
        </w:rPr>
        <w:t>。</w:t>
      </w:r>
    </w:p>
    <w:p w14:paraId="71BFC90D">
      <w:pPr>
        <w:spacing w:line="600" w:lineRule="exact"/>
        <w:ind w:firstLine="640"/>
        <w:rPr>
          <w:rFonts w:ascii="仿宋_GB2312" w:hAnsi="Cambria" w:eastAsia="仿宋_GB2312" w:cs="仿宋_GB2312"/>
          <w:color w:val="000000"/>
          <w:sz w:val="32"/>
          <w:szCs w:val="32"/>
        </w:rPr>
      </w:pPr>
      <w:r>
        <w:rPr>
          <w:rFonts w:hint="eastAsia" w:ascii="仿宋_GB2312" w:hAnsi="Cambria" w:eastAsia="仿宋_GB2312" w:cs="仿宋_GB2312"/>
          <w:color w:val="000000"/>
          <w:sz w:val="32"/>
          <w:szCs w:val="32"/>
        </w:rPr>
        <w:t>10</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社会保障和就业（208类）行政事业单位养老支出（05款）机关事业单位基本养老保险缴费支出（05项）：指机关事业单位实施养老保险制度由单位缴纳的基本养老保险费支出。</w:t>
      </w:r>
    </w:p>
    <w:p w14:paraId="5F1D558A">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hAnsi="Cambria" w:eastAsia="仿宋_GB2312" w:cs="仿宋_GB2312"/>
          <w:color w:val="000000"/>
          <w:sz w:val="32"/>
          <w:szCs w:val="32"/>
        </w:rPr>
        <w:t xml:space="preserve"> 卫生健康（210类）行政事业单位医疗（11款）行政单位医疗（01项）：指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14:paraId="25BE71B3">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hAnsi="Cambria" w:eastAsia="仿宋_GB2312" w:cs="仿宋_GB2312"/>
          <w:color w:val="000000"/>
          <w:sz w:val="32"/>
          <w:szCs w:val="32"/>
        </w:rPr>
        <w:t xml:space="preserve"> 卫生健康（210类）行政事业单位医疗（11款）公务员医疗补助（03项）：指财政部门安排的公务员医疗补助经费</w:t>
      </w:r>
      <w:r>
        <w:rPr>
          <w:rFonts w:hint="eastAsia" w:ascii="仿宋_GB2312" w:eastAsia="仿宋_GB2312"/>
          <w:sz w:val="32"/>
          <w:szCs w:val="32"/>
        </w:rPr>
        <w:t>。</w:t>
      </w:r>
    </w:p>
    <w:p w14:paraId="42A9556C">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hAnsi="Cambria" w:eastAsia="仿宋_GB2312" w:cs="仿宋_GB2312"/>
          <w:color w:val="000000"/>
          <w:sz w:val="32"/>
          <w:szCs w:val="32"/>
        </w:rPr>
        <w:t xml:space="preserve"> 卫生健康（210类）行政事业单位医疗（11款）其他行政事业单位医疗支出（99项）：其他用于行政事业单位医疗方面的支出</w:t>
      </w:r>
      <w:r>
        <w:rPr>
          <w:rFonts w:hint="eastAsia" w:ascii="仿宋_GB2312" w:eastAsia="仿宋_GB2312"/>
          <w:sz w:val="32"/>
          <w:szCs w:val="32"/>
        </w:rPr>
        <w:t>。</w:t>
      </w:r>
    </w:p>
    <w:p w14:paraId="5FD0A3AB">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交通运输支出（214类）公路水路运输（01款）行政运行（01项）：指反映行政单位（包括实行公务员管理的事业单位）的基本支出。</w:t>
      </w:r>
    </w:p>
    <w:p w14:paraId="6F9DD8F3">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hAnsi="Cambria" w:eastAsia="仿宋_GB2312" w:cs="仿宋_GB2312"/>
          <w:color w:val="000000"/>
          <w:sz w:val="32"/>
          <w:szCs w:val="32"/>
        </w:rPr>
        <w:t xml:space="preserve"> 住房保障支出（221类）住房改革支出（02款）住房公积金。住房补贴（01项）：指行政事业单位按人力资源和社会保障部、财政部规定的基本工资和津贴补贴以及规定比例为职工缴纳的住房公积金</w:t>
      </w:r>
      <w:r>
        <w:rPr>
          <w:rFonts w:hint="eastAsia" w:ascii="仿宋_GB2312" w:eastAsia="仿宋_GB2312"/>
          <w:sz w:val="32"/>
          <w:szCs w:val="32"/>
        </w:rPr>
        <w:t>。</w:t>
      </w:r>
    </w:p>
    <w:p w14:paraId="7E3AE03E">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ABDB8B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2BB10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25F2A2">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1AB4CF3E">
      <w:pPr>
        <w:spacing w:line="572" w:lineRule="exact"/>
        <w:jc w:val="left"/>
        <w:outlineLvl w:val="0"/>
        <w:rPr>
          <w:rFonts w:ascii="仿宋_GB2312" w:hAnsi="仿宋_GB2312" w:eastAsia="仿宋_GB2312" w:cs="仿宋_GB2312"/>
          <w:sz w:val="32"/>
          <w:szCs w:val="32"/>
        </w:rPr>
      </w:pPr>
    </w:p>
    <w:p w14:paraId="0C356947">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7C063411">
      <w:pPr>
        <w:pStyle w:val="15"/>
        <w:spacing w:line="560" w:lineRule="exact"/>
        <w:ind w:left="0" w:leftChars="0" w:firstLine="640"/>
        <w:rPr>
          <w:sz w:val="32"/>
        </w:rPr>
      </w:pPr>
    </w:p>
    <w:p w14:paraId="1D0529F2">
      <w:pPr>
        <w:pStyle w:val="6"/>
        <w:spacing w:before="93"/>
        <w:rPr>
          <w:rFonts w:hAnsi="Calibri" w:cs="仿宋"/>
          <w:sz w:val="32"/>
          <w:szCs w:val="32"/>
        </w:rPr>
      </w:pPr>
    </w:p>
    <w:p w14:paraId="7A7D53BB">
      <w:pPr>
        <w:pStyle w:val="6"/>
        <w:spacing w:before="93"/>
        <w:rPr>
          <w:rFonts w:hAnsi="Calibri" w:cs="仿宋"/>
          <w:sz w:val="32"/>
          <w:szCs w:val="32"/>
        </w:rPr>
      </w:pPr>
    </w:p>
    <w:p w14:paraId="56FAD3ED">
      <w:pPr>
        <w:pStyle w:val="6"/>
        <w:spacing w:before="93"/>
        <w:rPr>
          <w:rFonts w:hAnsi="Calibri" w:cs="仿宋"/>
          <w:sz w:val="32"/>
          <w:szCs w:val="32"/>
        </w:rPr>
      </w:pPr>
    </w:p>
    <w:p w14:paraId="28DFCECE">
      <w:pPr>
        <w:pStyle w:val="6"/>
        <w:spacing w:before="93"/>
        <w:rPr>
          <w:rFonts w:hAnsi="Calibri" w:cs="仿宋"/>
          <w:sz w:val="32"/>
          <w:szCs w:val="32"/>
        </w:rPr>
      </w:pPr>
    </w:p>
    <w:p w14:paraId="43E2B48A">
      <w:pPr>
        <w:pStyle w:val="6"/>
        <w:spacing w:before="93"/>
        <w:rPr>
          <w:rFonts w:hAnsi="Calibri" w:cs="仿宋"/>
          <w:sz w:val="32"/>
          <w:szCs w:val="32"/>
        </w:rPr>
      </w:pPr>
    </w:p>
    <w:p w14:paraId="6988B554">
      <w:pPr>
        <w:pStyle w:val="6"/>
        <w:spacing w:before="93"/>
        <w:rPr>
          <w:rFonts w:hAnsi="Calibri" w:cs="仿宋"/>
          <w:sz w:val="32"/>
          <w:szCs w:val="32"/>
        </w:rPr>
      </w:pPr>
    </w:p>
    <w:p w14:paraId="56B8DF3C">
      <w:pPr>
        <w:pStyle w:val="6"/>
        <w:spacing w:before="93"/>
        <w:rPr>
          <w:rFonts w:hAnsi="Calibri" w:cs="仿宋"/>
          <w:sz w:val="32"/>
          <w:szCs w:val="32"/>
        </w:rPr>
      </w:pPr>
    </w:p>
    <w:p w14:paraId="601505CF">
      <w:pPr>
        <w:pStyle w:val="6"/>
        <w:spacing w:before="93"/>
        <w:rPr>
          <w:rFonts w:hAnsi="Calibri" w:cs="仿宋"/>
          <w:sz w:val="32"/>
          <w:szCs w:val="32"/>
        </w:rPr>
      </w:pPr>
    </w:p>
    <w:p w14:paraId="59B00442">
      <w:pPr>
        <w:pStyle w:val="6"/>
        <w:spacing w:before="93"/>
        <w:rPr>
          <w:rFonts w:hAnsi="Calibri" w:cs="仿宋"/>
          <w:sz w:val="32"/>
          <w:szCs w:val="32"/>
        </w:rPr>
      </w:pPr>
    </w:p>
    <w:p w14:paraId="5973BE38">
      <w:pPr>
        <w:pStyle w:val="6"/>
        <w:spacing w:before="93"/>
        <w:rPr>
          <w:rFonts w:hAnsi="Calibri" w:cs="仿宋"/>
          <w:sz w:val="32"/>
          <w:szCs w:val="32"/>
        </w:rPr>
      </w:pPr>
    </w:p>
    <w:p w14:paraId="35790324">
      <w:pPr>
        <w:pStyle w:val="6"/>
        <w:spacing w:before="93"/>
        <w:rPr>
          <w:rFonts w:hAnsi="Calibri" w:cs="仿宋"/>
          <w:sz w:val="32"/>
          <w:szCs w:val="32"/>
        </w:rPr>
      </w:pPr>
    </w:p>
    <w:p w14:paraId="7418EEBA">
      <w:pPr>
        <w:pStyle w:val="6"/>
        <w:spacing w:before="93"/>
        <w:rPr>
          <w:rFonts w:hAnsi="Calibri" w:cs="仿宋"/>
          <w:sz w:val="32"/>
          <w:szCs w:val="32"/>
        </w:rPr>
      </w:pPr>
    </w:p>
    <w:p w14:paraId="624F94AF">
      <w:pPr>
        <w:spacing w:line="600" w:lineRule="exact"/>
        <w:jc w:val="center"/>
        <w:outlineLvl w:val="0"/>
        <w:rPr>
          <w:rFonts w:ascii="黑体" w:hAnsi="黑体" w:eastAsia="黑体"/>
          <w:sz w:val="44"/>
          <w:szCs w:val="44"/>
        </w:rPr>
      </w:pPr>
    </w:p>
    <w:p w14:paraId="5BB59EBB">
      <w:pPr>
        <w:pStyle w:val="2"/>
      </w:pPr>
    </w:p>
    <w:p w14:paraId="581367D0"/>
    <w:p w14:paraId="14C9DD33">
      <w:pPr>
        <w:pStyle w:val="2"/>
      </w:pPr>
    </w:p>
    <w:p w14:paraId="34D6DC3E">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64A2C2AF">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637BA1C7">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5BCA37A8">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33B7041B">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13880A56">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2FC65666">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305DC647">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7E5659A0">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22CAC5BD">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1E894AC1">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6F7CFDA5">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280D1519">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79341CC8">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footerReference r:id="rId12" w:type="first"/>
      <w:footerReference r:id="rId11"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11C5">
    <w:pPr>
      <w:pStyle w:val="10"/>
      <w:jc w:val="center"/>
    </w:pPr>
  </w:p>
  <w:p w14:paraId="216C965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BD0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9F8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0B1A">
    <w:pPr>
      <w:pStyle w:val="10"/>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33661926">
                <w:pPr>
                  <w:pStyle w:val="10"/>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9F08">
    <w:pPr>
      <w:pStyle w:val="1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14:paraId="2596D57A">
                <w:pPr>
                  <w:pStyle w:val="10"/>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1C45">
    <w:pPr>
      <w:pStyle w:val="10"/>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14:paraId="1BDB210B">
                <w:pPr>
                  <w:pStyle w:val="10"/>
                </w:pPr>
                <w:r>
                  <w:fldChar w:fldCharType="begin"/>
                </w:r>
                <w:r>
                  <w:instrText xml:space="preserve"> PAGE  \* MERGEFORMAT </w:instrText>
                </w:r>
                <w:r>
                  <w:fldChar w:fldCharType="separate"/>
                </w:r>
                <w:r>
                  <w:t>15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F297">
    <w:pPr>
      <w:pStyle w:val="10"/>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14:paraId="55B30FFD">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A51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CDA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F5CA">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wYjI5NzI0MmFiODJjZDJhMDQ5NTg5ZTJmZDc1YWUifQ=="/>
  </w:docVars>
  <w:rsids>
    <w:rsidRoot w:val="00F1361C"/>
    <w:rsid w:val="000222C6"/>
    <w:rsid w:val="0002549F"/>
    <w:rsid w:val="00044E9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B72AD"/>
    <w:rsid w:val="000C3467"/>
    <w:rsid w:val="000C3CA6"/>
    <w:rsid w:val="000D1267"/>
    <w:rsid w:val="000D1D50"/>
    <w:rsid w:val="000D5782"/>
    <w:rsid w:val="000E6613"/>
    <w:rsid w:val="000E7119"/>
    <w:rsid w:val="00114E9B"/>
    <w:rsid w:val="0012284C"/>
    <w:rsid w:val="00142216"/>
    <w:rsid w:val="00144D6A"/>
    <w:rsid w:val="0014729F"/>
    <w:rsid w:val="00157BAB"/>
    <w:rsid w:val="001654D1"/>
    <w:rsid w:val="00174518"/>
    <w:rsid w:val="00177415"/>
    <w:rsid w:val="001803E4"/>
    <w:rsid w:val="0018106D"/>
    <w:rsid w:val="001877A7"/>
    <w:rsid w:val="00191536"/>
    <w:rsid w:val="00196687"/>
    <w:rsid w:val="001A1DAD"/>
    <w:rsid w:val="001C0962"/>
    <w:rsid w:val="001D7531"/>
    <w:rsid w:val="001E737D"/>
    <w:rsid w:val="001F0592"/>
    <w:rsid w:val="001F7506"/>
    <w:rsid w:val="002006CD"/>
    <w:rsid w:val="0020128A"/>
    <w:rsid w:val="00202B36"/>
    <w:rsid w:val="00204B7A"/>
    <w:rsid w:val="00204CDE"/>
    <w:rsid w:val="00206907"/>
    <w:rsid w:val="0021101A"/>
    <w:rsid w:val="00212B4A"/>
    <w:rsid w:val="00220536"/>
    <w:rsid w:val="00235629"/>
    <w:rsid w:val="00260C38"/>
    <w:rsid w:val="002616C0"/>
    <w:rsid w:val="00265372"/>
    <w:rsid w:val="002662AA"/>
    <w:rsid w:val="00280496"/>
    <w:rsid w:val="00290B78"/>
    <w:rsid w:val="00294163"/>
    <w:rsid w:val="00294DC9"/>
    <w:rsid w:val="00295495"/>
    <w:rsid w:val="002A31DE"/>
    <w:rsid w:val="002B0437"/>
    <w:rsid w:val="002B2613"/>
    <w:rsid w:val="002C5004"/>
    <w:rsid w:val="002D6D05"/>
    <w:rsid w:val="002F1818"/>
    <w:rsid w:val="002F567B"/>
    <w:rsid w:val="003031BA"/>
    <w:rsid w:val="003216A9"/>
    <w:rsid w:val="00324EE8"/>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E7D1D"/>
    <w:rsid w:val="004F0FBD"/>
    <w:rsid w:val="00505A47"/>
    <w:rsid w:val="00512FDA"/>
    <w:rsid w:val="00520DA0"/>
    <w:rsid w:val="0053660A"/>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A67B4"/>
    <w:rsid w:val="006B2422"/>
    <w:rsid w:val="006B2B9A"/>
    <w:rsid w:val="006C1937"/>
    <w:rsid w:val="006E4CC3"/>
    <w:rsid w:val="006F020C"/>
    <w:rsid w:val="0071021A"/>
    <w:rsid w:val="007127B7"/>
    <w:rsid w:val="0071798E"/>
    <w:rsid w:val="007416B6"/>
    <w:rsid w:val="00746F48"/>
    <w:rsid w:val="0075404D"/>
    <w:rsid w:val="0076182A"/>
    <w:rsid w:val="00767B7E"/>
    <w:rsid w:val="00771AF6"/>
    <w:rsid w:val="007770C3"/>
    <w:rsid w:val="00784D24"/>
    <w:rsid w:val="00785BB1"/>
    <w:rsid w:val="00785FBA"/>
    <w:rsid w:val="00786E4A"/>
    <w:rsid w:val="007875EB"/>
    <w:rsid w:val="0079426B"/>
    <w:rsid w:val="007D0A66"/>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58C3"/>
    <w:rsid w:val="008B768C"/>
    <w:rsid w:val="008C4390"/>
    <w:rsid w:val="008C4DB1"/>
    <w:rsid w:val="008C4EAF"/>
    <w:rsid w:val="008C5176"/>
    <w:rsid w:val="008C7FD0"/>
    <w:rsid w:val="008C7FD8"/>
    <w:rsid w:val="008E1A11"/>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14F0"/>
    <w:rsid w:val="009A5944"/>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38E"/>
    <w:rsid w:val="00A56DF2"/>
    <w:rsid w:val="00A56E6E"/>
    <w:rsid w:val="00A654BA"/>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5AC6"/>
    <w:rsid w:val="00B57DAF"/>
    <w:rsid w:val="00B6259F"/>
    <w:rsid w:val="00B77EA6"/>
    <w:rsid w:val="00B81598"/>
    <w:rsid w:val="00B841F1"/>
    <w:rsid w:val="00B944D6"/>
    <w:rsid w:val="00BB4DF0"/>
    <w:rsid w:val="00BC289F"/>
    <w:rsid w:val="00BC2D50"/>
    <w:rsid w:val="00BC5361"/>
    <w:rsid w:val="00BC5460"/>
    <w:rsid w:val="00BC6B50"/>
    <w:rsid w:val="00BD0E25"/>
    <w:rsid w:val="00BF0749"/>
    <w:rsid w:val="00BF1C2D"/>
    <w:rsid w:val="00BF44FD"/>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0001"/>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1A4E"/>
    <w:rsid w:val="00DC410D"/>
    <w:rsid w:val="00DC5A81"/>
    <w:rsid w:val="00DC68CA"/>
    <w:rsid w:val="00DC7CBA"/>
    <w:rsid w:val="00DD73B7"/>
    <w:rsid w:val="00DF28BC"/>
    <w:rsid w:val="00DF34B9"/>
    <w:rsid w:val="00E01053"/>
    <w:rsid w:val="00E07ACF"/>
    <w:rsid w:val="00E20A21"/>
    <w:rsid w:val="00E331A1"/>
    <w:rsid w:val="00E33202"/>
    <w:rsid w:val="00E336A9"/>
    <w:rsid w:val="00E472B1"/>
    <w:rsid w:val="00E50624"/>
    <w:rsid w:val="00E568DF"/>
    <w:rsid w:val="00E64269"/>
    <w:rsid w:val="00E80FCC"/>
    <w:rsid w:val="00E82267"/>
    <w:rsid w:val="00E853CE"/>
    <w:rsid w:val="00E867B6"/>
    <w:rsid w:val="00EA010F"/>
    <w:rsid w:val="00ED1B63"/>
    <w:rsid w:val="00ED3C1F"/>
    <w:rsid w:val="00ED4085"/>
    <w:rsid w:val="00ED420E"/>
    <w:rsid w:val="00ED6FBE"/>
    <w:rsid w:val="00EE2F57"/>
    <w:rsid w:val="00EF493B"/>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D9A0C6D"/>
    <w:rsid w:val="0F5FFB2F"/>
    <w:rsid w:val="0FFFCF60"/>
    <w:rsid w:val="10C055FF"/>
    <w:rsid w:val="118107EC"/>
    <w:rsid w:val="11DD6519"/>
    <w:rsid w:val="16BB723D"/>
    <w:rsid w:val="18015F3F"/>
    <w:rsid w:val="1BE8440E"/>
    <w:rsid w:val="1D155CEE"/>
    <w:rsid w:val="1FDBBF84"/>
    <w:rsid w:val="20F57F95"/>
    <w:rsid w:val="240371BF"/>
    <w:rsid w:val="25470553"/>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38133A"/>
    <w:rsid w:val="383D272C"/>
    <w:rsid w:val="39AE70AB"/>
    <w:rsid w:val="3A4DCE41"/>
    <w:rsid w:val="3BCB56FA"/>
    <w:rsid w:val="3C0C0783"/>
    <w:rsid w:val="3EE7C2F4"/>
    <w:rsid w:val="3F371B56"/>
    <w:rsid w:val="3F792ED8"/>
    <w:rsid w:val="3F9F3A96"/>
    <w:rsid w:val="3FECA4B2"/>
    <w:rsid w:val="3FF58C48"/>
    <w:rsid w:val="42EC53A4"/>
    <w:rsid w:val="42FF6694"/>
    <w:rsid w:val="46832E95"/>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qFormat/>
    <w:uiPriority w:val="0"/>
    <w:pPr>
      <w:widowControl/>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4338</Words>
  <Characters>4733</Characters>
  <Lines>35</Lines>
  <Paragraphs>9</Paragraphs>
  <TotalTime>6</TotalTime>
  <ScaleCrop>false</ScaleCrop>
  <LinksUpToDate>false</LinksUpToDate>
  <CharactersWithSpaces>4778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2024-10-25T01:09:00Z</dcterms:created>
  <dc:creator>曹颖</dc:creator>
  <cp:lastModifiedBy>Owner</cp:lastModifiedBy>
  <cp:lastPrinted>2023-08-03T02:35:00Z</cp:lastPrinted>
  <dcterms:modified xsi:type="dcterms:W3CDTF">2024-10-28T01:06:40Z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B96C30BDBE694F0C9FF18469C426D2C6_12</vt:lpwstr>
  </property>
</Properties>
</file>