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69" w:name="_GoBack"/>
      <w:bookmarkEnd w:id="69"/>
      <w:bookmarkStart w:id="0" w:name="_Toc15377193"/>
      <w:bookmarkStart w:id="1" w:name="_Toc15377425"/>
      <w:bookmarkStart w:id="2" w:name="_Toc15378441"/>
      <w:bookmarkStart w:id="3" w:name="_Toc15396597"/>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bookmarkEnd w:id="1"/>
    <w:bookmarkEnd w:id="2"/>
    <w:bookmarkEnd w:id="3"/>
    <w:bookmarkEnd w:id="4"/>
    <w:p>
      <w:pPr>
        <w:adjustRightInd w:val="0"/>
        <w:snapToGrid w:val="0"/>
        <w:spacing w:line="360" w:lineRule="auto"/>
        <w:jc w:val="center"/>
        <w:outlineLvl w:val="0"/>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2022年度</w:t>
      </w:r>
    </w:p>
    <w:bookmarkEnd w:id="5"/>
    <w:p>
      <w:pPr>
        <w:adjustRightInd w:val="0"/>
        <w:snapToGrid w:val="0"/>
        <w:spacing w:line="360" w:lineRule="auto"/>
        <w:jc w:val="center"/>
        <w:outlineLvl w:val="0"/>
        <w:rPr>
          <w:rFonts w:ascii="方正小标宋简体" w:hAnsi="黑体" w:eastAsia="方正小标宋简体" w:cs="方正小标宋简体"/>
          <w:sz w:val="44"/>
          <w:szCs w:val="44"/>
        </w:rPr>
      </w:pPr>
      <w:bookmarkStart w:id="6" w:name="_Toc15306268"/>
      <w:bookmarkStart w:id="7" w:name="_Toc15377426"/>
      <w:bookmarkStart w:id="8" w:name="_Toc15377194"/>
      <w:bookmarkStart w:id="9" w:name="_Toc15378442"/>
      <w:bookmarkStart w:id="10" w:name="_Toc15396598"/>
      <w:bookmarkStart w:id="11" w:name="_Toc15396476"/>
      <w:r>
        <w:rPr>
          <w:rFonts w:hint="eastAsia" w:ascii="方正小标宋简体" w:hAnsi="黑体" w:eastAsia="方正小标宋简体" w:cs="方正小标宋简体"/>
          <w:sz w:val="44"/>
          <w:szCs w:val="44"/>
        </w:rPr>
        <w:t>盐边钒钛产业开发区管理委员会部门决算</w:t>
      </w:r>
      <w:bookmarkEnd w:id="6"/>
      <w:bookmarkEnd w:id="7"/>
      <w:bookmarkEnd w:id="8"/>
      <w:bookmarkEnd w:id="9"/>
      <w:bookmarkEnd w:id="10"/>
      <w:bookmarkEnd w:id="11"/>
    </w:p>
    <w:p>
      <w:pPr>
        <w:widowControl/>
        <w:jc w:val="center"/>
        <w:rPr>
          <w:rFonts w:ascii="方正小标宋简体" w:hAnsi="黑体" w:eastAsia="方正小标宋简体"/>
          <w:sz w:val="44"/>
          <w:szCs w:val="44"/>
        </w:rPr>
      </w:pPr>
      <w:r>
        <w:rPr>
          <w:rFonts w:ascii="方正小标宋简体" w:hAnsi="宋体" w:eastAsia="方正小标宋简体"/>
          <w:sz w:val="36"/>
          <w:szCs w:val="36"/>
        </w:rPr>
        <w:br w:type="page"/>
      </w:r>
      <w:r>
        <w:rPr>
          <w:rFonts w:hint="eastAsia" w:ascii="方正小标宋简体" w:hAnsi="黑体" w:eastAsia="方正小标宋简体"/>
          <w:sz w:val="44"/>
          <w:szCs w:val="44"/>
        </w:rPr>
        <w:t>目   录</w:t>
      </w:r>
    </w:p>
    <w:p>
      <w:pPr>
        <w:widowControl/>
        <w:jc w:val="center"/>
        <w:rPr>
          <w:rFonts w:ascii="黑体" w:hAnsi="黑体" w:eastAsia="黑体" w:cstheme="minorBidi"/>
          <w:sz w:val="28"/>
          <w:szCs w:val="28"/>
        </w:rPr>
      </w:pPr>
    </w:p>
    <w:p>
      <w:pPr>
        <w:jc w:val="center"/>
        <w:rPr>
          <w:rFonts w:ascii="仿宋_GB2312" w:eastAsia="仿宋_GB2312"/>
        </w:rPr>
      </w:pPr>
      <w:r>
        <w:rPr>
          <w:rFonts w:hint="eastAsia" w:ascii="仿宋_GB2312" w:eastAsia="仿宋_GB2312"/>
        </w:rPr>
        <w:t>公开时间：2023年10月26日</w:t>
      </w:r>
    </w:p>
    <w:p>
      <w:pPr>
        <w:rPr>
          <w:rFonts w:ascii="仿宋_GB2312" w:eastAsia="仿宋_GB2312"/>
        </w:rPr>
      </w:pPr>
    </w:p>
    <w:p>
      <w:pPr>
        <w:adjustRightInd w:val="0"/>
        <w:snapToGrid w:val="0"/>
        <w:spacing w:line="440" w:lineRule="exact"/>
        <w:jc w:val="left"/>
        <w:rPr>
          <w:rFonts w:ascii="仿宋_GB2312" w:eastAsia="仿宋_GB2312" w:cstheme="minorBidi"/>
          <w:sz w:val="24"/>
        </w:rPr>
      </w:pPr>
      <w:r>
        <w:rPr>
          <w:rFonts w:hint="eastAsia" w:ascii="仿宋_GB2312" w:eastAsia="仿宋_GB2312"/>
          <w:sz w:val="24"/>
        </w:rPr>
        <w:t>第一部分部门概况</w:t>
      </w:r>
      <w:r>
        <w:rPr>
          <w:rFonts w:hint="eastAsia" w:ascii="仿宋_GB2312" w:eastAsia="仿宋_GB2312"/>
        </w:rPr>
        <w:t>…………………………………………………………………………...</w:t>
      </w:r>
      <w:r>
        <w:rPr>
          <w:rFonts w:hint="eastAsia" w:ascii="仿宋_GB2312" w:eastAsia="仿宋_GB2312"/>
          <w:sz w:val="24"/>
        </w:rPr>
        <w:t>4</w:t>
      </w:r>
    </w:p>
    <w:p>
      <w:pPr>
        <w:adjustRightInd w:val="0"/>
        <w:snapToGrid w:val="0"/>
        <w:spacing w:line="440" w:lineRule="exact"/>
        <w:jc w:val="left"/>
        <w:rPr>
          <w:rFonts w:ascii="仿宋_GB2312" w:eastAsia="仿宋_GB2312"/>
          <w:sz w:val="24"/>
        </w:rPr>
      </w:pPr>
      <w:r>
        <w:rPr>
          <w:rFonts w:hint="eastAsia" w:ascii="仿宋_GB2312" w:eastAsia="仿宋_GB2312"/>
          <w:sz w:val="24"/>
        </w:rPr>
        <w:t>一、部门职责………………………………………………………………………4</w:t>
      </w:r>
    </w:p>
    <w:p>
      <w:pPr>
        <w:adjustRightInd w:val="0"/>
        <w:snapToGrid w:val="0"/>
        <w:spacing w:line="440" w:lineRule="exact"/>
        <w:jc w:val="left"/>
        <w:rPr>
          <w:rFonts w:ascii="仿宋_GB2312" w:hAnsi="仿宋" w:eastAsia="仿宋_GB2312" w:cstheme="minorBidi"/>
          <w:sz w:val="24"/>
        </w:rPr>
      </w:pPr>
      <w:r>
        <w:rPr>
          <w:rFonts w:hint="eastAsia" w:ascii="仿宋_GB2312" w:eastAsia="仿宋_GB2312"/>
          <w:sz w:val="24"/>
        </w:rPr>
        <w:t>二、机构设置………………………………………………………………………5</w:t>
      </w:r>
    </w:p>
    <w:p>
      <w:pPr>
        <w:adjustRightInd w:val="0"/>
        <w:snapToGrid w:val="0"/>
        <w:spacing w:line="440" w:lineRule="exact"/>
        <w:jc w:val="left"/>
        <w:rPr>
          <w:rFonts w:ascii="仿宋_GB2312" w:eastAsia="仿宋_GB2312"/>
          <w:sz w:val="24"/>
        </w:rPr>
      </w:pPr>
      <w:r>
        <w:rPr>
          <w:rFonts w:hint="eastAsia" w:ascii="仿宋_GB2312" w:eastAsia="仿宋_GB2312"/>
          <w:sz w:val="24"/>
        </w:rPr>
        <w:t>第二部分 2022年度部门决算情况说明…………………………………………..6</w:t>
      </w:r>
    </w:p>
    <w:p>
      <w:pPr>
        <w:adjustRightInd w:val="0"/>
        <w:snapToGrid w:val="0"/>
        <w:spacing w:line="440" w:lineRule="exact"/>
        <w:jc w:val="left"/>
        <w:rPr>
          <w:rFonts w:ascii="仿宋_GB2312" w:hAnsi="仿宋" w:eastAsia="仿宋_GB2312" w:cstheme="minorBidi"/>
          <w:sz w:val="24"/>
        </w:rPr>
      </w:pPr>
      <w:r>
        <w:rPr>
          <w:rFonts w:hint="eastAsia" w:ascii="仿宋_GB2312" w:eastAsia="仿宋_GB2312"/>
          <w:sz w:val="24"/>
        </w:rPr>
        <w:t>一、收入支出决算总体情况说明………………………………………………….5</w:t>
      </w:r>
    </w:p>
    <w:p>
      <w:pPr>
        <w:adjustRightInd w:val="0"/>
        <w:snapToGrid w:val="0"/>
        <w:spacing w:line="440" w:lineRule="exact"/>
        <w:jc w:val="left"/>
        <w:rPr>
          <w:rFonts w:ascii="仿宋_GB2312" w:hAnsi="仿宋" w:eastAsia="仿宋_GB2312" w:cstheme="minorBidi"/>
          <w:sz w:val="24"/>
        </w:rPr>
      </w:pPr>
      <w:r>
        <w:rPr>
          <w:rFonts w:hint="eastAsia" w:ascii="仿宋_GB2312" w:eastAsia="仿宋_GB2312"/>
          <w:sz w:val="24"/>
        </w:rPr>
        <w:t>二、收入决算情况说明…………………………………………………………….6</w:t>
      </w:r>
    </w:p>
    <w:p>
      <w:pPr>
        <w:adjustRightInd w:val="0"/>
        <w:snapToGrid w:val="0"/>
        <w:spacing w:line="440" w:lineRule="exact"/>
        <w:jc w:val="left"/>
        <w:rPr>
          <w:rFonts w:ascii="仿宋_GB2312" w:hAnsi="仿宋" w:eastAsia="仿宋_GB2312" w:cstheme="minorBidi"/>
          <w:sz w:val="24"/>
        </w:rPr>
      </w:pPr>
      <w:r>
        <w:rPr>
          <w:rFonts w:hint="eastAsia" w:ascii="仿宋_GB2312" w:eastAsia="仿宋_GB2312"/>
          <w:sz w:val="24"/>
        </w:rPr>
        <w:t>三、支出决算情况说明…………………………………………………………….7</w:t>
      </w:r>
    </w:p>
    <w:p>
      <w:pPr>
        <w:adjustRightInd w:val="0"/>
        <w:snapToGrid w:val="0"/>
        <w:spacing w:line="440" w:lineRule="exact"/>
        <w:jc w:val="left"/>
        <w:rPr>
          <w:rFonts w:ascii="仿宋_GB2312" w:hAnsi="仿宋" w:eastAsia="仿宋_GB2312" w:cstheme="minorBidi"/>
          <w:sz w:val="24"/>
        </w:rPr>
      </w:pPr>
      <w:r>
        <w:rPr>
          <w:rFonts w:hint="eastAsia" w:ascii="仿宋_GB2312" w:eastAsia="仿宋_GB2312"/>
          <w:sz w:val="24"/>
        </w:rPr>
        <w:t>四、财政拨款收入支出决算总体情况说明……………………………………….7</w:t>
      </w:r>
    </w:p>
    <w:p>
      <w:pPr>
        <w:adjustRightInd w:val="0"/>
        <w:snapToGrid w:val="0"/>
        <w:spacing w:line="440" w:lineRule="exact"/>
        <w:jc w:val="left"/>
        <w:rPr>
          <w:rFonts w:ascii="仿宋_GB2312" w:hAnsi="仿宋" w:eastAsia="仿宋_GB2312" w:cstheme="minorBidi"/>
          <w:sz w:val="24"/>
        </w:rPr>
      </w:pPr>
      <w:r>
        <w:rPr>
          <w:rFonts w:hint="eastAsia" w:ascii="仿宋_GB2312" w:eastAsia="仿宋_GB2312"/>
          <w:sz w:val="24"/>
        </w:rPr>
        <w:t>五、一般公共预算财政拨款支出决算情况说明………………………………….8</w:t>
      </w:r>
    </w:p>
    <w:p>
      <w:pPr>
        <w:adjustRightInd w:val="0"/>
        <w:snapToGrid w:val="0"/>
        <w:spacing w:line="440" w:lineRule="exact"/>
        <w:jc w:val="left"/>
        <w:rPr>
          <w:rFonts w:ascii="仿宋_GB2312" w:hAnsi="仿宋" w:eastAsia="仿宋_GB2312" w:cstheme="minorBidi"/>
          <w:sz w:val="24"/>
        </w:rPr>
      </w:pPr>
      <w:r>
        <w:rPr>
          <w:rFonts w:hint="eastAsia" w:ascii="仿宋_GB2312" w:eastAsia="仿宋_GB2312"/>
          <w:sz w:val="24"/>
        </w:rPr>
        <w:t>六、一般公共预算财政拨款基本支出决算情况说明……………………………11</w:t>
      </w:r>
    </w:p>
    <w:p>
      <w:pPr>
        <w:adjustRightInd w:val="0"/>
        <w:snapToGrid w:val="0"/>
        <w:spacing w:line="440" w:lineRule="exact"/>
        <w:jc w:val="left"/>
        <w:rPr>
          <w:rFonts w:ascii="仿宋_GB2312" w:hAnsi="仿宋" w:eastAsia="仿宋_GB2312" w:cstheme="minorBidi"/>
          <w:sz w:val="24"/>
        </w:rPr>
      </w:pPr>
      <w:r>
        <w:rPr>
          <w:rFonts w:hint="eastAsia" w:ascii="仿宋_GB2312" w:eastAsia="仿宋_GB2312"/>
          <w:sz w:val="24"/>
        </w:rPr>
        <w:t>七、财政拨款“三公”经费支出决算情况说明…………………………………12</w:t>
      </w:r>
    </w:p>
    <w:p>
      <w:pPr>
        <w:adjustRightInd w:val="0"/>
        <w:snapToGrid w:val="0"/>
        <w:spacing w:line="440" w:lineRule="exact"/>
        <w:jc w:val="left"/>
        <w:rPr>
          <w:rFonts w:ascii="仿宋_GB2312" w:hAnsi="仿宋" w:eastAsia="仿宋_GB2312" w:cstheme="minorBidi"/>
          <w:sz w:val="24"/>
        </w:rPr>
      </w:pPr>
      <w:r>
        <w:rPr>
          <w:rFonts w:hint="eastAsia" w:ascii="仿宋_GB2312" w:eastAsia="仿宋_GB2312"/>
          <w:sz w:val="24"/>
        </w:rPr>
        <w:t>八、政府性基金预算支出决算情况说明…………………………………………14</w:t>
      </w:r>
    </w:p>
    <w:p>
      <w:pPr>
        <w:adjustRightInd w:val="0"/>
        <w:snapToGrid w:val="0"/>
        <w:spacing w:line="440" w:lineRule="exact"/>
        <w:jc w:val="left"/>
        <w:rPr>
          <w:rFonts w:ascii="仿宋_GB2312" w:eastAsia="仿宋_GB2312" w:hAnsiTheme="minorEastAsia" w:cstheme="minorEastAsia"/>
          <w:sz w:val="24"/>
        </w:rPr>
      </w:pPr>
      <w:r>
        <w:rPr>
          <w:rFonts w:hint="eastAsia" w:ascii="仿宋_GB2312" w:eastAsia="仿宋_GB2312" w:hAnsiTheme="minorEastAsia" w:cstheme="minorEastAsia"/>
          <w:sz w:val="24"/>
        </w:rPr>
        <w:t>九、国有资本经营预算支出决算情况说明………………………………………14</w:t>
      </w:r>
    </w:p>
    <w:p>
      <w:pPr>
        <w:adjustRightInd w:val="0"/>
        <w:snapToGrid w:val="0"/>
        <w:spacing w:line="440" w:lineRule="exact"/>
        <w:jc w:val="left"/>
        <w:rPr>
          <w:rFonts w:ascii="仿宋_GB2312" w:eastAsia="仿宋_GB2312" w:hAnsiTheme="minorEastAsia" w:cstheme="minorEastAsia"/>
          <w:sz w:val="24"/>
        </w:rPr>
      </w:pPr>
      <w:r>
        <w:rPr>
          <w:rStyle w:val="27"/>
          <w:rFonts w:hint="eastAsia" w:hAnsiTheme="minorEastAsia" w:cstheme="minorEastAsia"/>
        </w:rPr>
        <w:t>十、</w:t>
      </w:r>
      <w:r>
        <w:rPr>
          <w:rFonts w:hint="eastAsia" w:ascii="仿宋_GB2312" w:eastAsia="仿宋_GB2312" w:hAnsiTheme="minorEastAsia" w:cstheme="minorEastAsia"/>
          <w:sz w:val="24"/>
        </w:rPr>
        <w:t>其他重要事项的情况说明……………………………………………………14</w:t>
      </w:r>
    </w:p>
    <w:p>
      <w:pPr>
        <w:adjustRightInd w:val="0"/>
        <w:snapToGrid w:val="0"/>
        <w:spacing w:line="440" w:lineRule="exact"/>
        <w:jc w:val="left"/>
        <w:rPr>
          <w:rFonts w:ascii="仿宋_GB2312" w:eastAsia="仿宋_GB2312" w:cstheme="minorBidi"/>
          <w:sz w:val="24"/>
        </w:rPr>
      </w:pPr>
      <w:r>
        <w:rPr>
          <w:rFonts w:hint="eastAsia" w:ascii="仿宋_GB2312" w:eastAsia="仿宋_GB2312"/>
          <w:sz w:val="24"/>
        </w:rPr>
        <w:t>第三部分名词解释…………………………………………………………………16</w:t>
      </w:r>
    </w:p>
    <w:p>
      <w:pPr>
        <w:adjustRightInd w:val="0"/>
        <w:snapToGrid w:val="0"/>
        <w:spacing w:line="440" w:lineRule="exact"/>
        <w:jc w:val="left"/>
        <w:rPr>
          <w:rFonts w:ascii="仿宋_GB2312" w:eastAsia="仿宋_GB2312" w:cstheme="minorBidi"/>
          <w:sz w:val="24"/>
        </w:rPr>
      </w:pPr>
      <w:r>
        <w:rPr>
          <w:rFonts w:hint="eastAsia" w:ascii="仿宋_GB2312" w:eastAsia="仿宋_GB2312"/>
          <w:sz w:val="24"/>
        </w:rPr>
        <w:t>第四部分附件………………………………………………………………………20</w:t>
      </w:r>
    </w:p>
    <w:p>
      <w:pPr>
        <w:adjustRightInd w:val="0"/>
        <w:snapToGrid w:val="0"/>
        <w:spacing w:line="440" w:lineRule="exact"/>
        <w:jc w:val="left"/>
        <w:rPr>
          <w:rFonts w:ascii="仿宋_GB2312" w:eastAsia="仿宋_GB2312" w:cstheme="minorBidi"/>
          <w:sz w:val="24"/>
        </w:rPr>
      </w:pPr>
      <w:r>
        <w:rPr>
          <w:rFonts w:hint="eastAsia" w:ascii="仿宋_GB2312" w:eastAsia="仿宋_GB2312"/>
          <w:sz w:val="24"/>
        </w:rPr>
        <w:t>第五部分附表………………………………………………………………………51</w:t>
      </w:r>
    </w:p>
    <w:p>
      <w:pPr>
        <w:adjustRightInd w:val="0"/>
        <w:snapToGrid w:val="0"/>
        <w:spacing w:line="440" w:lineRule="exact"/>
        <w:jc w:val="left"/>
        <w:rPr>
          <w:rFonts w:ascii="仿宋_GB2312" w:eastAsia="仿宋_GB2312"/>
          <w:sz w:val="24"/>
        </w:rPr>
      </w:pPr>
      <w:r>
        <w:rPr>
          <w:rFonts w:hint="eastAsia" w:ascii="仿宋_GB2312" w:eastAsia="仿宋_GB2312"/>
          <w:sz w:val="24"/>
        </w:rPr>
        <w:t>一、收入支出决算总表……………………………………………………………51</w:t>
      </w:r>
    </w:p>
    <w:p>
      <w:pPr>
        <w:adjustRightInd w:val="0"/>
        <w:snapToGrid w:val="0"/>
        <w:spacing w:line="440" w:lineRule="exact"/>
        <w:jc w:val="left"/>
        <w:rPr>
          <w:rFonts w:ascii="仿宋_GB2312" w:eastAsia="仿宋_GB2312"/>
          <w:sz w:val="24"/>
        </w:rPr>
      </w:pPr>
      <w:r>
        <w:rPr>
          <w:rFonts w:hint="eastAsia" w:ascii="仿宋_GB2312" w:eastAsia="仿宋_GB2312"/>
          <w:sz w:val="24"/>
        </w:rPr>
        <w:t>二、收入决算表……………………………………………………………………52</w:t>
      </w:r>
    </w:p>
    <w:p>
      <w:pPr>
        <w:adjustRightInd w:val="0"/>
        <w:snapToGrid w:val="0"/>
        <w:spacing w:line="440" w:lineRule="exact"/>
        <w:jc w:val="left"/>
        <w:rPr>
          <w:rFonts w:ascii="仿宋_GB2312" w:eastAsia="仿宋_GB2312"/>
          <w:sz w:val="24"/>
        </w:rPr>
      </w:pPr>
      <w:r>
        <w:rPr>
          <w:rFonts w:hint="eastAsia" w:ascii="仿宋_GB2312" w:eastAsia="仿宋_GB2312"/>
          <w:sz w:val="24"/>
        </w:rPr>
        <w:t>三、支出决算表……………………………………………………………………53</w:t>
      </w:r>
    </w:p>
    <w:p>
      <w:pPr>
        <w:adjustRightInd w:val="0"/>
        <w:snapToGrid w:val="0"/>
        <w:spacing w:line="440" w:lineRule="exact"/>
        <w:jc w:val="left"/>
        <w:rPr>
          <w:rFonts w:ascii="仿宋_GB2312" w:eastAsia="仿宋_GB2312"/>
          <w:sz w:val="24"/>
        </w:rPr>
      </w:pPr>
      <w:r>
        <w:rPr>
          <w:rFonts w:hint="eastAsia" w:ascii="仿宋_GB2312" w:eastAsia="仿宋_GB2312"/>
          <w:sz w:val="24"/>
        </w:rPr>
        <w:t>四、财政拨款收入支出决算总表…………………………………………………54</w:t>
      </w:r>
    </w:p>
    <w:p>
      <w:pPr>
        <w:adjustRightInd w:val="0"/>
        <w:snapToGrid w:val="0"/>
        <w:spacing w:line="440" w:lineRule="exact"/>
        <w:jc w:val="left"/>
        <w:rPr>
          <w:rFonts w:ascii="仿宋_GB2312" w:eastAsia="仿宋_GB2312"/>
          <w:sz w:val="24"/>
        </w:rPr>
      </w:pPr>
      <w:r>
        <w:rPr>
          <w:rFonts w:hint="eastAsia" w:ascii="仿宋_GB2312" w:eastAsia="仿宋_GB2312"/>
          <w:sz w:val="24"/>
        </w:rPr>
        <w:t>五、财政拨款支出决算明细表……………………………………………………55</w:t>
      </w:r>
    </w:p>
    <w:p>
      <w:pPr>
        <w:adjustRightInd w:val="0"/>
        <w:snapToGrid w:val="0"/>
        <w:spacing w:line="440" w:lineRule="exact"/>
        <w:jc w:val="left"/>
        <w:rPr>
          <w:rFonts w:ascii="仿宋_GB2312" w:eastAsia="仿宋_GB2312"/>
          <w:sz w:val="24"/>
        </w:rPr>
      </w:pPr>
      <w:r>
        <w:rPr>
          <w:rFonts w:hint="eastAsia" w:ascii="仿宋_GB2312" w:eastAsia="仿宋_GB2312"/>
          <w:sz w:val="24"/>
        </w:rPr>
        <w:t>六、一般公共预算财政拨款支出决算表…………………………………………56</w:t>
      </w:r>
    </w:p>
    <w:p>
      <w:pPr>
        <w:adjustRightInd w:val="0"/>
        <w:snapToGrid w:val="0"/>
        <w:spacing w:line="440" w:lineRule="exact"/>
        <w:jc w:val="left"/>
        <w:rPr>
          <w:rFonts w:ascii="仿宋_GB2312" w:eastAsia="仿宋_GB2312"/>
          <w:sz w:val="24"/>
        </w:rPr>
      </w:pPr>
      <w:r>
        <w:rPr>
          <w:rFonts w:hint="eastAsia" w:ascii="仿宋_GB2312" w:eastAsia="仿宋_GB2312"/>
          <w:sz w:val="24"/>
        </w:rPr>
        <w:t>七、一般公共预算财政拨款支出决算明细表……………………………………57</w:t>
      </w:r>
    </w:p>
    <w:p>
      <w:pPr>
        <w:adjustRightInd w:val="0"/>
        <w:snapToGrid w:val="0"/>
        <w:spacing w:line="440" w:lineRule="exact"/>
        <w:jc w:val="left"/>
        <w:rPr>
          <w:rFonts w:ascii="仿宋_GB2312" w:eastAsia="仿宋_GB2312"/>
          <w:sz w:val="24"/>
        </w:rPr>
      </w:pPr>
      <w:r>
        <w:rPr>
          <w:rFonts w:hint="eastAsia" w:ascii="仿宋_GB2312" w:eastAsia="仿宋_GB2312"/>
          <w:sz w:val="24"/>
        </w:rPr>
        <w:t>八、一般公共预算财政拨款基本支出决算明细表………………………………58</w:t>
      </w:r>
    </w:p>
    <w:p>
      <w:pPr>
        <w:adjustRightInd w:val="0"/>
        <w:snapToGrid w:val="0"/>
        <w:spacing w:line="440" w:lineRule="exact"/>
        <w:jc w:val="left"/>
        <w:rPr>
          <w:rFonts w:ascii="仿宋_GB2312" w:eastAsia="仿宋_GB2312"/>
          <w:sz w:val="24"/>
        </w:rPr>
      </w:pPr>
      <w:r>
        <w:rPr>
          <w:rFonts w:hint="eastAsia" w:ascii="仿宋_GB2312" w:eastAsia="仿宋_GB2312"/>
          <w:sz w:val="24"/>
        </w:rPr>
        <w:t>九、一般公共预算财政拨款项目支出决算表……………………………………59</w:t>
      </w:r>
    </w:p>
    <w:p>
      <w:pPr>
        <w:adjustRightInd w:val="0"/>
        <w:snapToGrid w:val="0"/>
        <w:spacing w:line="440" w:lineRule="exact"/>
        <w:jc w:val="left"/>
        <w:rPr>
          <w:rFonts w:ascii="仿宋_GB2312" w:eastAsia="仿宋_GB2312"/>
          <w:sz w:val="24"/>
        </w:rPr>
      </w:pPr>
      <w:r>
        <w:rPr>
          <w:rFonts w:hint="eastAsia" w:ascii="仿宋_GB2312" w:eastAsia="仿宋_GB2312"/>
          <w:sz w:val="24"/>
        </w:rPr>
        <w:t>十、政府性基金预算财政拨款收入支出决算表…………………………………60</w:t>
      </w:r>
    </w:p>
    <w:p>
      <w:pPr>
        <w:adjustRightInd w:val="0"/>
        <w:snapToGrid w:val="0"/>
        <w:spacing w:line="440" w:lineRule="exact"/>
        <w:jc w:val="left"/>
        <w:rPr>
          <w:rFonts w:ascii="仿宋_GB2312" w:eastAsia="仿宋_GB2312"/>
          <w:sz w:val="24"/>
        </w:rPr>
      </w:pPr>
      <w:r>
        <w:rPr>
          <w:rFonts w:hint="eastAsia" w:ascii="仿宋_GB2312" w:eastAsia="仿宋_GB2312"/>
          <w:sz w:val="24"/>
        </w:rPr>
        <w:t>十一、国有资本经营预算财政拨款收入支出决算表…………………………….61</w:t>
      </w:r>
    </w:p>
    <w:p>
      <w:pPr>
        <w:adjustRightInd w:val="0"/>
        <w:snapToGrid w:val="0"/>
        <w:spacing w:line="440" w:lineRule="exact"/>
        <w:jc w:val="left"/>
        <w:rPr>
          <w:rFonts w:ascii="仿宋_GB2312" w:eastAsia="仿宋_GB2312"/>
          <w:sz w:val="24"/>
        </w:rPr>
      </w:pPr>
      <w:r>
        <w:rPr>
          <w:rFonts w:hint="eastAsia" w:ascii="仿宋_GB2312" w:eastAsia="仿宋_GB2312"/>
          <w:sz w:val="24"/>
        </w:rPr>
        <w:t>十二、国有资本经营预算财政拨款支出决算表………………………………….62</w:t>
      </w:r>
    </w:p>
    <w:p>
      <w:pPr>
        <w:adjustRightInd w:val="0"/>
        <w:snapToGrid w:val="0"/>
        <w:spacing w:line="440" w:lineRule="exact"/>
        <w:jc w:val="left"/>
        <w:rPr>
          <w:rFonts w:ascii="仿宋_GB2312" w:eastAsia="仿宋_GB2312" w:hAnsiTheme="minorEastAsia" w:cstheme="minorEastAsia"/>
          <w:sz w:val="24"/>
        </w:rPr>
      </w:pPr>
      <w:r>
        <w:rPr>
          <w:rFonts w:hint="eastAsia" w:ascii="仿宋_GB2312" w:eastAsia="仿宋_GB2312"/>
          <w:sz w:val="24"/>
        </w:rPr>
        <w:t>十三、财政拨款“三公”经费支出决算表……………………………………….63</w:t>
      </w:r>
    </w:p>
    <w:p>
      <w:pPr>
        <w:widowControl/>
        <w:adjustRightInd w:val="0"/>
        <w:snapToGrid w:val="0"/>
        <w:spacing w:line="440" w:lineRule="exact"/>
        <w:ind w:firstLine="1320" w:firstLineChars="550"/>
        <w:jc w:val="left"/>
        <w:rPr>
          <w:rFonts w:ascii="仿宋_GB2312" w:hAnsi="仿宋" w:eastAsia="仿宋_GB2312"/>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Fonts w:ascii="方正小标宋简体" w:hAnsi="黑体" w:eastAsia="方正小标宋简体"/>
          <w:b w:val="0"/>
        </w:rPr>
      </w:pPr>
      <w:r>
        <w:rPr>
          <w:rFonts w:hint="eastAsia" w:ascii="方正小标宋简体" w:hAnsi="黑体" w:eastAsia="方正小标宋简体"/>
          <w:b w:val="0"/>
        </w:rPr>
        <w:t>第一部分 部门概况</w:t>
      </w:r>
      <w:bookmarkEnd w:id="12"/>
      <w:bookmarkEnd w:id="13"/>
    </w:p>
    <w:p>
      <w:pPr>
        <w:pStyle w:val="4"/>
        <w:spacing w:before="0" w:after="0" w:line="560" w:lineRule="exact"/>
        <w:ind w:firstLine="640" w:firstLineChars="200"/>
        <w:rPr>
          <w:rFonts w:ascii="黑体" w:hAnsi="黑体" w:eastAsia="黑体"/>
          <w:b w:val="0"/>
        </w:rPr>
      </w:pPr>
      <w:bookmarkStart w:id="14" w:name="_Toc15396600"/>
      <w:bookmarkStart w:id="15" w:name="_Toc15377197"/>
      <w:r>
        <w:rPr>
          <w:rFonts w:hint="eastAsia" w:ascii="黑体" w:hAnsi="黑体" w:eastAsia="黑体"/>
          <w:b w:val="0"/>
        </w:rPr>
        <w:t>一、</w:t>
      </w:r>
      <w:bookmarkEnd w:id="14"/>
      <w:bookmarkEnd w:id="15"/>
      <w:r>
        <w:rPr>
          <w:rFonts w:hint="eastAsia" w:ascii="黑体" w:hAnsi="黑体" w:eastAsia="黑体"/>
          <w:b w:val="0"/>
        </w:rPr>
        <w:t>部门职责</w:t>
      </w:r>
    </w:p>
    <w:p>
      <w:pPr>
        <w:pStyle w:val="4"/>
        <w:spacing w:before="0" w:after="0" w:line="560" w:lineRule="exact"/>
        <w:ind w:firstLine="640" w:firstLineChars="200"/>
        <w:rPr>
          <w:rFonts w:ascii="仿宋_GB2312" w:hAnsi="仿宋" w:eastAsia="仿宋_GB2312"/>
          <w:b w:val="0"/>
        </w:rPr>
      </w:pPr>
      <w:r>
        <w:rPr>
          <w:rFonts w:hint="eastAsia" w:ascii="仿宋_GB2312" w:hAnsi="仿宋" w:eastAsia="仿宋_GB2312" w:cs="Times New Roman"/>
          <w:b w:val="0"/>
        </w:rPr>
        <w:t>盐边钒钛产业开发区管理委员会为县政府派出机构，根据县政府授权，统一领导和管理园区经济发展工作，主要职责</w:t>
      </w:r>
      <w:r>
        <w:rPr>
          <w:rFonts w:hint="eastAsia" w:ascii="仿宋_GB2312" w:hAnsi="仿宋" w:eastAsia="仿宋_GB2312"/>
          <w:b w:val="0"/>
        </w:rPr>
        <w:t>：</w:t>
      </w:r>
    </w:p>
    <w:p>
      <w:pPr>
        <w:pStyle w:val="4"/>
        <w:spacing w:before="0" w:after="0" w:line="560" w:lineRule="exact"/>
        <w:ind w:firstLine="640" w:firstLineChars="200"/>
        <w:rPr>
          <w:rFonts w:ascii="仿宋_GB2312" w:hAnsi="仿宋" w:eastAsia="仿宋_GB2312"/>
          <w:b w:val="0"/>
        </w:rPr>
      </w:pPr>
      <w:r>
        <w:rPr>
          <w:rFonts w:hint="eastAsia" w:ascii="仿宋_GB2312" w:hAnsi="仿宋" w:eastAsia="仿宋_GB2312"/>
          <w:b w:val="0"/>
        </w:rPr>
        <w:t>（一）负责机关和所属事业单位财政预算、决算的编制和管理工作；负责组织协调税收、非税收入征管和税收政策的落实工作；负责项目纪检监察、审计等工作；负责劳动服务和劳动纠纷调剂等工作；负责党建、意识形态、党风廉政建设、精神文明建设、群团、统一战线等相关工作。</w:t>
      </w:r>
    </w:p>
    <w:p>
      <w:pPr>
        <w:pStyle w:val="2"/>
        <w:spacing w:before="93" w:line="560" w:lineRule="exact"/>
        <w:ind w:firstLine="600"/>
        <w:rPr>
          <w:rFonts w:hAnsi="仿宋"/>
          <w:sz w:val="32"/>
          <w:szCs w:val="32"/>
        </w:rPr>
      </w:pPr>
      <w:r>
        <w:rPr>
          <w:rFonts w:hint="eastAsia" w:hAnsi="仿宋"/>
          <w:sz w:val="32"/>
          <w:szCs w:val="32"/>
        </w:rPr>
        <w:t>（二）负责项目建设的方案、初步设计、施工图设计、概算及预结算管理；负责管理区域内自然资源综合开发利用和国土空间生态修复，组织实施最严格的耕地保护制度；负责地质灾害防治及矿产资源管理等工作；负责宣传贯彻落实国家、省、市征地拆迁安置补偿法律、法规和相关政策；负责园林绿化、市政基础设施管护。</w:t>
      </w:r>
    </w:p>
    <w:p>
      <w:pPr>
        <w:pStyle w:val="2"/>
        <w:spacing w:before="93" w:line="560" w:lineRule="exact"/>
        <w:ind w:firstLine="600"/>
        <w:rPr>
          <w:rFonts w:hAnsi="仿宋"/>
          <w:sz w:val="32"/>
          <w:szCs w:val="32"/>
        </w:rPr>
      </w:pPr>
      <w:r>
        <w:rPr>
          <w:rFonts w:hint="eastAsia" w:hAnsi="仿宋"/>
          <w:sz w:val="32"/>
          <w:szCs w:val="32"/>
        </w:rPr>
        <w:t>（三）负责建设项目的统筹管理，负责建设手续办理的“一站式”服务工作；负责编制开发区产业项目征地拆迁工作计划、实施方案和资金计划；负责产业项目的协调服务、推进等工作；负责开发区营商环境和社会信用体系建设；负责经济管理、固定资产投资等相关工作。</w:t>
      </w:r>
    </w:p>
    <w:p>
      <w:pPr>
        <w:pStyle w:val="2"/>
        <w:spacing w:before="93" w:line="560" w:lineRule="exact"/>
        <w:ind w:firstLine="600"/>
        <w:rPr>
          <w:rFonts w:hAnsi="仿宋"/>
          <w:sz w:val="32"/>
          <w:szCs w:val="32"/>
        </w:rPr>
      </w:pPr>
      <w:r>
        <w:rPr>
          <w:rFonts w:hint="eastAsia" w:hAnsi="仿宋"/>
          <w:sz w:val="32"/>
          <w:szCs w:val="32"/>
        </w:rPr>
        <w:t>（四）负责安全生产（含危险化学品安全）的综合监督管理、配合做好职业健康工作；负责环境保护法律法规政策宣传，指导辖区内企业事业单位落实环境保护法律法规和政策措施；负责辖区内环境隐患的排查和治理，实施网格化管理。</w:t>
      </w:r>
      <w:bookmarkStart w:id="16" w:name="_Toc15396601"/>
      <w:bookmarkStart w:id="17" w:name="_Toc15377200"/>
    </w:p>
    <w:p>
      <w:pPr>
        <w:pStyle w:val="2"/>
        <w:spacing w:before="93" w:line="560" w:lineRule="exact"/>
        <w:ind w:firstLine="600"/>
        <w:rPr>
          <w:rFonts w:ascii="黑体" w:hAnsi="黑体" w:eastAsia="黑体"/>
          <w:sz w:val="32"/>
          <w:szCs w:val="32"/>
        </w:rPr>
      </w:pPr>
      <w:r>
        <w:rPr>
          <w:rFonts w:hint="eastAsia" w:ascii="黑体" w:hAnsi="黑体" w:eastAsia="黑体"/>
          <w:sz w:val="32"/>
          <w:szCs w:val="32"/>
        </w:rPr>
        <w:t>二、机构设置</w:t>
      </w:r>
      <w:bookmarkEnd w:id="16"/>
      <w:bookmarkEnd w:id="17"/>
    </w:p>
    <w:p>
      <w:pPr>
        <w:pStyle w:val="2"/>
        <w:spacing w:before="93" w:line="560" w:lineRule="exact"/>
        <w:ind w:firstLine="600"/>
        <w:rPr>
          <w:rFonts w:hAnsi="仿宋"/>
          <w:sz w:val="32"/>
          <w:szCs w:val="32"/>
        </w:rPr>
      </w:pPr>
      <w:r>
        <w:rPr>
          <w:rFonts w:hint="eastAsia" w:hAnsi="仿宋"/>
          <w:sz w:val="32"/>
          <w:szCs w:val="32"/>
        </w:rPr>
        <w:t>盐边钒钛产业开发区管理委员会下属二级预算单位0个，其中行政单位0个，参照公务员法管理的事业单位0个，其他事业单位0个。</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盐边钒钛产业开发区党工委（管委会）设综合办公室、自然资源和建设局、经济运行和政务服务局、应急管理局等4个内设机构。下属事业单位盐边钒钛产业开发区服务中心内设招商引资股、用地协调股、产前服务股。</w:t>
      </w:r>
      <w:bookmarkStart w:id="18" w:name="_Toc15377204"/>
      <w:bookmarkStart w:id="19" w:name="_Toc15396602"/>
    </w:p>
    <w:p>
      <w:pPr>
        <w:pStyle w:val="2"/>
        <w:spacing w:before="93"/>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黑体" w:hAnsi="黑体" w:eastAsia="黑体"/>
          <w:sz w:val="44"/>
          <w:szCs w:val="44"/>
        </w:rPr>
      </w:pPr>
    </w:p>
    <w:p>
      <w:pPr>
        <w:snapToGrid w:val="0"/>
        <w:spacing w:line="560" w:lineRule="exact"/>
        <w:ind w:firstLine="880" w:firstLineChars="200"/>
        <w:rPr>
          <w:rFonts w:ascii="方正小标宋简体" w:hAnsi="黑体" w:eastAsia="方正小标宋简体"/>
          <w:bCs/>
          <w:sz w:val="44"/>
          <w:szCs w:val="44"/>
        </w:rPr>
      </w:pPr>
      <w:r>
        <w:rPr>
          <w:rFonts w:hint="eastAsia" w:ascii="方正小标宋简体" w:hAnsi="黑体" w:eastAsia="方正小标宋简体"/>
          <w:sz w:val="44"/>
          <w:szCs w:val="44"/>
        </w:rPr>
        <w:t>第二部分 2022年度部门决算情况说明</w:t>
      </w:r>
      <w:bookmarkEnd w:id="18"/>
      <w:bookmarkEnd w:id="19"/>
    </w:p>
    <w:p>
      <w:pPr>
        <w:spacing w:line="560" w:lineRule="exact"/>
        <w:rPr>
          <w:rFonts w:ascii="黑体" w:hAnsi="黑体" w:eastAsia="黑体"/>
        </w:rPr>
      </w:pPr>
    </w:p>
    <w:p>
      <w:pPr>
        <w:spacing w:line="560" w:lineRule="exact"/>
        <w:ind w:left="640"/>
        <w:outlineLvl w:val="1"/>
        <w:rPr>
          <w:rFonts w:ascii="黑体" w:hAnsi="黑体" w:eastAsia="黑体"/>
          <w:sz w:val="32"/>
          <w:szCs w:val="32"/>
        </w:rPr>
      </w:pPr>
      <w:bookmarkStart w:id="20" w:name="_Toc15396603"/>
      <w:bookmarkStart w:id="21" w:name="_Toc15377205"/>
      <w:r>
        <w:rPr>
          <w:rFonts w:hint="eastAsia" w:ascii="黑体" w:hAnsi="黑体" w:eastAsia="黑体"/>
          <w:sz w:val="32"/>
          <w:szCs w:val="32"/>
        </w:rPr>
        <w:t xml:space="preserve"> 一、收入支出决算总体情况说明</w:t>
      </w:r>
      <w:bookmarkEnd w:id="20"/>
      <w:bookmarkEnd w:id="21"/>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2022年度收入总计19723.28万元。与2021年相比，收入总计增加9130.22万元，增长86%。主要变动原因是增加了钛材加工园基础设施建设项目二期建设工程款。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2022年度支出总计19723.28万元，与2021年相比，支出总计增加8640.03万元，增长78%。主要变动原因是增加了钛材加工园基础设施建设项目二期建设工程款。</w:t>
      </w:r>
    </w:p>
    <w:p>
      <w:pPr>
        <w:pStyle w:val="2"/>
        <w:spacing w:before="93" w:line="560" w:lineRule="exact"/>
        <w:ind w:firstLine="600" w:firstLineChars="200"/>
      </w:pPr>
    </w:p>
    <w:p>
      <w:pPr>
        <w:pStyle w:val="2"/>
        <w:spacing w:before="93" w:line="560" w:lineRule="exact"/>
      </w:pPr>
    </w:p>
    <w:p>
      <w:pPr>
        <w:spacing w:line="560" w:lineRule="exact"/>
        <w:outlineLvl w:val="1"/>
        <w:rPr>
          <w:rFonts w:ascii="黑体" w:hAnsi="黑体" w:eastAsia="黑体"/>
          <w:kern w:val="0"/>
          <w:sz w:val="30"/>
        </w:rPr>
      </w:pPr>
      <w:bookmarkStart w:id="22" w:name="_Toc15377206"/>
      <w:bookmarkStart w:id="23" w:name="_Toc15396604"/>
    </w:p>
    <w:p>
      <w:pPr>
        <w:spacing w:line="560" w:lineRule="exact"/>
        <w:outlineLvl w:val="1"/>
        <w:rPr>
          <w:rFonts w:ascii="黑体" w:hAnsi="黑体" w:eastAsia="黑体"/>
          <w:kern w:val="0"/>
          <w:sz w:val="30"/>
        </w:rPr>
      </w:pPr>
      <w:r>
        <w:rPr>
          <w:rFonts w:hint="eastAsia" w:ascii="黑体" w:hAnsi="黑体" w:eastAsia="黑体"/>
          <w:kern w:val="0"/>
          <w:sz w:val="30"/>
        </w:rPr>
        <w:t xml:space="preserve">     </w:t>
      </w:r>
    </w:p>
    <w:p>
      <w:pPr>
        <w:spacing w:line="560" w:lineRule="exact"/>
        <w:outlineLvl w:val="1"/>
        <w:rPr>
          <w:rFonts w:ascii="黑体" w:hAnsi="黑体" w:eastAsia="黑体"/>
          <w:kern w:val="0"/>
          <w:sz w:val="30"/>
        </w:rPr>
      </w:pPr>
    </w:p>
    <w:p>
      <w:pPr>
        <w:spacing w:line="560" w:lineRule="exact"/>
        <w:outlineLvl w:val="1"/>
        <w:rPr>
          <w:rFonts w:ascii="黑体" w:hAnsi="黑体" w:eastAsia="黑体"/>
          <w:kern w:val="0"/>
          <w:sz w:val="30"/>
        </w:rPr>
      </w:pPr>
    </w:p>
    <w:p>
      <w:pPr>
        <w:spacing w:line="560" w:lineRule="exact"/>
        <w:outlineLvl w:val="1"/>
        <w:rPr>
          <w:rFonts w:ascii="黑体" w:hAnsi="黑体" w:eastAsia="黑体"/>
          <w:kern w:val="0"/>
          <w:sz w:val="30"/>
        </w:rPr>
      </w:pPr>
      <w:r>
        <w:drawing>
          <wp:inline distT="0" distB="0" distL="0" distR="0">
            <wp:extent cx="5274310" cy="1813560"/>
            <wp:effectExtent l="19050" t="0" r="21590" b="0"/>
            <wp:docPr id="1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560" w:lineRule="exact"/>
        <w:outlineLvl w:val="1"/>
        <w:rPr>
          <w:rFonts w:ascii="黑体" w:hAnsi="黑体" w:eastAsia="黑体"/>
          <w:kern w:val="0"/>
          <w:sz w:val="30"/>
        </w:rPr>
      </w:pPr>
    </w:p>
    <w:p>
      <w:pPr>
        <w:spacing w:line="560" w:lineRule="exact"/>
        <w:outlineLvl w:val="1"/>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二</w:t>
      </w:r>
      <w:r>
        <w:rPr>
          <w:rFonts w:hint="eastAsia" w:ascii="黑体" w:hAnsi="黑体" w:eastAsia="黑体"/>
          <w:sz w:val="32"/>
          <w:szCs w:val="32"/>
        </w:rPr>
        <w:t>、收入决算情况说明</w:t>
      </w:r>
      <w:bookmarkEnd w:id="22"/>
      <w:bookmarkEnd w:id="23"/>
    </w:p>
    <w:p>
      <w:pPr>
        <w:spacing w:line="56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2022年本年收入合计19723.28万元，其中：一般公共预算财政拨款收入</w:t>
      </w:r>
      <w:r>
        <w:rPr>
          <w:rFonts w:hint="eastAsia" w:ascii="仿宋_GB2312" w:hAnsi="仿宋" w:eastAsia="仿宋_GB2312" w:cs="仿宋_GB2312"/>
          <w:color w:val="000000"/>
          <w:sz w:val="32"/>
          <w:szCs w:val="32"/>
          <w:lang w:val="zh-CN"/>
        </w:rPr>
        <w:t>924.65</w:t>
      </w:r>
      <w:r>
        <w:rPr>
          <w:rFonts w:hint="eastAsia" w:ascii="仿宋_GB2312" w:hAnsi="仿宋" w:eastAsia="仿宋_GB2312"/>
          <w:sz w:val="32"/>
          <w:szCs w:val="32"/>
        </w:rPr>
        <w:t>万元，占</w:t>
      </w:r>
      <w:r>
        <w:rPr>
          <w:rFonts w:hint="eastAsia" w:ascii="仿宋_GB2312" w:hAnsi="仿宋" w:eastAsia="仿宋_GB2312" w:cs="仿宋_GB2312"/>
          <w:color w:val="000000"/>
          <w:sz w:val="32"/>
          <w:szCs w:val="32"/>
          <w:lang w:val="zh-CN"/>
        </w:rPr>
        <w:t>4.7</w:t>
      </w:r>
      <w:r>
        <w:rPr>
          <w:rFonts w:hint="eastAsia" w:ascii="仿宋_GB2312" w:hAnsi="仿宋" w:eastAsia="仿宋_GB2312"/>
          <w:sz w:val="32"/>
          <w:szCs w:val="32"/>
        </w:rPr>
        <w:t>%；政府性基金预算财政拨款收入</w:t>
      </w:r>
      <w:r>
        <w:rPr>
          <w:rFonts w:hint="eastAsia" w:ascii="仿宋_GB2312" w:hAnsi="仿宋" w:eastAsia="仿宋_GB2312" w:cs="仿宋_GB2312"/>
          <w:color w:val="000000"/>
          <w:sz w:val="32"/>
          <w:szCs w:val="32"/>
          <w:lang w:val="zh-CN"/>
        </w:rPr>
        <w:t>18,798.63</w:t>
      </w:r>
      <w:r>
        <w:rPr>
          <w:rFonts w:hint="eastAsia" w:ascii="仿宋_GB2312" w:hAnsi="仿宋" w:eastAsia="仿宋_GB2312"/>
          <w:sz w:val="32"/>
          <w:szCs w:val="32"/>
        </w:rPr>
        <w:t>万元，占</w:t>
      </w:r>
      <w:r>
        <w:rPr>
          <w:rFonts w:hint="eastAsia" w:ascii="仿宋_GB2312" w:hAnsi="仿宋" w:eastAsia="仿宋_GB2312" w:cs="仿宋_GB2312"/>
          <w:color w:val="000000"/>
          <w:sz w:val="32"/>
          <w:szCs w:val="32"/>
          <w:lang w:val="zh-CN"/>
        </w:rPr>
        <w:t>95.3</w:t>
      </w:r>
      <w:r>
        <w:rPr>
          <w:rFonts w:hint="eastAsia" w:ascii="仿宋_GB2312" w:hAnsi="仿宋" w:eastAsia="仿宋_GB2312"/>
          <w:sz w:val="32"/>
          <w:szCs w:val="32"/>
        </w:rPr>
        <w:t>%；国有资本经营预算财政拨款收入0万元，占0%；上级补助收入0万元，占0%；事业收入0万元，占0%；经营收入0万元，占0%；附属单位上缴收入0万元，占0%；其他收入0万元，占0%。</w:t>
      </w:r>
    </w:p>
    <w:p>
      <w:pPr>
        <w:pStyle w:val="2"/>
        <w:spacing w:before="93"/>
      </w:pPr>
      <w:r>
        <w:drawing>
          <wp:inline distT="0" distB="0" distL="0" distR="0">
            <wp:extent cx="5274310" cy="271208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60" w:lineRule="exact"/>
        <w:ind w:left="720"/>
        <w:outlineLvl w:val="1"/>
        <w:rPr>
          <w:rFonts w:ascii="黑体" w:hAnsi="黑体" w:eastAsia="黑体"/>
          <w:sz w:val="32"/>
          <w:szCs w:val="32"/>
        </w:rPr>
      </w:pPr>
      <w:bookmarkStart w:id="24" w:name="_Toc15396605"/>
      <w:bookmarkStart w:id="25" w:name="_Toc15377207"/>
      <w:r>
        <w:rPr>
          <w:rFonts w:hint="eastAsia" w:ascii="黑体" w:hAnsi="黑体" w:eastAsia="黑体"/>
          <w:sz w:val="32"/>
          <w:szCs w:val="32"/>
        </w:rPr>
        <w:t>三、支出决算情况说明</w:t>
      </w:r>
      <w:bookmarkEnd w:id="24"/>
      <w:bookmarkEnd w:id="25"/>
    </w:p>
    <w:p>
      <w:pPr>
        <w:spacing w:line="56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2022年本年支出合计</w:t>
      </w:r>
      <w:r>
        <w:rPr>
          <w:rFonts w:hint="eastAsia" w:ascii="仿宋_GB2312" w:hAnsi="仿宋" w:eastAsia="仿宋_GB2312" w:cs="仿宋_GB2312"/>
          <w:color w:val="000000"/>
          <w:sz w:val="32"/>
          <w:szCs w:val="32"/>
          <w:lang w:val="zh-CN"/>
        </w:rPr>
        <w:t>19,723.28</w:t>
      </w:r>
      <w:r>
        <w:rPr>
          <w:rFonts w:hint="eastAsia" w:ascii="仿宋_GB2312" w:hAnsi="仿宋" w:eastAsia="仿宋_GB2312"/>
          <w:sz w:val="32"/>
          <w:szCs w:val="32"/>
        </w:rPr>
        <w:t>万元，其中：基本支出</w:t>
      </w:r>
      <w:r>
        <w:rPr>
          <w:rFonts w:hint="eastAsia" w:ascii="仿宋_GB2312" w:hAnsi="仿宋" w:eastAsia="仿宋_GB2312" w:cs="仿宋_GB2312"/>
          <w:color w:val="000000"/>
          <w:sz w:val="32"/>
          <w:szCs w:val="32"/>
          <w:lang w:val="zh-CN"/>
        </w:rPr>
        <w:t>490.73</w:t>
      </w:r>
      <w:r>
        <w:rPr>
          <w:rFonts w:hint="eastAsia" w:ascii="仿宋_GB2312" w:hAnsi="仿宋" w:eastAsia="仿宋_GB2312"/>
          <w:sz w:val="32"/>
          <w:szCs w:val="32"/>
        </w:rPr>
        <w:t>万元，占</w:t>
      </w:r>
      <w:r>
        <w:rPr>
          <w:rFonts w:hint="eastAsia" w:ascii="仿宋_GB2312" w:hAnsi="仿宋" w:eastAsia="仿宋_GB2312" w:cs="仿宋_GB2312"/>
          <w:color w:val="000000"/>
          <w:sz w:val="32"/>
          <w:szCs w:val="32"/>
          <w:lang w:val="zh-CN"/>
        </w:rPr>
        <w:t>2.5</w:t>
      </w:r>
      <w:r>
        <w:rPr>
          <w:rFonts w:hint="eastAsia" w:ascii="仿宋_GB2312" w:hAnsi="仿宋" w:eastAsia="仿宋_GB2312"/>
          <w:sz w:val="32"/>
          <w:szCs w:val="32"/>
        </w:rPr>
        <w:t>%；项目支出</w:t>
      </w:r>
      <w:r>
        <w:rPr>
          <w:rFonts w:hint="eastAsia" w:ascii="仿宋_GB2312" w:hAnsi="仿宋" w:eastAsia="仿宋_GB2312" w:cs="仿宋_GB2312"/>
          <w:color w:val="000000"/>
          <w:sz w:val="32"/>
          <w:szCs w:val="32"/>
          <w:lang w:val="zh-CN"/>
        </w:rPr>
        <w:t>19,232.55</w:t>
      </w:r>
      <w:r>
        <w:rPr>
          <w:rFonts w:hint="eastAsia" w:ascii="仿宋_GB2312" w:hAnsi="仿宋" w:eastAsia="仿宋_GB2312"/>
          <w:sz w:val="32"/>
          <w:szCs w:val="32"/>
        </w:rPr>
        <w:t>万元，占</w:t>
      </w:r>
      <w:r>
        <w:rPr>
          <w:rFonts w:hint="eastAsia" w:ascii="仿宋_GB2312" w:hAnsi="仿宋" w:eastAsia="仿宋_GB2312" w:cs="仿宋_GB2312"/>
          <w:color w:val="000000"/>
          <w:sz w:val="32"/>
          <w:szCs w:val="32"/>
          <w:lang w:val="zh-CN"/>
        </w:rPr>
        <w:t>97.5</w:t>
      </w:r>
      <w:r>
        <w:rPr>
          <w:rFonts w:hint="eastAsia" w:ascii="仿宋_GB2312" w:hAnsi="仿宋" w:eastAsia="仿宋_GB2312"/>
          <w:sz w:val="32"/>
          <w:szCs w:val="32"/>
        </w:rPr>
        <w:t>%；上缴上级支出0万元，占0%；经营支出0万元，占0%；对附属单位补助支出0万元，占0%。</w:t>
      </w:r>
    </w:p>
    <w:p>
      <w:pPr>
        <w:pStyle w:val="2"/>
        <w:spacing w:before="93"/>
      </w:pPr>
      <w:r>
        <w:drawing>
          <wp:inline distT="0" distB="0" distL="0" distR="0">
            <wp:extent cx="5274310" cy="265493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60" w:lineRule="exact"/>
        <w:ind w:firstLine="640" w:firstLineChars="200"/>
        <w:outlineLvl w:val="1"/>
        <w:rPr>
          <w:rFonts w:ascii="黑体" w:hAnsi="黑体" w:eastAsia="黑体"/>
        </w:rPr>
      </w:pPr>
      <w:bookmarkStart w:id="26" w:name="_Toc15396606"/>
      <w:bookmarkStart w:id="27" w:name="_Toc15377208"/>
      <w:r>
        <w:rPr>
          <w:rFonts w:hint="eastAsia" w:ascii="黑体" w:hAnsi="黑体" w:eastAsia="黑体"/>
          <w:sz w:val="32"/>
          <w:szCs w:val="32"/>
        </w:rPr>
        <w:t>四、财政拨款收入支出决算总体情况说明</w:t>
      </w:r>
      <w:bookmarkEnd w:id="26"/>
      <w:bookmarkEnd w:id="27"/>
    </w:p>
    <w:p>
      <w:pPr>
        <w:spacing w:line="560" w:lineRule="exact"/>
        <w:ind w:firstLine="200"/>
        <w:rPr>
          <w:rFonts w:ascii="仿宋_GB2312" w:hAnsi="仿宋" w:eastAsia="仿宋_GB2312"/>
          <w:sz w:val="32"/>
          <w:szCs w:val="32"/>
        </w:rPr>
      </w:pPr>
      <w:r>
        <w:rPr>
          <w:rFonts w:hint="eastAsia" w:ascii="仿宋_GB2312" w:hAnsi="仿宋" w:eastAsia="仿宋_GB2312"/>
          <w:sz w:val="32"/>
          <w:szCs w:val="32"/>
        </w:rPr>
        <w:t>2022年财政拨款收、支总计</w:t>
      </w:r>
      <w:r>
        <w:rPr>
          <w:rFonts w:hint="eastAsia" w:ascii="仿宋_GB2312" w:hAnsi="仿宋" w:eastAsia="仿宋_GB2312" w:cs="仿宋_GB2312"/>
          <w:color w:val="000000"/>
          <w:sz w:val="32"/>
          <w:szCs w:val="32"/>
          <w:lang w:val="zh-CN"/>
        </w:rPr>
        <w:t>19,723.28</w:t>
      </w:r>
      <w:r>
        <w:rPr>
          <w:rFonts w:hint="eastAsia" w:ascii="仿宋_GB2312" w:hAnsi="仿宋" w:eastAsia="仿宋_GB2312"/>
          <w:sz w:val="32"/>
          <w:szCs w:val="32"/>
        </w:rPr>
        <w:t>万元。与2021年相比，财政拨款收、支总计各增加8640.03万元，增长</w:t>
      </w:r>
      <w:r>
        <w:rPr>
          <w:rFonts w:hint="eastAsia" w:ascii="仿宋_GB2312" w:hAnsi="仿宋" w:eastAsia="仿宋_GB2312" w:cs="仿宋_GB2312"/>
          <w:color w:val="000000"/>
          <w:sz w:val="32"/>
          <w:szCs w:val="32"/>
          <w:lang w:val="zh-CN"/>
        </w:rPr>
        <w:t>78</w:t>
      </w:r>
      <w:r>
        <w:rPr>
          <w:rFonts w:hint="eastAsia" w:ascii="仿宋_GB2312" w:hAnsi="仿宋" w:eastAsia="仿宋_GB2312"/>
          <w:sz w:val="32"/>
          <w:szCs w:val="32"/>
        </w:rPr>
        <w:t>%。主要变动原因是增加了钛材加工园基础设施建设项目二期建设工程款。</w:t>
      </w:r>
    </w:p>
    <w:p>
      <w:pPr>
        <w:spacing w:line="560" w:lineRule="exact"/>
        <w:ind w:firstLine="640" w:firstLineChars="200"/>
        <w:outlineLvl w:val="1"/>
        <w:rPr>
          <w:rFonts w:ascii="黑体" w:hAnsi="黑体" w:eastAsia="黑体"/>
          <w:sz w:val="32"/>
          <w:szCs w:val="32"/>
        </w:rPr>
      </w:pPr>
      <w:bookmarkStart w:id="28" w:name="_Toc15377209"/>
      <w:bookmarkStart w:id="29" w:name="_Toc15396607"/>
      <w:r>
        <w:rPr>
          <w:rFonts w:hint="eastAsia" w:ascii="黑体" w:hAnsi="黑体" w:eastAsia="黑体"/>
          <w:sz w:val="32"/>
          <w:szCs w:val="32"/>
        </w:rPr>
        <w:t>五、一般公共预算财政拨款支出决算情况说明</w:t>
      </w:r>
      <w:bookmarkEnd w:id="28"/>
      <w:bookmarkEnd w:id="29"/>
    </w:p>
    <w:p>
      <w:pPr>
        <w:spacing w:line="560" w:lineRule="exact"/>
        <w:ind w:firstLine="643" w:firstLineChars="200"/>
        <w:outlineLvl w:val="2"/>
        <w:rPr>
          <w:rFonts w:ascii="仿宋_GB2312" w:hAnsi="仿宋" w:eastAsia="仿宋_GB2312"/>
          <w:b/>
          <w:sz w:val="32"/>
          <w:szCs w:val="32"/>
        </w:rPr>
      </w:pPr>
      <w:bookmarkStart w:id="30" w:name="_Toc15377210"/>
      <w:r>
        <w:rPr>
          <w:rFonts w:hint="eastAsia" w:ascii="仿宋_GB2312" w:hAnsi="仿宋" w:eastAsia="仿宋_GB2312"/>
          <w:b/>
          <w:sz w:val="32"/>
          <w:szCs w:val="32"/>
        </w:rPr>
        <w:t>（一）一般公共预算财政拨款支出决算总体情况</w:t>
      </w:r>
      <w:bookmarkEnd w:id="30"/>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2022年一般公共预算财政拨款支出</w:t>
      </w:r>
      <w:r>
        <w:rPr>
          <w:rFonts w:hint="eastAsia" w:ascii="仿宋_GB2312" w:hAnsi="仿宋" w:eastAsia="仿宋_GB2312" w:cs="仿宋_GB2312"/>
          <w:color w:val="000000"/>
          <w:sz w:val="32"/>
          <w:szCs w:val="32"/>
          <w:lang w:val="zh-CN"/>
        </w:rPr>
        <w:t>924.65</w:t>
      </w:r>
      <w:r>
        <w:rPr>
          <w:rFonts w:hint="eastAsia" w:ascii="仿宋_GB2312" w:hAnsi="仿宋" w:eastAsia="仿宋_GB2312"/>
          <w:sz w:val="32"/>
          <w:szCs w:val="32"/>
        </w:rPr>
        <w:t>万元，占本年支出合计的</w:t>
      </w:r>
      <w:r>
        <w:rPr>
          <w:rFonts w:hint="eastAsia" w:ascii="仿宋_GB2312" w:hAnsi="仿宋" w:eastAsia="仿宋_GB2312" w:cs="仿宋_GB2312"/>
          <w:color w:val="000000"/>
          <w:sz w:val="32"/>
          <w:szCs w:val="32"/>
          <w:lang w:val="zh-CN"/>
        </w:rPr>
        <w:t>4.7</w:t>
      </w:r>
      <w:r>
        <w:rPr>
          <w:rFonts w:hint="eastAsia" w:ascii="仿宋_GB2312" w:hAnsi="仿宋" w:eastAsia="仿宋_GB2312"/>
          <w:sz w:val="32"/>
          <w:szCs w:val="32"/>
        </w:rPr>
        <w:t>%。与2021年相比，一般公共预算财政拨款支出增加</w:t>
      </w:r>
      <w:r>
        <w:rPr>
          <w:rFonts w:hint="eastAsia" w:ascii="仿宋_GB2312" w:hAnsi="仿宋" w:eastAsia="仿宋_GB2312" w:cs="仿宋_GB2312"/>
          <w:color w:val="000000"/>
          <w:sz w:val="32"/>
          <w:szCs w:val="32"/>
          <w:lang w:val="zh-CN"/>
        </w:rPr>
        <w:t>56.03</w:t>
      </w:r>
      <w:r>
        <w:rPr>
          <w:rFonts w:hint="eastAsia" w:ascii="仿宋_GB2312" w:hAnsi="仿宋" w:eastAsia="仿宋_GB2312"/>
          <w:sz w:val="32"/>
          <w:szCs w:val="32"/>
        </w:rPr>
        <w:t>万元，增长</w:t>
      </w:r>
      <w:r>
        <w:rPr>
          <w:rFonts w:hint="eastAsia" w:ascii="仿宋_GB2312" w:hAnsi="仿宋" w:eastAsia="仿宋_GB2312" w:cs="仿宋_GB2312"/>
          <w:color w:val="000000"/>
          <w:sz w:val="32"/>
          <w:szCs w:val="32"/>
          <w:lang w:val="zh-CN"/>
        </w:rPr>
        <w:t>6.5</w:t>
      </w:r>
      <w:r>
        <w:rPr>
          <w:rFonts w:hint="eastAsia" w:ascii="仿宋_GB2312" w:hAnsi="仿宋" w:eastAsia="仿宋_GB2312"/>
          <w:sz w:val="32"/>
          <w:szCs w:val="32"/>
        </w:rPr>
        <w:t>%。主要变动原因是增加了工资支出和项目支出。</w:t>
      </w:r>
    </w:p>
    <w:p>
      <w:pPr>
        <w:pStyle w:val="2"/>
        <w:spacing w:before="93"/>
      </w:pPr>
      <w:r>
        <w:drawing>
          <wp:inline distT="0" distB="0" distL="0" distR="0">
            <wp:extent cx="5274310" cy="2743200"/>
            <wp:effectExtent l="19050" t="0" r="21590" b="0"/>
            <wp:docPr id="2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60" w:lineRule="exact"/>
        <w:ind w:firstLine="643" w:firstLineChars="200"/>
        <w:outlineLvl w:val="2"/>
        <w:rPr>
          <w:rFonts w:ascii="仿宋_GB2312" w:hAnsi="仿宋" w:eastAsia="仿宋_GB2312"/>
          <w:b/>
          <w:sz w:val="32"/>
          <w:szCs w:val="32"/>
        </w:rPr>
      </w:pPr>
      <w:bookmarkStart w:id="31" w:name="_Toc15377211"/>
      <w:r>
        <w:rPr>
          <w:rFonts w:hint="eastAsia" w:ascii="仿宋_GB2312" w:hAnsi="仿宋" w:eastAsia="仿宋_GB2312"/>
          <w:b/>
          <w:sz w:val="32"/>
          <w:szCs w:val="32"/>
        </w:rPr>
        <w:t>（二）一般公共预算财政拨款支出决算结构情况</w:t>
      </w:r>
      <w:bookmarkEnd w:id="31"/>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2022年一般公共预算财政拨款支出</w:t>
      </w:r>
      <w:r>
        <w:rPr>
          <w:rFonts w:hint="eastAsia" w:ascii="仿宋_GB2312" w:hAnsi="仿宋" w:eastAsia="仿宋_GB2312" w:cs="仿宋_GB2312"/>
          <w:color w:val="000000"/>
          <w:sz w:val="32"/>
          <w:szCs w:val="32"/>
          <w:lang w:val="zh-CN"/>
        </w:rPr>
        <w:t>924.65</w:t>
      </w:r>
      <w:r>
        <w:rPr>
          <w:rFonts w:hint="eastAsia" w:ascii="仿宋_GB2312" w:hAnsi="仿宋" w:eastAsia="仿宋_GB2312"/>
          <w:sz w:val="32"/>
          <w:szCs w:val="32"/>
        </w:rPr>
        <w:t>万元，主要用于以下方面:一般公共服务</w:t>
      </w:r>
      <w:r>
        <w:rPr>
          <w:rFonts w:hint="eastAsia" w:ascii="仿宋_GB2312" w:hAnsi="仿宋" w:eastAsia="仿宋_GB2312"/>
          <w:bCs/>
          <w:sz w:val="32"/>
          <w:szCs w:val="32"/>
        </w:rPr>
        <w:t>支出</w:t>
      </w:r>
      <w:r>
        <w:rPr>
          <w:rFonts w:hint="eastAsia" w:ascii="仿宋_GB2312" w:hAnsi="仿宋" w:eastAsia="仿宋_GB2312" w:cs="仿宋_GB2312"/>
          <w:color w:val="000000"/>
          <w:sz w:val="32"/>
          <w:szCs w:val="32"/>
          <w:lang w:val="zh-CN"/>
        </w:rPr>
        <w:t>517.07</w:t>
      </w:r>
      <w:r>
        <w:rPr>
          <w:rFonts w:hint="eastAsia" w:ascii="仿宋_GB2312" w:hAnsi="仿宋" w:eastAsia="仿宋_GB2312"/>
          <w:sz w:val="32"/>
          <w:szCs w:val="32"/>
        </w:rPr>
        <w:t>万元，占</w:t>
      </w:r>
      <w:r>
        <w:rPr>
          <w:rFonts w:hint="eastAsia" w:ascii="仿宋_GB2312" w:hAnsi="仿宋" w:eastAsia="仿宋_GB2312" w:cs="仿宋_GB2312"/>
          <w:color w:val="000000"/>
          <w:sz w:val="32"/>
          <w:szCs w:val="32"/>
          <w:lang w:val="zh-CN"/>
        </w:rPr>
        <w:t>55.9</w:t>
      </w:r>
      <w:r>
        <w:rPr>
          <w:rFonts w:hint="eastAsia" w:ascii="仿宋_GB2312" w:hAnsi="仿宋" w:eastAsia="仿宋_GB2312"/>
          <w:sz w:val="32"/>
          <w:szCs w:val="32"/>
        </w:rPr>
        <w:t>%；教育支出0万元，占0%；科学技术</w:t>
      </w:r>
      <w:r>
        <w:rPr>
          <w:rFonts w:hint="eastAsia" w:ascii="仿宋_GB2312" w:hAnsi="仿宋" w:eastAsia="仿宋_GB2312"/>
          <w:bCs/>
          <w:sz w:val="32"/>
          <w:szCs w:val="32"/>
        </w:rPr>
        <w:t>支出</w:t>
      </w:r>
      <w:r>
        <w:rPr>
          <w:rFonts w:hint="eastAsia" w:ascii="仿宋_GB2312" w:hAnsi="仿宋" w:eastAsia="仿宋_GB2312"/>
          <w:sz w:val="32"/>
          <w:szCs w:val="32"/>
        </w:rPr>
        <w:t>0万元，占0*%；</w:t>
      </w:r>
      <w:r>
        <w:rPr>
          <w:rFonts w:hint="eastAsia" w:ascii="仿宋_GB2312" w:hAnsi="仿宋" w:eastAsia="仿宋_GB2312"/>
          <w:bCs/>
          <w:sz w:val="32"/>
          <w:szCs w:val="32"/>
        </w:rPr>
        <w:t>文化旅游体育与传媒支出0万元，占0%</w:t>
      </w:r>
      <w:r>
        <w:rPr>
          <w:rFonts w:hint="eastAsia" w:ascii="仿宋_GB2312" w:hAnsi="仿宋" w:eastAsia="仿宋_GB2312"/>
          <w:sz w:val="32"/>
          <w:szCs w:val="32"/>
        </w:rPr>
        <w:t>；社会保障和就业</w:t>
      </w:r>
      <w:r>
        <w:rPr>
          <w:rFonts w:hint="eastAsia" w:ascii="仿宋_GB2312" w:hAnsi="仿宋" w:eastAsia="仿宋_GB2312"/>
          <w:bCs/>
          <w:sz w:val="32"/>
          <w:szCs w:val="32"/>
        </w:rPr>
        <w:t>支出</w:t>
      </w:r>
      <w:r>
        <w:rPr>
          <w:rFonts w:hint="eastAsia" w:ascii="仿宋_GB2312" w:hAnsi="仿宋" w:eastAsia="仿宋_GB2312" w:cs="仿宋_GB2312"/>
          <w:color w:val="000000"/>
          <w:sz w:val="32"/>
          <w:szCs w:val="32"/>
          <w:lang w:val="zh-CN"/>
        </w:rPr>
        <w:t>35.32</w:t>
      </w:r>
      <w:r>
        <w:rPr>
          <w:rFonts w:hint="eastAsia" w:ascii="仿宋_GB2312" w:hAnsi="仿宋" w:eastAsia="仿宋_GB2312"/>
          <w:sz w:val="32"/>
          <w:szCs w:val="32"/>
        </w:rPr>
        <w:t>万元，占</w:t>
      </w:r>
      <w:r>
        <w:rPr>
          <w:rFonts w:hint="eastAsia" w:ascii="仿宋_GB2312" w:hAnsi="仿宋" w:eastAsia="仿宋_GB2312" w:cs="仿宋_GB2312"/>
          <w:color w:val="000000"/>
          <w:sz w:val="32"/>
          <w:szCs w:val="32"/>
          <w:lang w:val="zh-CN"/>
        </w:rPr>
        <w:t>3.8</w:t>
      </w:r>
      <w:r>
        <w:rPr>
          <w:rFonts w:hint="eastAsia" w:ascii="仿宋_GB2312" w:hAnsi="仿宋" w:eastAsia="仿宋_GB2312"/>
          <w:sz w:val="32"/>
          <w:szCs w:val="32"/>
        </w:rPr>
        <w:t>%；</w:t>
      </w:r>
      <w:r>
        <w:rPr>
          <w:rFonts w:hint="eastAsia" w:ascii="仿宋_GB2312" w:hAnsi="仿宋" w:eastAsia="仿宋_GB2312"/>
          <w:bCs/>
          <w:sz w:val="32"/>
          <w:szCs w:val="32"/>
        </w:rPr>
        <w:t>卫生健康支出</w:t>
      </w:r>
      <w:r>
        <w:rPr>
          <w:rFonts w:hint="eastAsia" w:ascii="仿宋_GB2312" w:hAnsi="仿宋" w:eastAsia="仿宋_GB2312" w:cs="仿宋_GB2312"/>
          <w:color w:val="000000"/>
          <w:sz w:val="32"/>
          <w:szCs w:val="32"/>
          <w:lang w:val="zh-CN"/>
        </w:rPr>
        <w:t>38.62</w:t>
      </w:r>
      <w:r>
        <w:rPr>
          <w:rFonts w:hint="eastAsia" w:ascii="仿宋_GB2312" w:hAnsi="仿宋" w:eastAsia="仿宋_GB2312"/>
          <w:sz w:val="32"/>
          <w:szCs w:val="32"/>
        </w:rPr>
        <w:t>万元，占</w:t>
      </w:r>
      <w:r>
        <w:rPr>
          <w:rFonts w:hint="eastAsia" w:ascii="仿宋_GB2312" w:hAnsi="仿宋" w:eastAsia="仿宋_GB2312" w:cs="仿宋_GB2312"/>
          <w:color w:val="000000"/>
          <w:sz w:val="32"/>
          <w:szCs w:val="32"/>
          <w:lang w:val="zh-CN"/>
        </w:rPr>
        <w:t>4.2</w:t>
      </w:r>
      <w:r>
        <w:rPr>
          <w:rFonts w:hint="eastAsia" w:ascii="仿宋_GB2312" w:hAnsi="仿宋" w:eastAsia="仿宋_GB2312"/>
          <w:sz w:val="32"/>
          <w:szCs w:val="32"/>
        </w:rPr>
        <w:t>%；</w:t>
      </w:r>
      <w:r>
        <w:rPr>
          <w:rFonts w:hint="eastAsia" w:ascii="仿宋_GB2312" w:hAnsi="仿宋" w:eastAsia="仿宋_GB2312" w:cs="仿宋_GB2312"/>
          <w:color w:val="000000"/>
          <w:sz w:val="32"/>
          <w:szCs w:val="32"/>
          <w:lang w:val="zh-CN"/>
        </w:rPr>
        <w:t>节能环保支出96.1万元，占10.4%；城乡社区支出0万元，占0%；农林水支出200万元，占21.6%；</w:t>
      </w:r>
      <w:r>
        <w:rPr>
          <w:rFonts w:hint="eastAsia" w:ascii="仿宋_GB2312" w:hAnsi="仿宋" w:eastAsia="仿宋_GB2312"/>
          <w:bCs/>
          <w:sz w:val="32"/>
          <w:szCs w:val="32"/>
        </w:rPr>
        <w:t>住房保障支出</w:t>
      </w:r>
      <w:r>
        <w:rPr>
          <w:rFonts w:hint="eastAsia" w:ascii="仿宋_GB2312" w:hAnsi="仿宋" w:eastAsia="仿宋_GB2312" w:cs="仿宋_GB2312"/>
          <w:color w:val="000000"/>
          <w:sz w:val="32"/>
          <w:szCs w:val="32"/>
          <w:lang w:val="zh-CN"/>
        </w:rPr>
        <w:t>37.54</w:t>
      </w:r>
      <w:r>
        <w:rPr>
          <w:rFonts w:hint="eastAsia" w:ascii="仿宋_GB2312" w:hAnsi="仿宋" w:eastAsia="仿宋_GB2312"/>
          <w:sz w:val="32"/>
          <w:szCs w:val="32"/>
        </w:rPr>
        <w:t>万元，占</w:t>
      </w:r>
      <w:r>
        <w:rPr>
          <w:rFonts w:hint="eastAsia" w:ascii="仿宋_GB2312" w:hAnsi="仿宋" w:eastAsia="仿宋_GB2312" w:cs="仿宋_GB2312"/>
          <w:color w:val="000000"/>
          <w:sz w:val="32"/>
          <w:szCs w:val="32"/>
          <w:lang w:val="zh-CN"/>
        </w:rPr>
        <w:t>占4.1</w:t>
      </w:r>
      <w:r>
        <w:rPr>
          <w:rFonts w:hint="eastAsia" w:ascii="仿宋_GB2312" w:hAnsi="仿宋" w:eastAsia="仿宋_GB2312"/>
          <w:sz w:val="32"/>
          <w:szCs w:val="32"/>
        </w:rPr>
        <w:t>%。</w:t>
      </w:r>
    </w:p>
    <w:p>
      <w:pPr>
        <w:pStyle w:val="2"/>
        <w:spacing w:before="93"/>
      </w:pPr>
      <w:r>
        <w:drawing>
          <wp:inline distT="0" distB="0" distL="0" distR="0">
            <wp:extent cx="5274310" cy="3572510"/>
            <wp:effectExtent l="19050" t="0" r="21590" b="8421"/>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60" w:lineRule="exact"/>
        <w:ind w:firstLine="643" w:firstLineChars="200"/>
        <w:outlineLvl w:val="2"/>
        <w:rPr>
          <w:rFonts w:ascii="仿宋_GB2312" w:hAnsi="仿宋" w:eastAsia="仿宋_GB2312"/>
          <w:b/>
          <w:sz w:val="32"/>
          <w:szCs w:val="32"/>
        </w:rPr>
      </w:pPr>
      <w:bookmarkStart w:id="32" w:name="_Toc15377212"/>
      <w:r>
        <w:rPr>
          <w:rFonts w:hint="eastAsia" w:ascii="仿宋_GB2312" w:hAnsi="仿宋" w:eastAsia="仿宋_GB2312"/>
          <w:b/>
          <w:sz w:val="32"/>
          <w:szCs w:val="32"/>
        </w:rPr>
        <w:t>（三）一般公共预算财政拨款支出决算具体情况</w:t>
      </w:r>
      <w:bookmarkEnd w:id="32"/>
    </w:p>
    <w:p>
      <w:pPr>
        <w:spacing w:line="560" w:lineRule="exact"/>
        <w:ind w:firstLine="640" w:firstLineChars="200"/>
        <w:outlineLvl w:val="2"/>
        <w:rPr>
          <w:rFonts w:ascii="仿宋_GB2312" w:hAnsi="仿宋" w:eastAsia="仿宋_GB2312"/>
          <w:sz w:val="32"/>
          <w:szCs w:val="32"/>
        </w:rPr>
      </w:pPr>
      <w:bookmarkStart w:id="33" w:name="_Toc15377444"/>
      <w:bookmarkStart w:id="34" w:name="_Toc15378460"/>
      <w:bookmarkStart w:id="35" w:name="_Toc15377213"/>
      <w:r>
        <w:rPr>
          <w:rFonts w:hint="eastAsia" w:ascii="仿宋_GB2312" w:hAnsi="仿宋" w:eastAsia="仿宋_GB2312"/>
          <w:sz w:val="32"/>
          <w:szCs w:val="32"/>
        </w:rPr>
        <w:t>2022年一般公共预算支出决算数为</w:t>
      </w:r>
      <w:r>
        <w:rPr>
          <w:rFonts w:hint="eastAsia" w:ascii="仿宋_GB2312" w:hAnsi="仿宋" w:eastAsia="仿宋_GB2312" w:cs="仿宋_GB2312"/>
          <w:bCs/>
          <w:color w:val="000000"/>
          <w:sz w:val="32"/>
          <w:szCs w:val="32"/>
          <w:lang w:val="zh-CN"/>
        </w:rPr>
        <w:t>924.65</w:t>
      </w:r>
      <w:r>
        <w:rPr>
          <w:rFonts w:hint="eastAsia" w:ascii="仿宋_GB2312" w:hAnsi="仿宋" w:eastAsia="仿宋_GB2312"/>
          <w:sz w:val="32"/>
          <w:szCs w:val="32"/>
        </w:rPr>
        <w:t>，</w:t>
      </w:r>
      <w:r>
        <w:rPr>
          <w:rStyle w:val="26"/>
          <w:rFonts w:hint="eastAsia" w:ascii="仿宋_GB2312" w:hAnsi="仿宋" w:eastAsia="仿宋_GB2312"/>
          <w:bCs/>
          <w:sz w:val="32"/>
          <w:szCs w:val="32"/>
        </w:rPr>
        <w:t>完成预算100%。其中：</w:t>
      </w:r>
      <w:bookmarkEnd w:id="33"/>
      <w:bookmarkEnd w:id="34"/>
      <w:bookmarkEnd w:id="35"/>
    </w:p>
    <w:p>
      <w:pPr>
        <w:spacing w:line="560" w:lineRule="exact"/>
        <w:ind w:firstLine="640" w:firstLineChars="200"/>
        <w:rPr>
          <w:rStyle w:val="26"/>
          <w:rFonts w:ascii="仿宋_GB2312" w:hAnsi="仿宋" w:eastAsia="仿宋_GB2312"/>
          <w:bCs/>
          <w:sz w:val="32"/>
          <w:szCs w:val="32"/>
        </w:rPr>
      </w:pPr>
      <w:r>
        <w:rPr>
          <w:rStyle w:val="26"/>
          <w:rFonts w:hint="eastAsia" w:ascii="仿宋_GB2312" w:hAnsi="仿宋" w:eastAsia="仿宋_GB2312"/>
          <w:bCs/>
          <w:sz w:val="32"/>
          <w:szCs w:val="32"/>
        </w:rPr>
        <w:t>1.一般公共服务支出（类）政府办公厅（室）及相关机构事务（款）行政运行（项）：支出决算数为175.62万元，完成预算100%，与预算数持平。</w:t>
      </w:r>
    </w:p>
    <w:p>
      <w:pPr>
        <w:spacing w:line="560" w:lineRule="exact"/>
        <w:ind w:firstLine="640" w:firstLineChars="200"/>
        <w:rPr>
          <w:rStyle w:val="26"/>
          <w:rFonts w:ascii="仿宋_GB2312" w:hAnsi="仿宋" w:eastAsia="仿宋_GB2312"/>
          <w:bCs/>
          <w:sz w:val="32"/>
          <w:szCs w:val="32"/>
        </w:rPr>
      </w:pPr>
      <w:r>
        <w:rPr>
          <w:rStyle w:val="26"/>
          <w:rFonts w:hint="eastAsia" w:ascii="仿宋_GB2312" w:hAnsi="仿宋" w:eastAsia="仿宋_GB2312"/>
          <w:bCs/>
          <w:sz w:val="32"/>
          <w:szCs w:val="32"/>
        </w:rPr>
        <w:t>2.一般公共服务支出（类）政府办公厅(室)及相关机构事务（款）一般行政管理事务（项）：支出决算数为57.82，完成预算100%，与预算数持平。</w:t>
      </w:r>
    </w:p>
    <w:p>
      <w:pPr>
        <w:spacing w:line="560" w:lineRule="exact"/>
        <w:ind w:firstLine="640" w:firstLineChars="200"/>
        <w:rPr>
          <w:rStyle w:val="26"/>
          <w:rFonts w:ascii="仿宋_GB2312" w:hAnsi="仿宋" w:eastAsia="仿宋_GB2312"/>
          <w:bCs/>
          <w:sz w:val="32"/>
          <w:szCs w:val="32"/>
        </w:rPr>
      </w:pPr>
      <w:r>
        <w:rPr>
          <w:rStyle w:val="26"/>
          <w:rFonts w:hint="eastAsia" w:ascii="仿宋_GB2312" w:hAnsi="仿宋" w:eastAsia="仿宋_GB2312"/>
          <w:bCs/>
          <w:sz w:val="32"/>
          <w:szCs w:val="32"/>
        </w:rPr>
        <w:t>3.一般公共服务支出（类）政府办公厅(室)及相关机构事务（款）事业运行（项）：支出决算数为202.18万元，完成预算100%，与预算数持平。</w:t>
      </w:r>
    </w:p>
    <w:p>
      <w:pPr>
        <w:spacing w:line="560" w:lineRule="exact"/>
        <w:ind w:firstLine="640" w:firstLineChars="200"/>
        <w:rPr>
          <w:rStyle w:val="26"/>
          <w:rFonts w:ascii="仿宋_GB2312" w:hAnsi="仿宋" w:eastAsia="仿宋_GB2312"/>
          <w:bCs/>
          <w:sz w:val="32"/>
          <w:szCs w:val="32"/>
        </w:rPr>
      </w:pPr>
      <w:r>
        <w:rPr>
          <w:rStyle w:val="26"/>
          <w:rFonts w:hint="eastAsia" w:ascii="仿宋_GB2312" w:hAnsi="仿宋" w:eastAsia="仿宋_GB2312"/>
          <w:bCs/>
          <w:sz w:val="32"/>
          <w:szCs w:val="32"/>
        </w:rPr>
        <w:t>4.一般公共服务支出（类）政府办公厅(室)及相关机构事务（款）</w:t>
      </w:r>
      <w:r>
        <w:rPr>
          <w:rFonts w:hint="eastAsia" w:ascii="仿宋_GB2312" w:hAnsi="仿宋" w:eastAsia="仿宋_GB2312" w:cs="Arial"/>
          <w:color w:val="000000"/>
          <w:kern w:val="0"/>
          <w:sz w:val="32"/>
          <w:szCs w:val="32"/>
        </w:rPr>
        <w:t>其他政府办公厅（室）及相关机构事务支出（项）：支出决算数为80万元，完成预算100%，</w:t>
      </w:r>
      <w:r>
        <w:rPr>
          <w:rStyle w:val="26"/>
          <w:rFonts w:hint="eastAsia" w:ascii="仿宋_GB2312" w:hAnsi="仿宋" w:eastAsia="仿宋_GB2312"/>
          <w:bCs/>
          <w:sz w:val="32"/>
          <w:szCs w:val="32"/>
        </w:rPr>
        <w:t>与预算数持平。</w:t>
      </w:r>
    </w:p>
    <w:p>
      <w:pPr>
        <w:pStyle w:val="2"/>
        <w:spacing w:beforeLines="0" w:line="560" w:lineRule="exact"/>
        <w:ind w:firstLine="640" w:firstLineChars="200"/>
        <w:rPr>
          <w:rFonts w:hAnsi="仿宋"/>
          <w:sz w:val="32"/>
          <w:szCs w:val="32"/>
        </w:rPr>
      </w:pPr>
      <w:r>
        <w:rPr>
          <w:rStyle w:val="26"/>
          <w:rFonts w:hint="eastAsia" w:ascii="仿宋_GB2312" w:hAnsi="仿宋"/>
          <w:bCs/>
          <w:kern w:val="2"/>
          <w:sz w:val="32"/>
          <w:szCs w:val="32"/>
        </w:rPr>
        <w:t>5.</w:t>
      </w:r>
      <w:r>
        <w:rPr>
          <w:rStyle w:val="26"/>
          <w:rFonts w:hint="eastAsia" w:ascii="仿宋_GB2312" w:hAnsi="仿宋"/>
          <w:bCs/>
          <w:sz w:val="32"/>
          <w:szCs w:val="32"/>
        </w:rPr>
        <w:t>一般公共服务支出（类）</w:t>
      </w:r>
      <w:r>
        <w:rPr>
          <w:rStyle w:val="26"/>
          <w:rFonts w:hint="eastAsia" w:ascii="仿宋_GB2312" w:hAnsi="仿宋"/>
          <w:bCs/>
          <w:kern w:val="2"/>
          <w:sz w:val="32"/>
          <w:szCs w:val="32"/>
        </w:rPr>
        <w:t>发展与改革事务（款）行政运行（项）：支出决算数1.45万元，完成预算100%，与预算数持平。</w:t>
      </w:r>
    </w:p>
    <w:p>
      <w:pPr>
        <w:spacing w:line="560" w:lineRule="exact"/>
        <w:ind w:firstLine="640" w:firstLineChars="200"/>
        <w:rPr>
          <w:rStyle w:val="26"/>
          <w:rFonts w:ascii="仿宋_GB2312" w:hAnsi="仿宋" w:eastAsia="仿宋_GB2312"/>
          <w:bCs/>
          <w:sz w:val="32"/>
          <w:szCs w:val="32"/>
        </w:rPr>
      </w:pPr>
      <w:r>
        <w:rPr>
          <w:rStyle w:val="26"/>
          <w:rFonts w:hint="eastAsia" w:ascii="仿宋_GB2312" w:hAnsi="仿宋" w:eastAsia="仿宋_GB2312"/>
          <w:bCs/>
          <w:sz w:val="32"/>
          <w:szCs w:val="32"/>
        </w:rPr>
        <w:t>6.社会保障和就业支出（类）行政事业单位养老支出（款）事业单位离退休（项）：支出决算数为2.1万元，完成预算100%，与预算数持平。</w:t>
      </w:r>
    </w:p>
    <w:p>
      <w:pPr>
        <w:spacing w:line="560" w:lineRule="exact"/>
        <w:ind w:firstLine="640" w:firstLineChars="200"/>
        <w:rPr>
          <w:rStyle w:val="26"/>
          <w:rFonts w:ascii="仿宋_GB2312" w:hAnsi="仿宋" w:eastAsia="仿宋_GB2312"/>
          <w:bCs/>
          <w:sz w:val="32"/>
          <w:szCs w:val="32"/>
        </w:rPr>
      </w:pPr>
      <w:r>
        <w:rPr>
          <w:rStyle w:val="26"/>
          <w:rFonts w:hint="eastAsia" w:ascii="仿宋_GB2312" w:hAnsi="仿宋" w:eastAsia="仿宋_GB2312"/>
          <w:bCs/>
          <w:sz w:val="32"/>
          <w:szCs w:val="32"/>
        </w:rPr>
        <w:t>7.社会保障和就业支出（类）行政事业单位养老支出（款）机关事业单位基本养老保险缴费支出（项）：支出决算数为33.21万元，完成预算100%；与预算数持平。</w:t>
      </w:r>
    </w:p>
    <w:p>
      <w:pPr>
        <w:spacing w:line="560" w:lineRule="exact"/>
        <w:ind w:firstLine="640" w:firstLineChars="200"/>
        <w:rPr>
          <w:rStyle w:val="26"/>
          <w:rFonts w:ascii="仿宋_GB2312" w:hAnsi="仿宋" w:eastAsia="仿宋_GB2312"/>
          <w:bCs/>
          <w:sz w:val="32"/>
          <w:szCs w:val="32"/>
        </w:rPr>
      </w:pPr>
      <w:r>
        <w:rPr>
          <w:rStyle w:val="26"/>
          <w:rFonts w:hint="eastAsia" w:ascii="仿宋_GB2312" w:hAnsi="仿宋" w:eastAsia="仿宋_GB2312"/>
          <w:bCs/>
          <w:sz w:val="32"/>
          <w:szCs w:val="32"/>
        </w:rPr>
        <w:t>8.</w:t>
      </w:r>
      <w:r>
        <w:rPr>
          <w:rFonts w:hint="eastAsia" w:ascii="仿宋_GB2312" w:hAnsi="仿宋" w:eastAsia="仿宋_GB2312"/>
          <w:bCs/>
          <w:sz w:val="32"/>
          <w:szCs w:val="32"/>
        </w:rPr>
        <w:t>卫生健康支出（类）行政事业单位医疗（款）</w:t>
      </w:r>
      <w:r>
        <w:rPr>
          <w:rStyle w:val="26"/>
          <w:rFonts w:hint="eastAsia" w:ascii="仿宋_GB2312" w:hAnsi="仿宋" w:eastAsia="仿宋_GB2312"/>
          <w:bCs/>
          <w:sz w:val="32"/>
          <w:szCs w:val="32"/>
        </w:rPr>
        <w:t>行政单位医疗（项）：支出决算数11.88万元，完成预算100%，与预算数持平。</w:t>
      </w:r>
    </w:p>
    <w:p>
      <w:pPr>
        <w:spacing w:line="560" w:lineRule="exact"/>
        <w:ind w:firstLine="640" w:firstLineChars="200"/>
        <w:rPr>
          <w:rStyle w:val="26"/>
          <w:rFonts w:ascii="仿宋_GB2312" w:hAnsi="仿宋" w:eastAsia="仿宋_GB2312"/>
          <w:bCs/>
          <w:sz w:val="32"/>
          <w:szCs w:val="32"/>
        </w:rPr>
      </w:pPr>
      <w:r>
        <w:rPr>
          <w:rStyle w:val="26"/>
          <w:rFonts w:hint="eastAsia" w:ascii="仿宋_GB2312" w:hAnsi="仿宋" w:eastAsia="仿宋_GB2312"/>
          <w:bCs/>
          <w:sz w:val="32"/>
          <w:szCs w:val="32"/>
        </w:rPr>
        <w:t>9.</w:t>
      </w:r>
      <w:r>
        <w:rPr>
          <w:rFonts w:hint="eastAsia" w:ascii="仿宋_GB2312" w:hAnsi="仿宋" w:eastAsia="仿宋_GB2312"/>
          <w:bCs/>
          <w:sz w:val="32"/>
          <w:szCs w:val="32"/>
        </w:rPr>
        <w:t>卫生健康支出（类）行政事业单位医疗（款）</w:t>
      </w:r>
      <w:r>
        <w:rPr>
          <w:rStyle w:val="26"/>
          <w:rFonts w:hint="eastAsia" w:ascii="仿宋_GB2312" w:hAnsi="仿宋" w:eastAsia="仿宋_GB2312"/>
          <w:bCs/>
          <w:sz w:val="32"/>
          <w:szCs w:val="32"/>
        </w:rPr>
        <w:t>事业单位医疗（项）：支出决算数12.22万元，完成预算100%，与预算数持平。</w:t>
      </w:r>
    </w:p>
    <w:p>
      <w:pPr>
        <w:spacing w:line="560" w:lineRule="exact"/>
        <w:ind w:firstLine="640" w:firstLineChars="200"/>
        <w:rPr>
          <w:rStyle w:val="26"/>
          <w:rFonts w:ascii="仿宋_GB2312" w:hAnsi="仿宋" w:eastAsia="仿宋_GB2312"/>
          <w:bCs/>
          <w:sz w:val="32"/>
          <w:szCs w:val="32"/>
        </w:rPr>
      </w:pPr>
      <w:r>
        <w:rPr>
          <w:rStyle w:val="26"/>
          <w:rFonts w:hint="eastAsia" w:ascii="仿宋_GB2312" w:hAnsi="仿宋" w:eastAsia="仿宋_GB2312"/>
          <w:bCs/>
          <w:sz w:val="32"/>
          <w:szCs w:val="32"/>
        </w:rPr>
        <w:t>10.</w:t>
      </w:r>
      <w:r>
        <w:rPr>
          <w:rFonts w:hint="eastAsia" w:ascii="仿宋_GB2312" w:hAnsi="仿宋" w:eastAsia="仿宋_GB2312"/>
          <w:bCs/>
          <w:sz w:val="32"/>
          <w:szCs w:val="32"/>
        </w:rPr>
        <w:t>卫生健康支出（类）行政事业单位医疗（款）</w:t>
      </w:r>
      <w:r>
        <w:rPr>
          <w:rStyle w:val="26"/>
          <w:rFonts w:hint="eastAsia" w:ascii="仿宋_GB2312" w:hAnsi="仿宋" w:eastAsia="仿宋_GB2312"/>
          <w:bCs/>
          <w:sz w:val="32"/>
          <w:szCs w:val="32"/>
        </w:rPr>
        <w:t>公务员医疗补助（项）：支出决算数6.99万元，完成预算100%，与预算数持平。</w:t>
      </w:r>
    </w:p>
    <w:p>
      <w:pPr>
        <w:spacing w:line="560" w:lineRule="exact"/>
        <w:ind w:firstLine="640" w:firstLineChars="200"/>
        <w:rPr>
          <w:rStyle w:val="26"/>
          <w:rFonts w:ascii="仿宋_GB2312" w:hAnsi="仿宋" w:eastAsia="仿宋_GB2312"/>
          <w:bCs/>
          <w:sz w:val="32"/>
          <w:szCs w:val="32"/>
        </w:rPr>
      </w:pPr>
      <w:r>
        <w:rPr>
          <w:rStyle w:val="26"/>
          <w:rFonts w:hint="eastAsia" w:ascii="仿宋_GB2312" w:hAnsi="仿宋" w:eastAsia="仿宋_GB2312"/>
          <w:bCs/>
          <w:sz w:val="32"/>
          <w:szCs w:val="32"/>
        </w:rPr>
        <w:t>11.</w:t>
      </w:r>
      <w:r>
        <w:rPr>
          <w:rFonts w:hint="eastAsia" w:ascii="仿宋_GB2312" w:hAnsi="仿宋" w:eastAsia="仿宋_GB2312"/>
          <w:bCs/>
          <w:sz w:val="32"/>
          <w:szCs w:val="32"/>
        </w:rPr>
        <w:t>卫生健康支出（类）行政事业单位医疗（款）</w:t>
      </w:r>
      <w:r>
        <w:rPr>
          <w:rFonts w:hint="eastAsia" w:ascii="仿宋_GB2312" w:hAnsi="仿宋" w:eastAsia="仿宋_GB2312" w:cs="Arial"/>
          <w:color w:val="000000"/>
          <w:kern w:val="0"/>
          <w:sz w:val="32"/>
          <w:szCs w:val="32"/>
        </w:rPr>
        <w:t xml:space="preserve"> 其他行政事业单位医疗支出（项）：支出</w:t>
      </w:r>
      <w:r>
        <w:rPr>
          <w:rStyle w:val="26"/>
          <w:rFonts w:hint="eastAsia" w:ascii="仿宋_GB2312" w:hAnsi="仿宋" w:eastAsia="仿宋_GB2312"/>
          <w:bCs/>
          <w:sz w:val="32"/>
          <w:szCs w:val="32"/>
        </w:rPr>
        <w:t>决算数7.53万元，完成预算100%，与预算数持平。</w:t>
      </w:r>
    </w:p>
    <w:p>
      <w:pPr>
        <w:spacing w:line="560" w:lineRule="exact"/>
        <w:rPr>
          <w:rStyle w:val="26"/>
          <w:rFonts w:ascii="仿宋_GB2312" w:hAnsi="仿宋" w:eastAsia="仿宋_GB2312"/>
          <w:bCs/>
          <w:sz w:val="32"/>
          <w:szCs w:val="32"/>
        </w:rPr>
      </w:pPr>
      <w:r>
        <w:rPr>
          <w:rFonts w:hint="eastAsia" w:ascii="仿宋_GB2312" w:hAnsi="仿宋" w:eastAsia="仿宋_GB2312"/>
          <w:sz w:val="32"/>
          <w:szCs w:val="32"/>
        </w:rPr>
        <w:t xml:space="preserve">    </w:t>
      </w:r>
      <w:r>
        <w:rPr>
          <w:rStyle w:val="26"/>
          <w:rFonts w:hint="eastAsia" w:ascii="仿宋_GB2312" w:hAnsi="仿宋" w:eastAsia="仿宋_GB2312"/>
          <w:bCs/>
          <w:sz w:val="32"/>
          <w:szCs w:val="32"/>
        </w:rPr>
        <w:t>12.</w:t>
      </w:r>
      <w:r>
        <w:rPr>
          <w:rFonts w:hint="eastAsia" w:ascii="仿宋_GB2312" w:hAnsi="仿宋" w:eastAsia="仿宋_GB2312"/>
          <w:bCs/>
          <w:sz w:val="32"/>
          <w:szCs w:val="32"/>
        </w:rPr>
        <w:t>节能环保支出（类）环境保护管理事务（款）</w:t>
      </w:r>
      <w:r>
        <w:rPr>
          <w:rFonts w:hint="eastAsia" w:ascii="仿宋_GB2312" w:hAnsi="仿宋" w:eastAsia="仿宋_GB2312" w:cs="Arial"/>
          <w:color w:val="000000"/>
          <w:kern w:val="0"/>
          <w:sz w:val="32"/>
          <w:szCs w:val="32"/>
        </w:rPr>
        <w:t>其他环境保护管理事务支出（项）：支出</w:t>
      </w:r>
      <w:r>
        <w:rPr>
          <w:rStyle w:val="26"/>
          <w:rFonts w:hint="eastAsia" w:ascii="仿宋_GB2312" w:hAnsi="仿宋" w:eastAsia="仿宋_GB2312"/>
          <w:bCs/>
          <w:sz w:val="32"/>
          <w:szCs w:val="32"/>
        </w:rPr>
        <w:t>决算数为25万元，完成预算100%，与预算数持平。</w:t>
      </w:r>
    </w:p>
    <w:p>
      <w:pPr>
        <w:spacing w:line="560" w:lineRule="exact"/>
        <w:ind w:firstLine="640" w:firstLineChars="200"/>
        <w:rPr>
          <w:rStyle w:val="26"/>
          <w:rFonts w:ascii="仿宋_GB2312" w:hAnsi="仿宋" w:eastAsia="仿宋_GB2312"/>
          <w:bCs/>
          <w:sz w:val="32"/>
          <w:szCs w:val="32"/>
        </w:rPr>
      </w:pPr>
      <w:r>
        <w:rPr>
          <w:rStyle w:val="26"/>
          <w:rFonts w:hint="eastAsia" w:ascii="仿宋_GB2312" w:hAnsi="仿宋" w:eastAsia="仿宋_GB2312"/>
          <w:bCs/>
          <w:sz w:val="32"/>
          <w:szCs w:val="32"/>
        </w:rPr>
        <w:t>13.节能环保支出（类）污染防治（款）</w:t>
      </w:r>
      <w:r>
        <w:rPr>
          <w:rFonts w:hint="eastAsia" w:ascii="仿宋_GB2312" w:hAnsi="仿宋" w:eastAsia="仿宋_GB2312" w:cs="Arial"/>
          <w:color w:val="000000"/>
          <w:kern w:val="0"/>
          <w:sz w:val="32"/>
          <w:szCs w:val="32"/>
        </w:rPr>
        <w:t>其他污染防治支出（项）：支出数71.1万元，完成预算100%，</w:t>
      </w:r>
      <w:r>
        <w:rPr>
          <w:rStyle w:val="26"/>
          <w:rFonts w:hint="eastAsia" w:ascii="仿宋_GB2312" w:hAnsi="仿宋" w:eastAsia="仿宋_GB2312"/>
          <w:bCs/>
          <w:sz w:val="32"/>
          <w:szCs w:val="32"/>
        </w:rPr>
        <w:t>与预算数持平。</w:t>
      </w:r>
    </w:p>
    <w:p>
      <w:pPr>
        <w:spacing w:line="560" w:lineRule="exact"/>
        <w:rPr>
          <w:rStyle w:val="26"/>
          <w:rFonts w:ascii="仿宋_GB2312" w:hAnsi="仿宋" w:eastAsia="仿宋_GB2312"/>
          <w:bCs/>
          <w:sz w:val="32"/>
          <w:szCs w:val="32"/>
        </w:rPr>
      </w:pPr>
      <w:r>
        <w:rPr>
          <w:rFonts w:hint="eastAsia" w:ascii="仿宋_GB2312" w:hAnsi="仿宋" w:eastAsia="仿宋_GB2312"/>
          <w:sz w:val="32"/>
          <w:szCs w:val="32"/>
        </w:rPr>
        <w:t xml:space="preserve">    </w:t>
      </w:r>
      <w:r>
        <w:rPr>
          <w:rStyle w:val="26"/>
          <w:rFonts w:hint="eastAsia" w:ascii="仿宋_GB2312" w:hAnsi="仿宋" w:eastAsia="仿宋_GB2312"/>
          <w:bCs/>
          <w:sz w:val="32"/>
          <w:szCs w:val="32"/>
        </w:rPr>
        <w:t>14.</w:t>
      </w:r>
      <w:r>
        <w:rPr>
          <w:rFonts w:hint="eastAsia" w:ascii="仿宋_GB2312" w:hAnsi="仿宋" w:eastAsia="仿宋_GB2312"/>
          <w:bCs/>
          <w:sz w:val="32"/>
          <w:szCs w:val="32"/>
        </w:rPr>
        <w:t>农林水支出</w:t>
      </w:r>
      <w:r>
        <w:rPr>
          <w:rStyle w:val="26"/>
          <w:rFonts w:hint="eastAsia" w:ascii="仿宋_GB2312" w:hAnsi="仿宋" w:eastAsia="仿宋_GB2312"/>
          <w:bCs/>
          <w:sz w:val="32"/>
          <w:szCs w:val="32"/>
        </w:rPr>
        <w:t>（类）</w:t>
      </w:r>
      <w:r>
        <w:rPr>
          <w:rFonts w:hint="eastAsia" w:ascii="仿宋_GB2312" w:hAnsi="仿宋" w:eastAsia="仿宋_GB2312" w:cs="Arial"/>
          <w:color w:val="000000"/>
          <w:kern w:val="0"/>
          <w:sz w:val="32"/>
          <w:szCs w:val="32"/>
        </w:rPr>
        <w:t>其他农林水支出（款）其他农林水支出（项）：支出</w:t>
      </w:r>
      <w:r>
        <w:rPr>
          <w:rStyle w:val="26"/>
          <w:rFonts w:hint="eastAsia" w:ascii="仿宋_GB2312" w:hAnsi="仿宋" w:eastAsia="仿宋_GB2312"/>
          <w:bCs/>
          <w:sz w:val="32"/>
          <w:szCs w:val="32"/>
        </w:rPr>
        <w:t>决算数200万元，完成预算100%，与预算数持平。</w:t>
      </w:r>
    </w:p>
    <w:p>
      <w:pPr>
        <w:pStyle w:val="2"/>
        <w:spacing w:beforeLines="0" w:line="560" w:lineRule="exact"/>
        <w:rPr>
          <w:rFonts w:hAnsi="仿宋"/>
          <w:b/>
          <w:sz w:val="32"/>
          <w:szCs w:val="32"/>
        </w:rPr>
      </w:pPr>
      <w:r>
        <w:rPr>
          <w:rFonts w:hint="eastAsia" w:hAnsi="仿宋"/>
          <w:sz w:val="32"/>
          <w:szCs w:val="32"/>
        </w:rPr>
        <w:t xml:space="preserve">   15.住房保障支出（类）住房改革支出（款）住房公积金（项）：支出决算数37.5</w:t>
      </w:r>
      <w:r>
        <w:rPr>
          <w:rFonts w:hint="eastAsia"/>
        </w:rPr>
        <w:t>4</w:t>
      </w:r>
      <w:r>
        <w:rPr>
          <w:rFonts w:hint="eastAsia" w:hAnsi="仿宋"/>
          <w:sz w:val="32"/>
          <w:szCs w:val="32"/>
        </w:rPr>
        <w:t>万元，完成预算100%，与预算数持平。</w:t>
      </w:r>
    </w:p>
    <w:p>
      <w:pPr>
        <w:tabs>
          <w:tab w:val="right" w:pos="8306"/>
        </w:tabs>
        <w:spacing w:line="560" w:lineRule="exact"/>
        <w:ind w:firstLine="640"/>
        <w:outlineLvl w:val="1"/>
      </w:pPr>
      <w:bookmarkStart w:id="36" w:name="_Toc15396608"/>
      <w:bookmarkStart w:id="37" w:name="_Toc15377214"/>
      <w:r>
        <w:rPr>
          <w:rFonts w:hint="eastAsia" w:ascii="黑体" w:eastAsia="黑体"/>
          <w:sz w:val="32"/>
          <w:szCs w:val="32"/>
        </w:rPr>
        <w:t>六、</w:t>
      </w:r>
      <w:r>
        <w:rPr>
          <w:rFonts w:hint="eastAsia" w:ascii="黑体" w:hAnsi="黑体" w:eastAsia="黑体"/>
          <w:sz w:val="32"/>
          <w:szCs w:val="32"/>
        </w:rPr>
        <w:t>一般公共预算财政拨款基本支出决算情况说明</w:t>
      </w:r>
      <w:bookmarkEnd w:id="36"/>
      <w:bookmarkEnd w:id="37"/>
      <w:r>
        <w:rPr>
          <w:rFonts w:ascii="黑体" w:hAnsi="黑体" w:eastAsia="黑体"/>
        </w:rPr>
        <w:tab/>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2022年一般公共预算财政拨款基本支出</w:t>
      </w:r>
      <w:r>
        <w:rPr>
          <w:rFonts w:hint="eastAsia" w:ascii="仿宋_GB2312" w:hAnsi="仿宋" w:eastAsia="仿宋_GB2312" w:cs="仿宋_GB2312"/>
          <w:color w:val="000000"/>
          <w:sz w:val="32"/>
          <w:szCs w:val="32"/>
          <w:lang w:val="zh-CN"/>
        </w:rPr>
        <w:t>490.73</w:t>
      </w:r>
      <w:r>
        <w:rPr>
          <w:rFonts w:hint="eastAsia" w:ascii="仿宋_GB2312" w:hAnsi="仿宋" w:eastAsia="仿宋_GB2312"/>
          <w:sz w:val="32"/>
          <w:szCs w:val="32"/>
        </w:rPr>
        <w:t>万元，其中：</w:t>
      </w:r>
    </w:p>
    <w:p>
      <w:pPr>
        <w:spacing w:line="560" w:lineRule="exact"/>
        <w:ind w:firstLine="645"/>
        <w:rPr>
          <w:rFonts w:ascii="仿宋" w:hAnsi="仿宋" w:eastAsia="仿宋"/>
          <w:color w:val="000000"/>
          <w:sz w:val="32"/>
          <w:szCs w:val="32"/>
        </w:rPr>
      </w:pPr>
      <w:r>
        <w:rPr>
          <w:rFonts w:hint="eastAsia" w:ascii="仿宋_GB2312" w:hAnsi="仿宋" w:eastAsia="仿宋_GB2312"/>
          <w:sz w:val="32"/>
          <w:szCs w:val="32"/>
        </w:rPr>
        <w:t>人员经费</w:t>
      </w:r>
      <w:r>
        <w:rPr>
          <w:rFonts w:hint="eastAsia" w:ascii="仿宋_GB2312" w:hAnsi="仿宋" w:eastAsia="仿宋_GB2312" w:cs="仿宋_GB2312"/>
          <w:color w:val="000000"/>
          <w:sz w:val="32"/>
          <w:szCs w:val="32"/>
          <w:lang w:val="zh-CN"/>
        </w:rPr>
        <w:t>458.5</w:t>
      </w:r>
      <w:r>
        <w:rPr>
          <w:rFonts w:hint="eastAsia" w:ascii="仿宋_GB2312" w:hAnsi="仿宋" w:eastAsia="仿宋_GB2312"/>
          <w:sz w:val="32"/>
          <w:szCs w:val="32"/>
        </w:rPr>
        <w:t>万元，主要包括：基本工资、津贴补贴、奖金、绩效工资、机关事业单位基本养老保险缴费、职工基本医疗保险缴费、公务员医疗补助缴费、其他社会保障缴费、住房公积金、其他工资福利支出、生活补助、医疗费补助、奖励金支出。</w:t>
      </w:r>
      <w:r>
        <w:rPr>
          <w:rFonts w:hint="eastAsia" w:ascii="仿宋_GB2312" w:hAnsi="仿宋" w:eastAsia="仿宋_GB2312"/>
          <w:sz w:val="32"/>
          <w:szCs w:val="32"/>
        </w:rPr>
        <w:br w:type="textWrapping"/>
      </w:r>
      <w:r>
        <w:rPr>
          <w:rFonts w:hint="eastAsia" w:ascii="仿宋_GB2312" w:hAnsi="仿宋" w:eastAsia="仿宋_GB2312"/>
          <w:sz w:val="32"/>
          <w:szCs w:val="32"/>
        </w:rPr>
        <w:t>　　公用经费</w:t>
      </w:r>
      <w:r>
        <w:rPr>
          <w:rFonts w:hint="eastAsia" w:ascii="仿宋_GB2312" w:hAnsi="仿宋" w:eastAsia="仿宋_GB2312" w:cs="仿宋_GB2312"/>
          <w:color w:val="000000"/>
          <w:sz w:val="32"/>
          <w:szCs w:val="32"/>
          <w:lang w:val="zh-CN"/>
        </w:rPr>
        <w:t>32.23</w:t>
      </w:r>
      <w:r>
        <w:rPr>
          <w:rFonts w:hint="eastAsia" w:ascii="仿宋_GB2312" w:hAnsi="仿宋" w:eastAsia="仿宋_GB2312"/>
          <w:sz w:val="32"/>
          <w:szCs w:val="32"/>
        </w:rPr>
        <w:t>万元，主要包括：办公费、水费、电费、邮电费、差旅费、维修（护）费、培训费、公务接待费、劳务费、委托业务费、工会经费、福利费、其他交通费用。</w:t>
      </w:r>
      <w:r>
        <w:rPr>
          <w:rFonts w:hint="eastAsia" w:ascii="仿宋_GB2312" w:hAnsi="仿宋" w:eastAsia="仿宋_GB2312"/>
        </w:rPr>
        <w:t xml:space="preserve">   </w:t>
      </w:r>
      <w:r>
        <w:rPr>
          <w:rFonts w:hint="eastAsia" w:ascii="仿宋" w:hAnsi="仿宋" w:eastAsia="仿宋"/>
        </w:rPr>
        <w:t xml:space="preserve"> </w:t>
      </w:r>
    </w:p>
    <w:p>
      <w:pPr>
        <w:pBdr>
          <w:bottom w:val="single" w:color="FFFFFF" w:sz="4" w:space="31"/>
        </w:pBdr>
        <w:shd w:val="clear" w:color="auto" w:fill="FFFFFF"/>
        <w:tabs>
          <w:tab w:val="left" w:pos="1440"/>
        </w:tabs>
        <w:adjustRightInd w:val="0"/>
        <w:snapToGrid w:val="0"/>
        <w:spacing w:line="560" w:lineRule="exact"/>
        <w:ind w:firstLine="640" w:firstLineChars="200"/>
        <w:rPr>
          <w:rFonts w:ascii="黑体" w:hAnsi="黑体" w:eastAsia="黑体"/>
          <w:sz w:val="32"/>
          <w:szCs w:val="32"/>
        </w:rPr>
      </w:pPr>
      <w:bookmarkStart w:id="38" w:name="_Toc15396609"/>
      <w:bookmarkStart w:id="39" w:name="_Toc15377215"/>
      <w:r>
        <w:rPr>
          <w:rFonts w:hint="eastAsia" w:ascii="黑体" w:hAnsi="黑体" w:eastAsia="黑体"/>
          <w:sz w:val="32"/>
          <w:szCs w:val="32"/>
        </w:rPr>
        <w:t>七、财政拨款“三公”经费支出决算情况说明</w:t>
      </w:r>
      <w:bookmarkEnd w:id="38"/>
      <w:bookmarkEnd w:id="39"/>
      <w:bookmarkStart w:id="40" w:name="_Toc15377216"/>
    </w:p>
    <w:p>
      <w:pPr>
        <w:pBdr>
          <w:bottom w:val="single" w:color="FFFFFF" w:sz="4" w:space="31"/>
        </w:pBdr>
        <w:shd w:val="clear" w:color="auto" w:fill="FFFFFF"/>
        <w:tabs>
          <w:tab w:val="left" w:pos="1440"/>
        </w:tabs>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（一）“三公”经费财政拨款支出决算总体情况说明</w:t>
      </w:r>
      <w:bookmarkEnd w:id="40"/>
    </w:p>
    <w:p>
      <w:pPr>
        <w:pBdr>
          <w:bottom w:val="single" w:color="FFFFFF" w:sz="4" w:space="31"/>
        </w:pBdr>
        <w:shd w:val="clear" w:color="auto" w:fill="FFFFFF"/>
        <w:tabs>
          <w:tab w:val="left" w:pos="1440"/>
        </w:tabs>
        <w:adjustRightInd w:val="0"/>
        <w:snapToGrid w:val="0"/>
        <w:spacing w:line="560" w:lineRule="exact"/>
        <w:ind w:firstLine="640" w:firstLineChars="200"/>
        <w:rPr>
          <w:rFonts w:ascii="仿宋" w:hAnsi="仿宋" w:eastAsia="仿宋" w:cs="仿宋_GB2312"/>
          <w:color w:val="000000"/>
          <w:sz w:val="32"/>
          <w:szCs w:val="32"/>
        </w:rPr>
      </w:pPr>
      <w:r>
        <w:rPr>
          <w:rFonts w:ascii="仿宋" w:hAnsi="仿宋" w:eastAsia="仿宋"/>
          <w:sz w:val="32"/>
          <w:szCs w:val="32"/>
        </w:rPr>
        <w:t>20</w:t>
      </w:r>
      <w:r>
        <w:rPr>
          <w:rFonts w:hint="eastAsia" w:ascii="仿宋" w:hAnsi="仿宋" w:eastAsia="仿宋"/>
          <w:sz w:val="32"/>
          <w:szCs w:val="32"/>
        </w:rPr>
        <w:t>22年“三公”经费财政拨款支出决算数为</w:t>
      </w:r>
      <w:r>
        <w:rPr>
          <w:rFonts w:ascii="仿宋" w:hAnsi="仿宋" w:eastAsia="仿宋" w:cs="仿宋_GB2312"/>
          <w:color w:val="000000"/>
          <w:sz w:val="32"/>
          <w:szCs w:val="32"/>
          <w:lang w:val="zh-CN"/>
        </w:rPr>
        <w:t>0.13</w:t>
      </w:r>
      <w:r>
        <w:rPr>
          <w:rFonts w:hint="eastAsia" w:ascii="仿宋" w:hAnsi="仿宋" w:eastAsia="仿宋"/>
          <w:sz w:val="32"/>
          <w:szCs w:val="32"/>
        </w:rPr>
        <w:t>万元，完成预算</w:t>
      </w:r>
      <w:r>
        <w:rPr>
          <w:rFonts w:ascii="仿宋" w:hAnsi="仿宋" w:eastAsia="仿宋" w:cs="仿宋_GB2312"/>
          <w:color w:val="000000"/>
          <w:sz w:val="32"/>
          <w:szCs w:val="32"/>
          <w:lang w:val="zh-CN"/>
        </w:rPr>
        <w:t>48.1</w:t>
      </w:r>
      <w:r>
        <w:rPr>
          <w:rFonts w:ascii="仿宋" w:hAnsi="仿宋" w:eastAsia="仿宋"/>
          <w:sz w:val="32"/>
          <w:szCs w:val="32"/>
        </w:rPr>
        <w:t>%</w:t>
      </w:r>
      <w:r>
        <w:rPr>
          <w:rFonts w:hint="eastAsia" w:ascii="仿宋" w:hAnsi="仿宋" w:eastAsia="仿宋"/>
          <w:sz w:val="32"/>
          <w:szCs w:val="32"/>
        </w:rPr>
        <w:t>，较上年增加0.08万元，增长160%。决算数小于预算数的主要原因是严格控制“三公”经费支出。</w:t>
      </w:r>
      <w:r>
        <w:rPr>
          <w:rFonts w:hint="eastAsia" w:ascii="仿宋" w:hAnsi="仿宋" w:eastAsia="仿宋" w:cs="仿宋_GB2312"/>
          <w:color w:val="000000"/>
          <w:sz w:val="32"/>
          <w:szCs w:val="32"/>
        </w:rPr>
        <w:t>无因公出国（出境）情况产生。</w:t>
      </w:r>
      <w:bookmarkStart w:id="41" w:name="_Toc15377217"/>
    </w:p>
    <w:p>
      <w:pPr>
        <w:numPr>
          <w:ilvl w:val="0"/>
          <w:numId w:val="1"/>
        </w:numPr>
        <w:pBdr>
          <w:bottom w:val="single" w:color="FFFFFF" w:sz="4" w:space="31"/>
        </w:pBdr>
        <w:shd w:val="clear" w:color="auto" w:fill="FFFFFF"/>
        <w:tabs>
          <w:tab w:val="left" w:pos="1440"/>
        </w:tabs>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“三公”经费财政拨款支出决算具体情况说明</w:t>
      </w:r>
      <w:bookmarkEnd w:id="41"/>
    </w:p>
    <w:p>
      <w:pPr>
        <w:pBdr>
          <w:bottom w:val="single" w:color="FFFFFF" w:sz="4" w:space="31"/>
        </w:pBdr>
        <w:shd w:val="clear" w:color="auto" w:fill="FFFFFF"/>
        <w:tabs>
          <w:tab w:val="left" w:pos="1440"/>
        </w:tabs>
        <w:adjustRightInd w:val="0"/>
        <w:snapToGrid w:val="0"/>
        <w:spacing w:line="560" w:lineRule="exact"/>
        <w:ind w:firstLine="640" w:firstLineChars="200"/>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；公务接待费支出决算0.13万元，占100</w:t>
      </w:r>
      <w:r>
        <w:rPr>
          <w:rFonts w:ascii="仿宋" w:hAnsi="仿宋" w:eastAsia="仿宋"/>
          <w:sz w:val="32"/>
          <w:szCs w:val="32"/>
        </w:rPr>
        <w:t>%</w:t>
      </w:r>
      <w:r>
        <w:rPr>
          <w:rFonts w:hint="eastAsia" w:ascii="仿宋" w:hAnsi="仿宋" w:eastAsia="仿宋"/>
          <w:sz w:val="32"/>
          <w:szCs w:val="32"/>
        </w:rPr>
        <w:t>。具体情况如下：</w:t>
      </w:r>
    </w:p>
    <w:p>
      <w:pPr>
        <w:pStyle w:val="2"/>
        <w:spacing w:before="93"/>
      </w:pPr>
      <w:r>
        <w:drawing>
          <wp:inline distT="0" distB="0" distL="0" distR="0">
            <wp:extent cx="5695315" cy="3161030"/>
            <wp:effectExtent l="19050" t="0" r="19256" b="701"/>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60" w:lineRule="exact"/>
        <w:ind w:firstLine="641"/>
        <w:rPr>
          <w:rFonts w:ascii="仿宋_GB2312" w:hAnsi="仿宋" w:eastAsia="仿宋_GB2312"/>
          <w:sz w:val="32"/>
          <w:szCs w:val="32"/>
        </w:rPr>
      </w:pPr>
      <w:r>
        <w:rPr>
          <w:rFonts w:hint="eastAsia" w:ascii="仿宋_GB2312" w:hAnsi="仿宋" w:eastAsia="仿宋_GB2312"/>
          <w:sz w:val="32"/>
          <w:szCs w:val="32"/>
        </w:rPr>
        <w:t>1.因公出国（境）经费支出0万元，</w:t>
      </w:r>
      <w:r>
        <w:rPr>
          <w:rStyle w:val="26"/>
          <w:rFonts w:hint="eastAsia" w:ascii="仿宋_GB2312" w:hAnsi="仿宋" w:eastAsia="仿宋_GB2312"/>
          <w:bCs/>
          <w:sz w:val="32"/>
          <w:szCs w:val="32"/>
        </w:rPr>
        <w:t>完成预算0%。</w:t>
      </w:r>
      <w:r>
        <w:rPr>
          <w:rFonts w:hint="eastAsia" w:ascii="仿宋_GB2312" w:hAnsi="仿宋" w:eastAsia="仿宋_GB2312"/>
          <w:sz w:val="32"/>
          <w:szCs w:val="32"/>
        </w:rPr>
        <w:t>全年安排因公出国（境）团组0次，出国（境）0次。因公出国（境）支出决算与2021年持平。</w:t>
      </w:r>
    </w:p>
    <w:p>
      <w:pPr>
        <w:spacing w:line="560" w:lineRule="exact"/>
        <w:ind w:firstLine="641"/>
        <w:rPr>
          <w:rFonts w:ascii="仿宋_GB2312" w:hAnsi="仿宋" w:eastAsia="仿宋_GB2312"/>
          <w:b/>
          <w:sz w:val="32"/>
          <w:szCs w:val="32"/>
        </w:rPr>
      </w:pPr>
      <w:r>
        <w:rPr>
          <w:rFonts w:hint="eastAsia" w:ascii="仿宋_GB2312" w:hAnsi="仿宋" w:eastAsia="仿宋_GB2312"/>
          <w:sz w:val="32"/>
          <w:szCs w:val="32"/>
        </w:rPr>
        <w:t>2.公务用车购置及运行维护费支出0万元,</w:t>
      </w:r>
      <w:r>
        <w:rPr>
          <w:rStyle w:val="26"/>
          <w:rFonts w:hint="eastAsia" w:ascii="仿宋_GB2312" w:hAnsi="仿宋" w:eastAsia="仿宋_GB2312"/>
          <w:bCs/>
          <w:sz w:val="32"/>
          <w:szCs w:val="32"/>
        </w:rPr>
        <w:t>完成预算0%</w:t>
      </w:r>
      <w:r>
        <w:rPr>
          <w:rStyle w:val="26"/>
          <w:rFonts w:hint="eastAsia" w:ascii="仿宋_GB2312" w:hAnsi="仿宋" w:eastAsia="仿宋_GB2312"/>
          <w:b/>
          <w:bCs/>
          <w:sz w:val="32"/>
          <w:szCs w:val="32"/>
        </w:rPr>
        <w:t>。</w:t>
      </w:r>
      <w:r>
        <w:rPr>
          <w:rFonts w:hint="eastAsia" w:ascii="仿宋_GB2312" w:hAnsi="仿宋" w:eastAsia="仿宋_GB2312"/>
          <w:sz w:val="32"/>
          <w:szCs w:val="32"/>
        </w:rPr>
        <w:t>公务用车购置及运行维护费支出决算与2021年持平。</w:t>
      </w:r>
    </w:p>
    <w:p>
      <w:pPr>
        <w:spacing w:line="560" w:lineRule="exact"/>
        <w:ind w:firstLine="641"/>
        <w:rPr>
          <w:rFonts w:ascii="仿宋_GB2312" w:hAnsi="仿宋" w:eastAsia="仿宋_GB2312"/>
          <w:sz w:val="32"/>
          <w:szCs w:val="32"/>
        </w:rPr>
      </w:pPr>
      <w:r>
        <w:rPr>
          <w:rFonts w:hint="eastAsia" w:ascii="仿宋_GB2312" w:hAnsi="仿宋" w:eastAsia="仿宋_GB2312"/>
          <w:sz w:val="32"/>
          <w:szCs w:val="32"/>
        </w:rPr>
        <w:t>其中：公务用车购置支出0万元。全年按规定更新购置公务用车0辆，其中：轿车0辆、金额0万元，越野车0辆、金额0万元，载客汽车0辆、金额0万元。截至2022年12月底，单位共有公务用车0辆，其中：轿车0辆、越野车0辆、载客汽车0辆。公务用车运行维护费支出0万元。</w:t>
      </w:r>
    </w:p>
    <w:p>
      <w:pPr>
        <w:spacing w:line="560" w:lineRule="exact"/>
        <w:ind w:firstLine="641"/>
        <w:rPr>
          <w:rFonts w:ascii="仿宋_GB2312" w:hAnsi="仿宋" w:eastAsia="仿宋_GB2312"/>
          <w:sz w:val="32"/>
          <w:szCs w:val="32"/>
        </w:rPr>
      </w:pPr>
      <w:r>
        <w:rPr>
          <w:rFonts w:hint="eastAsia" w:ascii="仿宋_GB2312" w:hAnsi="仿宋" w:eastAsia="仿宋_GB2312"/>
          <w:sz w:val="32"/>
          <w:szCs w:val="32"/>
        </w:rPr>
        <w:t>3.公务接待费支出0.13万元，</w:t>
      </w:r>
      <w:r>
        <w:rPr>
          <w:rStyle w:val="26"/>
          <w:rFonts w:hint="eastAsia" w:ascii="仿宋_GB2312" w:hAnsi="仿宋" w:eastAsia="仿宋_GB2312"/>
          <w:bCs/>
          <w:sz w:val="32"/>
          <w:szCs w:val="32"/>
        </w:rPr>
        <w:t>完成预算48.1%。</w:t>
      </w:r>
      <w:r>
        <w:rPr>
          <w:rFonts w:hint="eastAsia" w:ascii="仿宋_GB2312" w:hAnsi="仿宋" w:eastAsia="仿宋_GB2312"/>
          <w:sz w:val="32"/>
          <w:szCs w:val="32"/>
        </w:rPr>
        <w:t>公务接待费支出决算比2021年增加0.08万元，增长160%。主要原因是接待人数增加。其中：</w:t>
      </w:r>
    </w:p>
    <w:p>
      <w:pPr>
        <w:spacing w:line="560" w:lineRule="exact"/>
        <w:ind w:firstLine="641"/>
        <w:rPr>
          <w:rFonts w:ascii="仿宋_GB2312" w:hAnsi="仿宋" w:eastAsia="仿宋_GB2312"/>
          <w:sz w:val="32"/>
          <w:szCs w:val="32"/>
        </w:rPr>
      </w:pPr>
      <w:r>
        <w:rPr>
          <w:rFonts w:hint="eastAsia" w:ascii="仿宋_GB2312" w:hAnsi="仿宋" w:eastAsia="仿宋_GB2312"/>
          <w:sz w:val="32"/>
          <w:szCs w:val="32"/>
        </w:rPr>
        <w:t>国内公务接待支出0.13万元，主要用于执行公务、开展业务活动用餐，国内公务接待1批次，11人（不包括陪同人员），共计支出0.13万元。具体内容：接待会东县赴盐边县工业集中考察学习，支出0.13万元。</w:t>
      </w:r>
    </w:p>
    <w:p>
      <w:pPr>
        <w:spacing w:line="560" w:lineRule="exact"/>
        <w:ind w:firstLine="641"/>
        <w:rPr>
          <w:rFonts w:ascii="仿宋_GB2312" w:hAnsi="仿宋" w:eastAsia="仿宋_GB2312"/>
          <w:sz w:val="32"/>
          <w:szCs w:val="32"/>
        </w:rPr>
      </w:pPr>
      <w:r>
        <w:rPr>
          <w:rFonts w:hint="eastAsia" w:ascii="仿宋_GB2312" w:hAnsi="仿宋" w:eastAsia="仿宋_GB2312"/>
          <w:sz w:val="32"/>
          <w:szCs w:val="32"/>
        </w:rPr>
        <w:t>外事接待支出0万元。</w:t>
      </w:r>
      <w:bookmarkStart w:id="42" w:name="_Toc15377218"/>
      <w:bookmarkStart w:id="43" w:name="_Toc15396610"/>
    </w:p>
    <w:p>
      <w:pPr>
        <w:spacing w:line="560" w:lineRule="exact"/>
        <w:ind w:firstLine="640"/>
        <w:outlineLvl w:val="1"/>
        <w:rPr>
          <w:rFonts w:ascii="黑体" w:hAnsi="黑体" w:eastAsia="黑体"/>
          <w:sz w:val="32"/>
          <w:szCs w:val="32"/>
        </w:rPr>
      </w:pPr>
      <w:r>
        <w:rPr>
          <w:rFonts w:hint="eastAsia" w:ascii="黑体" w:hAnsi="黑体" w:eastAsia="黑体"/>
          <w:sz w:val="32"/>
          <w:szCs w:val="32"/>
        </w:rPr>
        <w:t>八、政府性基金预算支出决算情况说明</w:t>
      </w:r>
      <w:bookmarkEnd w:id="42"/>
      <w:bookmarkEnd w:id="43"/>
    </w:p>
    <w:p>
      <w:pPr>
        <w:pBdr>
          <w:bottom w:val="single" w:color="FFFFFF" w:sz="4" w:space="31"/>
        </w:pBdr>
        <w:shd w:val="clear" w:color="auto" w:fill="FFFFFF"/>
        <w:tabs>
          <w:tab w:val="left" w:pos="1440"/>
        </w:tabs>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2022年政府性基金预算财政拨款支出</w:t>
      </w:r>
      <w:r>
        <w:rPr>
          <w:rFonts w:hint="eastAsia" w:ascii="仿宋_GB2312" w:hAnsi="仿宋" w:eastAsia="仿宋_GB2312" w:cs="仿宋_GB2312"/>
          <w:color w:val="000000"/>
          <w:sz w:val="32"/>
          <w:szCs w:val="32"/>
          <w:lang w:val="zh-CN"/>
        </w:rPr>
        <w:t>18,798.63</w:t>
      </w:r>
      <w:r>
        <w:rPr>
          <w:rFonts w:hint="eastAsia" w:ascii="仿宋_GB2312" w:hAnsi="仿宋" w:eastAsia="仿宋_GB2312"/>
          <w:sz w:val="32"/>
          <w:szCs w:val="32"/>
        </w:rPr>
        <w:t>万元。主要用于</w:t>
      </w:r>
      <w:r>
        <w:rPr>
          <w:rFonts w:hint="eastAsia" w:ascii="仿宋_GB2312" w:hAnsi="仿宋" w:eastAsia="仿宋_GB2312"/>
          <w:color w:val="000000"/>
          <w:sz w:val="32"/>
          <w:szCs w:val="32"/>
        </w:rPr>
        <w:t>盐边县钒钛产业开发区钛材加工园基础设施建设项目二期工程18700万元；美利林35kv临时供电工程98.63万元。</w:t>
      </w:r>
      <w:bookmarkStart w:id="44" w:name="_Toc15396611"/>
      <w:bookmarkStart w:id="45" w:name="_Toc15377219"/>
    </w:p>
    <w:p>
      <w:pPr>
        <w:pBdr>
          <w:bottom w:val="single" w:color="FFFFFF" w:sz="4" w:space="31"/>
        </w:pBdr>
        <w:shd w:val="clear" w:color="auto" w:fill="FFFFFF"/>
        <w:tabs>
          <w:tab w:val="left" w:pos="1440"/>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color w:val="000000"/>
          <w:sz w:val="32"/>
          <w:szCs w:val="32"/>
        </w:rPr>
        <w:t>九、</w:t>
      </w:r>
      <w:r>
        <w:rPr>
          <w:rFonts w:hint="eastAsia" w:ascii="黑体" w:hAnsi="黑体" w:eastAsia="黑体"/>
          <w:sz w:val="32"/>
          <w:szCs w:val="32"/>
        </w:rPr>
        <w:t>国有资本经营预算支出决算情况说明</w:t>
      </w:r>
      <w:bookmarkEnd w:id="44"/>
      <w:bookmarkEnd w:id="45"/>
    </w:p>
    <w:p>
      <w:pPr>
        <w:pBdr>
          <w:bottom w:val="single" w:color="FFFFFF" w:sz="4" w:space="31"/>
        </w:pBdr>
        <w:shd w:val="clear" w:color="auto" w:fill="FFFFFF"/>
        <w:tabs>
          <w:tab w:val="left" w:pos="1440"/>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2022年国有资本经营预算财政拨款支出0万元。本部门没有国有资本经营预算拨款收入，也没有使用国有资本经营预算拨款安排的支出。</w:t>
      </w:r>
      <w:bookmarkStart w:id="46" w:name="_Toc15377221"/>
      <w:bookmarkStart w:id="47" w:name="_Toc15396612"/>
    </w:p>
    <w:p>
      <w:pPr>
        <w:pBdr>
          <w:bottom w:val="single" w:color="FFFFFF" w:sz="4" w:space="31"/>
        </w:pBdr>
        <w:shd w:val="clear" w:color="auto" w:fill="FFFFFF"/>
        <w:tabs>
          <w:tab w:val="left" w:pos="1440"/>
        </w:tabs>
        <w:adjustRightInd w:val="0"/>
        <w:snapToGrid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十、其他重要事项的情况说明</w:t>
      </w:r>
      <w:bookmarkEnd w:id="46"/>
      <w:bookmarkEnd w:id="47"/>
      <w:bookmarkStart w:id="48" w:name="_Toc15377222"/>
    </w:p>
    <w:p>
      <w:pPr>
        <w:pBdr>
          <w:bottom w:val="single" w:color="FFFFFF" w:sz="4" w:space="31"/>
        </w:pBdr>
        <w:shd w:val="clear" w:color="auto" w:fill="FFFFFF"/>
        <w:tabs>
          <w:tab w:val="left" w:pos="1440"/>
        </w:tabs>
        <w:adjustRightInd w:val="0"/>
        <w:snapToGrid w:val="0"/>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（一）机关运行经费支出情况</w:t>
      </w:r>
      <w:bookmarkEnd w:id="48"/>
    </w:p>
    <w:p>
      <w:pPr>
        <w:pBdr>
          <w:bottom w:val="single" w:color="FFFFFF" w:sz="4" w:space="31"/>
        </w:pBdr>
        <w:shd w:val="clear" w:color="auto" w:fill="FFFFFF"/>
        <w:tabs>
          <w:tab w:val="left" w:pos="1440"/>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2022年，盐边钒钛产业开发区管理委员会机关运行经费支出</w:t>
      </w:r>
      <w:r>
        <w:rPr>
          <w:rFonts w:hint="eastAsia" w:ascii="仿宋_GB2312" w:hAnsi="仿宋" w:eastAsia="仿宋_GB2312" w:cs="仿宋_GB2312"/>
          <w:color w:val="000000"/>
          <w:sz w:val="32"/>
          <w:szCs w:val="32"/>
          <w:lang w:val="zh-CN"/>
        </w:rPr>
        <w:t>32.23</w:t>
      </w:r>
      <w:r>
        <w:rPr>
          <w:rFonts w:hint="eastAsia" w:ascii="仿宋_GB2312" w:hAnsi="仿宋" w:eastAsia="仿宋_GB2312"/>
          <w:sz w:val="32"/>
          <w:szCs w:val="32"/>
        </w:rPr>
        <w:t>万元，比2021年减少1.92万元，下降5.6%。主要原因是落实过紧日子要求，厉行节约，从严控制和压缩相关经费支出。</w:t>
      </w:r>
      <w:bookmarkStart w:id="49" w:name="_Toc15377223"/>
    </w:p>
    <w:p>
      <w:pPr>
        <w:pBdr>
          <w:bottom w:val="single" w:color="FFFFFF" w:sz="4" w:space="31"/>
        </w:pBdr>
        <w:shd w:val="clear" w:color="auto" w:fill="FFFFFF"/>
        <w:tabs>
          <w:tab w:val="left" w:pos="1440"/>
        </w:tabs>
        <w:adjustRightInd w:val="0"/>
        <w:snapToGrid w:val="0"/>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（二）政府采购支出情况</w:t>
      </w:r>
      <w:bookmarkEnd w:id="49"/>
    </w:p>
    <w:p>
      <w:pPr>
        <w:pBdr>
          <w:bottom w:val="single" w:color="FFFFFF" w:sz="4" w:space="31"/>
        </w:pBdr>
        <w:shd w:val="clear" w:color="auto" w:fill="FFFFFF"/>
        <w:tabs>
          <w:tab w:val="left" w:pos="1440"/>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盐边钒钛产业区管理委员会政府采购支出总额0万元，其中：政府采购货物支出0万元、政府采购工程支出0万元、政府采购服务支出0万元。授予中小企业合同金额0万元，占政府采购支出总额的0%，其中：授予小微企业合同金额0万元，占政府采购支出总额的0%。</w:t>
      </w:r>
      <w:bookmarkStart w:id="50" w:name="_Toc15377224"/>
    </w:p>
    <w:p>
      <w:pPr>
        <w:pBdr>
          <w:bottom w:val="single" w:color="FFFFFF" w:sz="4" w:space="31"/>
        </w:pBdr>
        <w:shd w:val="clear" w:color="auto" w:fill="FFFFFF"/>
        <w:tabs>
          <w:tab w:val="left" w:pos="1440"/>
        </w:tabs>
        <w:adjustRightInd w:val="0"/>
        <w:snapToGrid w:val="0"/>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（三）国有资产占有使用情况</w:t>
      </w:r>
      <w:bookmarkEnd w:id="50"/>
    </w:p>
    <w:p>
      <w:pPr>
        <w:pBdr>
          <w:bottom w:val="single" w:color="FFFFFF" w:sz="4" w:space="31"/>
        </w:pBdr>
        <w:shd w:val="clear" w:color="auto" w:fill="FFFFFF"/>
        <w:tabs>
          <w:tab w:val="left" w:pos="1440"/>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截至2022年12月31日，盐边钒钛产业开发区管理委员会共有车辆0辆，其中：主要领导干部用车0辆、机要通信用车0辆、应急保障用车0辆、其他用车0辆。单价100万元以上专用设备0台（套）。</w:t>
      </w:r>
    </w:p>
    <w:p>
      <w:pPr>
        <w:pBdr>
          <w:bottom w:val="single" w:color="FFFFFF" w:sz="4" w:space="31"/>
        </w:pBdr>
        <w:shd w:val="clear" w:color="auto" w:fill="FFFFFF"/>
        <w:tabs>
          <w:tab w:val="left" w:pos="1440"/>
        </w:tabs>
        <w:adjustRightInd w:val="0"/>
        <w:snapToGrid w:val="0"/>
        <w:spacing w:line="560" w:lineRule="exact"/>
        <w:ind w:firstLine="643" w:firstLineChars="200"/>
        <w:rPr>
          <w:rFonts w:ascii="仿宋_GB2312" w:eastAsia="仿宋_GB2312"/>
        </w:rPr>
      </w:pPr>
      <w:r>
        <w:rPr>
          <w:rFonts w:hint="eastAsia" w:ascii="仿宋_GB2312" w:hAnsi="仿宋" w:eastAsia="仿宋_GB2312"/>
          <w:b/>
          <w:sz w:val="32"/>
          <w:szCs w:val="32"/>
        </w:rPr>
        <w:t>（四）预算绩效管理情况</w:t>
      </w:r>
    </w:p>
    <w:p>
      <w:pPr>
        <w:pBdr>
          <w:bottom w:val="single" w:color="FFFFFF" w:sz="4" w:space="31"/>
        </w:pBdr>
        <w:shd w:val="clear" w:color="auto" w:fill="FFFFFF"/>
        <w:tabs>
          <w:tab w:val="left" w:pos="1440"/>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根据预算绩效管理要求，本部门在2022年度预算编制阶段，组织对220kv榄青线87#塔滑消缺工程、化工园申报项目、路牌及限行标志项目、美利林35KV临时用电工程、盐边钒钛产业开发区钛材加工园基础设施建设项目二期工程、工高办工作费等6个项目开展了预算事前绩效评估，对6个项目编制了绩效目标，预算执行过程中，选取5个项目开展绩效监控。年终执行完毕后，对所有项目开展了绩效目标完成情况自评。</w:t>
      </w:r>
    </w:p>
    <w:p>
      <w:pPr>
        <w:pBdr>
          <w:bottom w:val="single" w:color="FFFFFF" w:sz="4" w:space="31"/>
        </w:pBdr>
        <w:shd w:val="clear" w:color="auto" w:fill="FFFFFF"/>
        <w:tabs>
          <w:tab w:val="left" w:pos="1440"/>
        </w:tabs>
        <w:adjustRightInd w:val="0"/>
        <w:snapToGrid w:val="0"/>
        <w:spacing w:line="560" w:lineRule="exact"/>
        <w:ind w:firstLine="640" w:firstLineChars="200"/>
        <w:rPr>
          <w:rFonts w:ascii="仿宋_GB2312" w:eastAsia="仿宋_GB2312"/>
        </w:rPr>
      </w:pPr>
      <w:r>
        <w:rPr>
          <w:rFonts w:hint="eastAsia" w:ascii="仿宋_GB2312" w:hAnsi="仿宋" w:eastAsia="仿宋_GB2312" w:cs="仿宋_GB2312"/>
          <w:sz w:val="32"/>
          <w:szCs w:val="32"/>
        </w:rPr>
        <w:t>本部门按要求对2022年部门整体支出开展绩效自评，从评价情况来看</w:t>
      </w:r>
      <w:r>
        <w:rPr>
          <w:rFonts w:hint="eastAsia" w:ascii="仿宋_GB2312" w:hAnsi="仿宋" w:eastAsia="仿宋_GB2312" w:cs="仿宋_GB2312"/>
          <w:sz w:val="32"/>
          <w:szCs w:val="32"/>
          <w:shd w:val="clear" w:color="auto" w:fill="FFFFFF"/>
        </w:rPr>
        <w:t>2022年管委会部门预算支出进度基本与预算相符，财务制度、内控制度健全、规范，账务处理及时，会计核算规范，绩效有所提高。</w:t>
      </w:r>
      <w:r>
        <w:rPr>
          <w:rFonts w:hint="eastAsia" w:ascii="仿宋_GB2312" w:hAnsi="仿宋" w:eastAsia="仿宋_GB2312" w:cs="仿宋_GB2312"/>
          <w:sz w:val="32"/>
          <w:szCs w:val="32"/>
        </w:rPr>
        <w:t>本部门组织对2022年度部门所有预算资金全面开展绩效自评，形成《盐边钒钛产业开发区管理委员会2022年部门整体支出绩效评价报告》(附件1)、《园区道路路牌及限行标志项目自评报告》（附件2）、《220kv榄青线87号塔消缺失工程项目自评报告》（附件3）、《安宁化工园纳入钒钛高新区申报编制项目自评报告》（附件4）、《盐边钒钛产业开发区钛材加工园基础设施建设项目二期工程自评报告》（附件5）、《美利林35kv临时供电工程项目自评报告》（附件6）专项预算项目绩效自评报告。其中，盐边钒钛产业开发区管理委员会部门整体（含部门预算项目）绩效自评得分为92分，绩效自评综述：本部门</w:t>
      </w:r>
      <w:r>
        <w:rPr>
          <w:rFonts w:hint="eastAsia" w:ascii="仿宋_GB2312" w:hAnsi="仿宋" w:eastAsia="仿宋_GB2312"/>
          <w:sz w:val="32"/>
          <w:szCs w:val="32"/>
        </w:rPr>
        <w:t>围绕预算编制、预算执行、支出绩效三个方面对2022年度部门整体绩效进行了认真自评，根据得分情况本部门支出绩效评价等级为“良好”。</w:t>
      </w:r>
    </w:p>
    <w:p>
      <w:pPr>
        <w:spacing w:line="560" w:lineRule="exact"/>
        <w:jc w:val="left"/>
        <w:outlineLvl w:val="0"/>
        <w:rPr>
          <w:rFonts w:ascii="黑体" w:hAnsi="黑体" w:eastAsia="黑体"/>
          <w:b/>
          <w:sz w:val="44"/>
          <w:szCs w:val="44"/>
        </w:rPr>
      </w:pPr>
      <w:bookmarkStart w:id="51" w:name="_Toc15396613"/>
      <w:bookmarkStart w:id="52" w:name="_Toc15377225"/>
      <w:r>
        <w:rPr>
          <w:rFonts w:hint="eastAsia" w:ascii="黑体" w:hAnsi="黑体" w:eastAsia="黑体"/>
          <w:b/>
          <w:sz w:val="44"/>
          <w:szCs w:val="44"/>
        </w:rPr>
        <w:t xml:space="preserve">          </w:t>
      </w:r>
    </w:p>
    <w:p>
      <w:pPr>
        <w:spacing w:line="560" w:lineRule="exact"/>
        <w:jc w:val="left"/>
        <w:outlineLvl w:val="0"/>
        <w:rPr>
          <w:rFonts w:ascii="黑体" w:hAnsi="黑体" w:eastAsia="黑体"/>
          <w:b/>
          <w:sz w:val="44"/>
          <w:szCs w:val="44"/>
        </w:rPr>
      </w:pPr>
    </w:p>
    <w:p>
      <w:pPr>
        <w:spacing w:line="560" w:lineRule="exact"/>
        <w:jc w:val="left"/>
        <w:outlineLvl w:val="0"/>
        <w:rPr>
          <w:rFonts w:ascii="黑体" w:hAnsi="黑体" w:eastAsia="黑体"/>
          <w:b/>
          <w:sz w:val="44"/>
          <w:szCs w:val="44"/>
        </w:rPr>
      </w:pPr>
    </w:p>
    <w:p>
      <w:pPr>
        <w:spacing w:line="560" w:lineRule="exact"/>
        <w:jc w:val="left"/>
        <w:outlineLvl w:val="0"/>
        <w:rPr>
          <w:rFonts w:ascii="黑体" w:hAnsi="黑体" w:eastAsia="黑体"/>
          <w:b/>
          <w:sz w:val="44"/>
          <w:szCs w:val="44"/>
        </w:rPr>
      </w:pPr>
    </w:p>
    <w:p>
      <w:pPr>
        <w:spacing w:line="560" w:lineRule="exact"/>
        <w:jc w:val="left"/>
        <w:outlineLvl w:val="0"/>
        <w:rPr>
          <w:rFonts w:ascii="黑体" w:hAnsi="黑体" w:eastAsia="黑体"/>
          <w:b/>
          <w:sz w:val="44"/>
          <w:szCs w:val="44"/>
        </w:rPr>
      </w:pPr>
    </w:p>
    <w:p>
      <w:pPr>
        <w:spacing w:line="560" w:lineRule="exact"/>
        <w:jc w:val="left"/>
        <w:outlineLvl w:val="0"/>
        <w:rPr>
          <w:rFonts w:ascii="黑体" w:hAnsi="黑体" w:eastAsia="黑体"/>
          <w:b/>
          <w:sz w:val="44"/>
          <w:szCs w:val="44"/>
        </w:rPr>
      </w:pPr>
    </w:p>
    <w:p>
      <w:pPr>
        <w:spacing w:line="560" w:lineRule="exact"/>
        <w:jc w:val="left"/>
        <w:outlineLvl w:val="0"/>
        <w:rPr>
          <w:rFonts w:ascii="方正小标宋简体" w:hAnsi="黑体" w:eastAsia="方正小标宋简体"/>
          <w:sz w:val="44"/>
          <w:szCs w:val="44"/>
        </w:rPr>
      </w:pPr>
      <w:r>
        <w:rPr>
          <w:rFonts w:hint="eastAsia" w:ascii="黑体" w:hAnsi="黑体" w:eastAsia="黑体"/>
          <w:b/>
          <w:sz w:val="44"/>
          <w:szCs w:val="44"/>
        </w:rPr>
        <w:t xml:space="preserve">          </w:t>
      </w:r>
      <w:r>
        <w:rPr>
          <w:rFonts w:hint="eastAsia" w:ascii="方正小标宋简体" w:hAnsi="黑体" w:eastAsia="方正小标宋简体"/>
          <w:sz w:val="44"/>
          <w:szCs w:val="44"/>
        </w:rPr>
        <w:t>第三部分名词解释</w:t>
      </w:r>
      <w:bookmarkEnd w:id="51"/>
      <w:bookmarkEnd w:id="52"/>
    </w:p>
    <w:p>
      <w:pPr>
        <w:spacing w:line="560" w:lineRule="exact"/>
        <w:ind w:firstLine="640" w:firstLineChars="200"/>
        <w:jc w:val="left"/>
        <w:outlineLvl w:val="0"/>
        <w:rPr>
          <w:rFonts w:ascii="仿宋_GB2312" w:hAnsi="仿宋" w:eastAsia="仿宋_GB2312"/>
          <w:sz w:val="32"/>
          <w:szCs w:val="32"/>
        </w:rPr>
      </w:pPr>
      <w:r>
        <w:rPr>
          <w:rFonts w:hint="eastAsia" w:ascii="仿宋_GB2312" w:hAnsi="仿宋" w:eastAsia="仿宋_GB2312"/>
          <w:sz w:val="32"/>
          <w:szCs w:val="32"/>
        </w:rPr>
        <w:t>1.财政拨款收入：指单位从同级财政部门取得的财政预算资金。</w:t>
      </w:r>
    </w:p>
    <w:p>
      <w:pPr>
        <w:spacing w:line="560" w:lineRule="exact"/>
        <w:ind w:firstLine="640" w:firstLineChars="200"/>
        <w:jc w:val="left"/>
        <w:outlineLvl w:val="0"/>
        <w:rPr>
          <w:rFonts w:ascii="仿宋_GB2312" w:hAnsi="仿宋" w:eastAsia="仿宋_GB2312"/>
          <w:sz w:val="32"/>
          <w:szCs w:val="32"/>
        </w:rPr>
      </w:pPr>
      <w:r>
        <w:rPr>
          <w:rFonts w:hint="eastAsia" w:ascii="仿宋_GB2312" w:hAnsi="仿宋" w:eastAsia="仿宋_GB2312"/>
          <w:sz w:val="32"/>
          <w:szCs w:val="32"/>
        </w:rPr>
        <w:t>2.事业收入：指事业单位开展专业业务活动及辅助活动取得的收入。</w:t>
      </w:r>
    </w:p>
    <w:p>
      <w:pPr>
        <w:spacing w:line="560" w:lineRule="exact"/>
        <w:ind w:firstLine="640" w:firstLineChars="200"/>
        <w:jc w:val="left"/>
        <w:outlineLvl w:val="0"/>
        <w:rPr>
          <w:rFonts w:ascii="仿宋_GB2312" w:hAnsi="仿宋" w:eastAsia="仿宋_GB2312"/>
          <w:sz w:val="32"/>
          <w:szCs w:val="32"/>
        </w:rPr>
      </w:pPr>
      <w:r>
        <w:rPr>
          <w:rFonts w:hint="eastAsia" w:ascii="仿宋_GB2312" w:hAnsi="仿宋" w:eastAsia="仿宋_GB2312"/>
          <w:sz w:val="32"/>
          <w:szCs w:val="32"/>
        </w:rPr>
        <w:t>3.年初结转和结余：指以前年度尚未完成、结转到本年按有关规定继续使用的资金。</w:t>
      </w:r>
    </w:p>
    <w:p>
      <w:pPr>
        <w:spacing w:line="560" w:lineRule="exact"/>
        <w:ind w:firstLine="640" w:firstLineChars="200"/>
        <w:jc w:val="left"/>
        <w:outlineLvl w:val="0"/>
        <w:rPr>
          <w:rFonts w:ascii="仿宋_GB2312" w:hAnsi="仿宋" w:eastAsia="仿宋_GB2312"/>
          <w:sz w:val="32"/>
          <w:szCs w:val="32"/>
        </w:rPr>
      </w:pPr>
      <w:r>
        <w:rPr>
          <w:rFonts w:hint="eastAsia" w:ascii="仿宋_GB2312" w:hAnsi="仿宋" w:eastAsia="仿宋_GB2312"/>
          <w:sz w:val="32"/>
          <w:szCs w:val="32"/>
        </w:rPr>
        <w:t>4.年末结转和结余：指单位按有关规定结转到下年或以后年度继续使用的资金。</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5.一般公共服务支出（类）政府办公厅(室)及相关机构事务（款）行政运行（项）</w:t>
      </w:r>
      <w:r>
        <w:rPr>
          <w:rFonts w:hint="eastAsia" w:ascii="仿宋_GB2312" w:hAnsi="仿宋" w:eastAsia="仿宋_GB2312" w:cs="仿宋_GB2312"/>
          <w:sz w:val="32"/>
          <w:szCs w:val="32"/>
        </w:rPr>
        <w:t>指反映政府办公厅（室）及相关机构事务的行政单位基本支出。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w:t>
      </w:r>
      <w:r>
        <w:rPr>
          <w:rFonts w:hint="eastAsia" w:ascii="仿宋_GB2312" w:hAnsi="仿宋" w:eastAsia="仿宋_GB2312"/>
          <w:sz w:val="32"/>
          <w:szCs w:val="32"/>
        </w:rPr>
        <w:t>一般公共服务支出（类）政府办公厅(室)及相关机构事务（款）一般行政管理事务（项）</w:t>
      </w:r>
      <w:r>
        <w:rPr>
          <w:rFonts w:hint="eastAsia" w:ascii="仿宋_GB2312" w:hAnsi="仿宋" w:eastAsia="仿宋_GB2312" w:cs="仿宋_GB2312"/>
          <w:sz w:val="32"/>
          <w:szCs w:val="32"/>
        </w:rPr>
        <w:t>指反映行政单位（包括实行公务员管理的事业单位）未单独设置项级科目的其他项目支出。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w:t>
      </w:r>
      <w:r>
        <w:rPr>
          <w:rFonts w:hint="eastAsia" w:ascii="仿宋_GB2312" w:hAnsi="仿宋" w:eastAsia="仿宋_GB2312"/>
          <w:sz w:val="32"/>
          <w:szCs w:val="32"/>
        </w:rPr>
        <w:t>一般公共服务支出（类）政府办公厅(室)及相关机构事务（款）事业运行（项）</w:t>
      </w:r>
      <w:r>
        <w:rPr>
          <w:rFonts w:hint="eastAsia" w:ascii="仿宋_GB2312" w:hAnsi="仿宋" w:eastAsia="仿宋_GB2312" w:cs="仿宋_GB2312"/>
          <w:sz w:val="32"/>
          <w:szCs w:val="32"/>
        </w:rPr>
        <w:t>反映事业单位的基本支出，不包括行政单位（包括实行公务中国风管理的事业单位）后勤服务中心、医务室等附属事业单位。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w:t>
      </w:r>
      <w:r>
        <w:rPr>
          <w:rFonts w:hint="eastAsia" w:ascii="仿宋_GB2312" w:hAnsi="仿宋" w:eastAsia="仿宋_GB2312"/>
          <w:sz w:val="32"/>
          <w:szCs w:val="32"/>
        </w:rPr>
        <w:t>一般公共服务支出（类）政府办公厅(室)及相关机构事务（款）其他政府办公厅（室）及相关机构事务支出</w:t>
      </w:r>
      <w:r>
        <w:rPr>
          <w:rFonts w:hint="eastAsia" w:ascii="仿宋_GB2312" w:hAnsi="仿宋" w:eastAsia="仿宋_GB2312" w:cs="仿宋_GB2312"/>
          <w:sz w:val="32"/>
          <w:szCs w:val="32"/>
        </w:rPr>
        <w:t>反映除上述项目以外的其他政府办公厅（室）及相关机构事务支出。</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9.</w:t>
      </w:r>
      <w:r>
        <w:rPr>
          <w:rFonts w:hint="eastAsia" w:ascii="仿宋_GB2312" w:hAnsi="仿宋" w:eastAsia="仿宋_GB2312"/>
          <w:sz w:val="32"/>
          <w:szCs w:val="32"/>
        </w:rPr>
        <w:t>一般公共服务支出（类）政府办公厅(室)及相关机构事务（款）行政运行（项）</w:t>
      </w:r>
      <w:r>
        <w:rPr>
          <w:rFonts w:hint="eastAsia" w:ascii="仿宋_GB2312" w:hAnsi="仿宋" w:eastAsia="仿宋_GB2312" w:cs="仿宋_GB2312"/>
          <w:sz w:val="32"/>
          <w:szCs w:val="32"/>
        </w:rPr>
        <w:t>反映行政单位（包括实行公务员管理的事业单位）的基本支出。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10.社会保障和就业支出（类）行政事业单位养老支出（款）事业单位离退休（项）反映事业单位开支的离退休经费。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11.社会保障和就业支出（类）行政事业单位养老支出（款）机关事业单位基本养老保险缴费支出（项）反映机关事业单位实施养老保险制度由单位缴纳的基本养老保险费支出。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12.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才战士待遇人员的医疗经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13.卫生健康支出（类）行政事业单位医疗（款）事业单位医疗（项）反映财政部门安排的事业单位基本医疗保险缴费经费，未参加医疗保险的事业单位的公费医疗经费，按国家规定享受离休人员待遇的医疗经费。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14.卫生健康支出（类）行政事业单位医疗（款）公务员医疗补助（项）反映财政部门安排的公务员医疗补助经费。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15.卫生健康支出（类）行政事业单位医疗（款）其他行政事业单位医疗支出反映除上述项目以外的其他用于行政事业单位医疗方面的支出。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16.节能环保支出（类）环境保护管理事务（款）其他环境保护管理事务支出（项）反映除上述项目以外其他用于环境保护管理事务方面的支出。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17.节能环保支出（类）污染防治（款）其他自然生态保护支出(项)反映除上述项目以外其他用于污染防治方面的支出。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18.城乡社区支出（类）国有土地使用权出让收入安排的支出（款）农村基础设施建设支出反映土地出让收入用于农村供水保障、村庄公共设施建设和管护以及与农业农村直接相关的以工代赈等方面的支出。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19.农林水支出（类）其他农林水支出（款）其他农林水支出（项）反映除化解债务支出以外其他用于农林水一方面的支出。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20.住房保障支出（类）住房改革支出（款）住房公积金（项）反映行政事业单位按人力资源的社会保障部、财政部规定的基本工资和津贴补贴以及规定比例为职工缴纳的住房公积金。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21.其他支出（类）其他政府性基金及对应专项债务收入安排的支出（款）其他地方自行试点项目收益专项债券收入安排的支出（项）指其他地主自行试点项目收益专项债券收入安排的支出。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22.基本支出：指为保障机构正常运转、完成日常工作任务而发生的人员支出和公用支出。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23.项目支出：指在基本支出之外为完成特定行政任务和事业发展目标所发生的支出。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24.“三公”经费：指部门用财政拨款安排的因公出国（境）费、公务用车购置及运行费和公务接待费。其中，因公出国（境）费反映单位公务出国（境）的国际旅费、国外城市间交通费、住宿费、伙食费、培训费、公杂费等支出；公务用车运行维护费反映单位按规定保留的公务用车燃料费、维修费、过路过桥费、保险费、安全奖励费用等支出。公务用车购置反映公务用车购置支出（含车辆购置税、牌照费）。公务接待费反映单位按规定开支的各类公务接待（含外宾接待）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2"/>
        <w:spacing w:line="560" w:lineRule="exact"/>
        <w:ind w:firstLine="643" w:firstLineChars="200"/>
        <w:rPr>
          <w:rFonts w:ascii="仿宋_GB2312" w:eastAsia="仿宋_GB2312" w:cs="黑体"/>
          <w:color w:val="auto"/>
          <w:sz w:val="32"/>
          <w:szCs w:val="32"/>
        </w:rPr>
      </w:pPr>
    </w:p>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jc w:val="center"/>
        <w:outlineLvl w:val="0"/>
        <w:rPr>
          <w:rFonts w:ascii="方正小标宋简体" w:hAnsi="黑体" w:eastAsia="方正小标宋简体"/>
          <w:sz w:val="44"/>
          <w:szCs w:val="44"/>
        </w:rPr>
      </w:pPr>
      <w:bookmarkStart w:id="53" w:name="_Toc15396614"/>
      <w:bookmarkStart w:id="54" w:name="_Toc15377226"/>
      <w:r>
        <w:rPr>
          <w:rFonts w:hint="eastAsia" w:ascii="方正小标宋简体" w:hAnsi="黑体" w:eastAsia="方正小标宋简体"/>
          <w:sz w:val="44"/>
          <w:szCs w:val="44"/>
        </w:rPr>
        <w:t>第四部分 附件</w:t>
      </w:r>
      <w:bookmarkEnd w:id="53"/>
    </w:p>
    <w:p>
      <w:pPr>
        <w:widowControl/>
        <w:spacing w:line="560" w:lineRule="exact"/>
        <w:contextualSpacing/>
        <w:rPr>
          <w:rFonts w:ascii="黑体" w:hAnsi="黑体" w:eastAsia="黑体"/>
          <w:sz w:val="32"/>
          <w:szCs w:val="32"/>
          <w:shd w:val="clear" w:color="auto" w:fill="FFFFFF"/>
        </w:rPr>
      </w:pPr>
      <w:r>
        <w:rPr>
          <w:rFonts w:hint="eastAsia" w:ascii="黑体" w:hAnsi="黑体" w:eastAsia="黑体"/>
          <w:sz w:val="32"/>
          <w:szCs w:val="32"/>
          <w:shd w:val="clear" w:color="auto" w:fill="FFFFFF"/>
        </w:rPr>
        <w:t>附件1</w:t>
      </w:r>
    </w:p>
    <w:p>
      <w:pPr>
        <w:pStyle w:val="8"/>
        <w:spacing w:line="6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盐边钒钛产业开发区建设管理委员会</w:t>
      </w:r>
    </w:p>
    <w:p>
      <w:pPr>
        <w:pStyle w:val="8"/>
        <w:spacing w:line="6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2022年部门预算整体绩效自评报告</w:t>
      </w:r>
    </w:p>
    <w:p>
      <w:pPr>
        <w:widowControl/>
        <w:adjustRightInd w:val="0"/>
        <w:snapToGrid w:val="0"/>
        <w:spacing w:line="580" w:lineRule="exact"/>
        <w:ind w:firstLine="720" w:firstLineChars="200"/>
        <w:contextualSpacing/>
        <w:jc w:val="left"/>
        <w:rPr>
          <w:rFonts w:ascii="方正小标宋简体" w:eastAsia="方正小标宋简体"/>
          <w:color w:val="000000"/>
          <w:kern w:val="0"/>
          <w:sz w:val="36"/>
          <w:szCs w:val="36"/>
          <w:shd w:val="clear" w:color="auto" w:fill="FFFFFF"/>
        </w:rPr>
      </w:pPr>
    </w:p>
    <w:p>
      <w:pPr>
        <w:widowControl/>
        <w:adjustRightInd w:val="0"/>
        <w:snapToGrid w:val="0"/>
        <w:spacing w:line="560" w:lineRule="exact"/>
        <w:ind w:firstLine="640" w:firstLineChars="200"/>
        <w:contextualSpacing/>
        <w:jc w:val="left"/>
        <w:rPr>
          <w:rFonts w:ascii="黑体" w:hAnsi="黑体" w:eastAsia="黑体"/>
          <w:color w:val="000000"/>
          <w:kern w:val="0"/>
          <w:sz w:val="32"/>
          <w:szCs w:val="32"/>
          <w:shd w:val="clear" w:color="auto" w:fill="FFFFFF"/>
          <w:lang w:val="zh-CN"/>
        </w:rPr>
      </w:pPr>
      <w:r>
        <w:rPr>
          <w:rFonts w:hint="eastAsia" w:ascii="黑体" w:hAnsi="黑体" w:eastAsia="黑体"/>
          <w:color w:val="000000"/>
          <w:kern w:val="0"/>
          <w:sz w:val="32"/>
          <w:szCs w:val="32"/>
          <w:shd w:val="clear" w:color="auto" w:fill="FFFFFF"/>
        </w:rPr>
        <w:t>一、</w:t>
      </w:r>
      <w:r>
        <w:rPr>
          <w:rFonts w:hint="eastAsia" w:ascii="黑体" w:hAnsi="黑体" w:eastAsia="黑体"/>
          <w:color w:val="000000"/>
          <w:kern w:val="0"/>
          <w:sz w:val="32"/>
          <w:szCs w:val="32"/>
          <w:shd w:val="clear" w:color="auto" w:fill="FFFFFF"/>
          <w:lang w:val="zh-CN"/>
        </w:rPr>
        <w:t>部门（单位）概况</w:t>
      </w:r>
    </w:p>
    <w:p>
      <w:pPr>
        <w:widowControl/>
        <w:adjustRightInd w:val="0"/>
        <w:snapToGrid w:val="0"/>
        <w:spacing w:line="560" w:lineRule="exact"/>
        <w:ind w:firstLine="643" w:firstLineChars="200"/>
        <w:contextualSpacing/>
        <w:jc w:val="left"/>
        <w:rPr>
          <w:rFonts w:ascii="仿宋_GB2312" w:eastAsia="仿宋_GB2312"/>
          <w:color w:val="000000"/>
          <w:kern w:val="0"/>
          <w:sz w:val="32"/>
          <w:szCs w:val="32"/>
          <w:shd w:val="clear" w:color="auto" w:fill="FFFFFF"/>
          <w:lang w:val="zh-CN"/>
        </w:rPr>
      </w:pPr>
      <w:r>
        <w:rPr>
          <w:rFonts w:hint="eastAsia" w:ascii="仿宋_GB2312" w:hAnsi="黑体" w:eastAsia="仿宋_GB2312"/>
          <w:b/>
          <w:color w:val="000000"/>
          <w:kern w:val="0"/>
          <w:sz w:val="32"/>
          <w:szCs w:val="32"/>
          <w:shd w:val="clear" w:color="auto" w:fill="FFFFFF"/>
          <w:lang w:val="zh-CN"/>
        </w:rPr>
        <w:t>（一）机构组成</w:t>
      </w:r>
      <w:r>
        <w:rPr>
          <w:rFonts w:hint="eastAsia" w:ascii="仿宋_GB2312" w:hAnsi="黑体" w:eastAsia="仿宋_GB2312"/>
          <w:color w:val="000000"/>
          <w:kern w:val="0"/>
          <w:sz w:val="32"/>
          <w:szCs w:val="32"/>
          <w:shd w:val="clear" w:color="auto" w:fill="FFFFFF"/>
          <w:lang w:val="zh-CN"/>
        </w:rPr>
        <w:t>。</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钒钛产业开发区党工委（管委会）设综合办公室、自然资源和建设局、经济运行和政务服务局、应急管理局等4个内设机构。下属事业单位盐边钒钛产业开发区服务中心内设招商引资股、用地协调股、产前服务股。</w:t>
      </w:r>
    </w:p>
    <w:p>
      <w:pPr>
        <w:widowControl/>
        <w:adjustRightInd w:val="0"/>
        <w:snapToGrid w:val="0"/>
        <w:spacing w:line="560" w:lineRule="exact"/>
        <w:ind w:firstLine="643" w:firstLineChars="200"/>
        <w:contextualSpacing/>
        <w:jc w:val="left"/>
        <w:rPr>
          <w:rFonts w:ascii="仿宋_GB2312" w:hAnsi="黑体" w:eastAsia="仿宋_GB2312"/>
          <w:b/>
          <w:color w:val="000000"/>
          <w:kern w:val="0"/>
          <w:sz w:val="32"/>
          <w:szCs w:val="32"/>
          <w:shd w:val="clear" w:color="auto" w:fill="FFFFFF"/>
          <w:lang w:val="zh-CN"/>
        </w:rPr>
      </w:pPr>
      <w:r>
        <w:rPr>
          <w:rFonts w:hint="eastAsia" w:ascii="仿宋_GB2312" w:hAnsi="黑体" w:eastAsia="仿宋_GB2312"/>
          <w:b/>
          <w:color w:val="000000"/>
          <w:kern w:val="0"/>
          <w:sz w:val="32"/>
          <w:szCs w:val="32"/>
          <w:shd w:val="clear" w:color="auto" w:fill="FFFFFF"/>
          <w:lang w:val="zh-CN"/>
        </w:rPr>
        <w:t>（二）机构职能。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机关和所属事业单位财政预算、决算的编制和管理工作；负责组织协调税收、非税收入征管和税收政策的落实工作；负责项目纪检监察、审计等工作；负责劳动服务和劳动纠纷调剂等工作；负责党建、意识形态、党风廉政建设、精神文明建设、群团、统一战线等相关工作。</w:t>
      </w:r>
    </w:p>
    <w:p>
      <w:pPr>
        <w:pStyle w:val="2"/>
        <w:spacing w:beforeLines="0" w:line="560" w:lineRule="exact"/>
        <w:ind w:firstLine="600"/>
        <w:rPr>
          <w:rFonts w:hAnsi="仿宋"/>
          <w:sz w:val="32"/>
          <w:szCs w:val="32"/>
        </w:rPr>
      </w:pPr>
      <w:r>
        <w:rPr>
          <w:rFonts w:hint="eastAsia" w:hAnsi="仿宋"/>
          <w:sz w:val="32"/>
          <w:szCs w:val="32"/>
        </w:rPr>
        <w:t>2.负责项目建设的方案、初步设计、施工图设计、概算及预结算管理；负责管理区域内自然资源综合开发利用和国土空间生态修复，组织实施最严格的耕地保护制度；负责地质灾害防治及矿产资源管理等工作；负责宣传贯彻落实国家、省、市征地拆迁安置补偿法律、法规和相关政策；负责园林绿化、市政基础设施管护。</w:t>
      </w:r>
    </w:p>
    <w:p>
      <w:pPr>
        <w:pStyle w:val="2"/>
        <w:spacing w:beforeLines="0" w:line="560" w:lineRule="exact"/>
        <w:ind w:firstLine="600"/>
        <w:rPr>
          <w:rFonts w:hAnsi="仿宋"/>
          <w:sz w:val="32"/>
          <w:szCs w:val="32"/>
        </w:rPr>
      </w:pPr>
      <w:r>
        <w:rPr>
          <w:rFonts w:hint="eastAsia" w:hAnsi="仿宋"/>
          <w:sz w:val="32"/>
          <w:szCs w:val="32"/>
        </w:rPr>
        <w:t>3.负责建设项目的统筹管理，负责建设手续办理的“一站式”服务工作；负责编制开发区产业项目征地拆迁工作计划、实施方案和资金计划；负责产业项目的协调服务、推进等工作；负责开发区营商环境和社会信用体系建设；负责经济管理、固定资产投资等相关工作。</w:t>
      </w:r>
    </w:p>
    <w:p>
      <w:pPr>
        <w:pStyle w:val="2"/>
        <w:spacing w:beforeLines="0" w:line="560" w:lineRule="exact"/>
        <w:ind w:firstLine="600"/>
        <w:rPr>
          <w:rFonts w:hAnsi="仿宋"/>
          <w:sz w:val="32"/>
          <w:szCs w:val="32"/>
        </w:rPr>
      </w:pPr>
      <w:r>
        <w:rPr>
          <w:rFonts w:hint="eastAsia" w:hAnsi="仿宋"/>
          <w:sz w:val="32"/>
          <w:szCs w:val="32"/>
        </w:rPr>
        <w:t>4.负责安全生产（含危险化学品安全）的综合监督管理、配合做好职业健康工作；负责环境保护法律法规政策宣传，指导辖区内企业事业单位落实环境保护法律法规和政策措施；负责辖区内环境隐患的排查和治理，实施网格化管理。</w:t>
      </w:r>
    </w:p>
    <w:p>
      <w:pPr>
        <w:widowControl/>
        <w:adjustRightInd w:val="0"/>
        <w:snapToGrid w:val="0"/>
        <w:spacing w:line="560" w:lineRule="exact"/>
        <w:ind w:firstLine="643" w:firstLineChars="200"/>
        <w:contextualSpacing/>
        <w:jc w:val="left"/>
        <w:rPr>
          <w:rFonts w:ascii="仿宋_GB2312" w:hAnsi="黑体" w:eastAsia="仿宋_GB2312"/>
          <w:b/>
          <w:color w:val="000000"/>
          <w:kern w:val="0"/>
          <w:sz w:val="32"/>
          <w:szCs w:val="32"/>
          <w:shd w:val="clear" w:color="auto" w:fill="FFFFFF"/>
          <w:lang w:val="zh-CN"/>
        </w:rPr>
      </w:pPr>
      <w:r>
        <w:rPr>
          <w:rFonts w:hint="eastAsia" w:ascii="仿宋_GB2312" w:hAnsi="黑体" w:eastAsia="仿宋_GB2312"/>
          <w:b/>
          <w:color w:val="000000"/>
          <w:kern w:val="0"/>
          <w:sz w:val="32"/>
          <w:szCs w:val="32"/>
          <w:shd w:val="clear" w:color="auto" w:fill="FFFFFF"/>
          <w:lang w:val="zh-CN"/>
        </w:rPr>
        <w:t>（三）人员概况。</w:t>
      </w:r>
    </w:p>
    <w:p>
      <w:pPr>
        <w:snapToGrid w:val="0"/>
        <w:spacing w:line="560" w:lineRule="exact"/>
        <w:ind w:firstLine="640" w:firstLineChars="200"/>
        <w:rPr>
          <w:rFonts w:ascii="仿宋_GB2312" w:hAnsi="仿宋" w:eastAsia="仿宋_GB2312"/>
          <w:color w:val="000000"/>
          <w:kern w:val="0"/>
          <w:sz w:val="32"/>
          <w:szCs w:val="32"/>
          <w:shd w:val="clear" w:color="auto" w:fill="FFFFFF"/>
          <w:lang w:val="zh-CN"/>
        </w:rPr>
      </w:pPr>
      <w:r>
        <w:rPr>
          <w:rFonts w:hint="eastAsia" w:ascii="仿宋_GB2312" w:hAnsi="仿宋" w:eastAsia="仿宋_GB2312"/>
          <w:sz w:val="32"/>
          <w:szCs w:val="32"/>
        </w:rPr>
        <w:t>行政编制8人，现有在职行政人员8人，机关工勤1人。事业编制16人，现有在职事业人员13人，事业退休1人。</w:t>
      </w:r>
    </w:p>
    <w:p>
      <w:pPr>
        <w:widowControl/>
        <w:adjustRightInd w:val="0"/>
        <w:snapToGrid w:val="0"/>
        <w:spacing w:line="56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二、部门财政资金收支情况</w:t>
      </w:r>
    </w:p>
    <w:p>
      <w:pPr>
        <w:widowControl/>
        <w:adjustRightInd w:val="0"/>
        <w:snapToGrid w:val="0"/>
        <w:spacing w:line="560" w:lineRule="exact"/>
        <w:ind w:firstLine="643" w:firstLineChars="200"/>
        <w:contextualSpacing/>
        <w:jc w:val="left"/>
        <w:rPr>
          <w:rFonts w:ascii="仿宋_GB2312" w:hAnsi="黑体" w:eastAsia="仿宋_GB2312"/>
          <w:b/>
          <w:color w:val="000000"/>
          <w:kern w:val="0"/>
          <w:sz w:val="32"/>
          <w:szCs w:val="32"/>
          <w:shd w:val="clear" w:color="auto" w:fill="FFFFFF"/>
          <w:lang w:val="zh-CN"/>
        </w:rPr>
      </w:pPr>
      <w:r>
        <w:rPr>
          <w:rFonts w:hint="eastAsia" w:ascii="仿宋_GB2312" w:hAnsi="黑体" w:eastAsia="仿宋_GB2312"/>
          <w:b/>
          <w:color w:val="000000"/>
          <w:kern w:val="0"/>
          <w:sz w:val="32"/>
          <w:szCs w:val="32"/>
          <w:shd w:val="clear" w:color="auto" w:fill="FFFFFF"/>
          <w:lang w:val="zh-CN"/>
        </w:rPr>
        <w:t>（一）部门财政资金收入情况。</w:t>
      </w:r>
    </w:p>
    <w:p>
      <w:pPr>
        <w:spacing w:line="560" w:lineRule="exact"/>
        <w:ind w:firstLine="640" w:firstLineChars="200"/>
        <w:rPr>
          <w:rFonts w:ascii="仿宋_GB2312" w:hAnsi="仿宋" w:eastAsia="仿宋_GB2312"/>
          <w:color w:val="000000"/>
          <w:kern w:val="0"/>
          <w:sz w:val="32"/>
          <w:szCs w:val="32"/>
          <w:shd w:val="clear" w:color="auto" w:fill="FFFFFF"/>
          <w:lang w:val="zh-CN"/>
        </w:rPr>
      </w:pPr>
      <w:r>
        <w:rPr>
          <w:rFonts w:hint="eastAsia" w:ascii="仿宋_GB2312" w:hAnsi="仿宋" w:eastAsia="仿宋_GB2312"/>
          <w:sz w:val="32"/>
          <w:szCs w:val="32"/>
        </w:rPr>
        <w:t>本单位2022年收入年初预算安排367.63万元（其中人员经费333.36万元，公用支出34.27万元）。年中调整预算数19723.28万元（其中人员经费458.5万元，公用支出32.23万元，项目支出19232.55万元）。2022年全年预算收入19723.28万元。</w:t>
      </w:r>
    </w:p>
    <w:p>
      <w:pPr>
        <w:widowControl/>
        <w:adjustRightInd w:val="0"/>
        <w:snapToGrid w:val="0"/>
        <w:spacing w:line="560" w:lineRule="exact"/>
        <w:ind w:firstLine="643" w:firstLineChars="200"/>
        <w:contextualSpacing/>
        <w:jc w:val="left"/>
        <w:rPr>
          <w:rFonts w:ascii="仿宋_GB2312" w:hAnsi="黑体" w:eastAsia="仿宋_GB2312"/>
          <w:b/>
          <w:color w:val="000000"/>
          <w:kern w:val="0"/>
          <w:sz w:val="32"/>
          <w:szCs w:val="32"/>
          <w:shd w:val="clear" w:color="auto" w:fill="FFFFFF"/>
          <w:lang w:val="zh-CN"/>
        </w:rPr>
      </w:pPr>
      <w:r>
        <w:rPr>
          <w:rFonts w:hint="eastAsia" w:ascii="仿宋_GB2312" w:hAnsi="黑体" w:eastAsia="仿宋_GB2312"/>
          <w:b/>
          <w:color w:val="000000"/>
          <w:kern w:val="0"/>
          <w:sz w:val="32"/>
          <w:szCs w:val="32"/>
          <w:shd w:val="clear" w:color="auto" w:fill="FFFFFF"/>
          <w:lang w:val="zh-CN"/>
        </w:rPr>
        <w:t>（二）部门财政资金支出情况。</w:t>
      </w:r>
    </w:p>
    <w:p>
      <w:pPr>
        <w:spacing w:line="560" w:lineRule="exact"/>
        <w:ind w:firstLine="640" w:firstLineChars="200"/>
        <w:rPr>
          <w:rFonts w:ascii="仿宋_GB2312" w:hAnsi="仿宋" w:eastAsia="仿宋_GB2312"/>
          <w:color w:val="000000"/>
          <w:kern w:val="0"/>
          <w:sz w:val="32"/>
          <w:szCs w:val="32"/>
          <w:shd w:val="clear" w:color="auto" w:fill="FFFFFF"/>
          <w:lang w:val="zh-CN"/>
        </w:rPr>
      </w:pPr>
      <w:r>
        <w:rPr>
          <w:rFonts w:hint="eastAsia" w:ascii="仿宋_GB2312" w:hAnsi="仿宋" w:eastAsia="仿宋_GB2312"/>
          <w:sz w:val="32"/>
          <w:szCs w:val="32"/>
        </w:rPr>
        <w:t>我单位2022年年初部门预算基本支出安排367.63万元（其中人员经费333.36万元，公用支出34.27万元）。2022年决算支出19723.28万元，基本支出490.72万元（其中人员经费458.5万元，公用支出32.23万元），项目支出19232.55万元。</w:t>
      </w:r>
    </w:p>
    <w:p>
      <w:pPr>
        <w:widowControl/>
        <w:adjustRightInd w:val="0"/>
        <w:snapToGrid w:val="0"/>
        <w:spacing w:line="56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三、部门整体预算绩效管理情况</w:t>
      </w:r>
    </w:p>
    <w:p>
      <w:pPr>
        <w:widowControl/>
        <w:adjustRightInd w:val="0"/>
        <w:snapToGrid w:val="0"/>
        <w:spacing w:line="560" w:lineRule="exact"/>
        <w:ind w:firstLine="321" w:firstLineChars="100"/>
        <w:contextualSpacing/>
        <w:jc w:val="left"/>
        <w:rPr>
          <w:rFonts w:ascii="仿宋_GB2312" w:hAnsi="黑体" w:eastAsia="仿宋_GB2312"/>
          <w:b/>
          <w:color w:val="000000"/>
          <w:kern w:val="0"/>
          <w:sz w:val="32"/>
          <w:szCs w:val="32"/>
          <w:shd w:val="clear" w:color="auto" w:fill="FFFFFF"/>
          <w:lang w:val="zh-CN"/>
        </w:rPr>
      </w:pPr>
      <w:r>
        <w:rPr>
          <w:rFonts w:hint="eastAsia" w:ascii="仿宋_GB2312" w:hAnsi="黑体" w:eastAsia="仿宋_GB2312"/>
          <w:b/>
          <w:color w:val="000000"/>
          <w:kern w:val="0"/>
          <w:sz w:val="32"/>
          <w:szCs w:val="32"/>
          <w:shd w:val="clear" w:color="auto" w:fill="FFFFFF"/>
          <w:lang w:val="zh-CN"/>
        </w:rPr>
        <w:t>（一）部门预算项目绩效管理。</w:t>
      </w:r>
    </w:p>
    <w:p>
      <w:pPr>
        <w:pStyle w:val="8"/>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1.部门预算项目安排及支出情况</w:t>
      </w:r>
    </w:p>
    <w:p>
      <w:pPr>
        <w:pStyle w:val="8"/>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项目资金支出19232.55万元，主要是：</w:t>
      </w:r>
    </w:p>
    <w:p>
      <w:pPr>
        <w:pStyle w:val="8"/>
        <w:spacing w:line="560" w:lineRule="exact"/>
        <w:ind w:firstLine="320" w:firstLineChars="100"/>
        <w:jc w:val="left"/>
        <w:rPr>
          <w:rFonts w:ascii="仿宋_GB2312" w:hAnsi="仿宋" w:eastAsia="仿宋_GB2312"/>
          <w:sz w:val="32"/>
          <w:szCs w:val="32"/>
        </w:rPr>
      </w:pPr>
      <w:r>
        <w:rPr>
          <w:rFonts w:hint="eastAsia" w:ascii="仿宋_GB2312" w:hAnsi="仿宋" w:eastAsia="仿宋_GB2312"/>
          <w:sz w:val="32"/>
          <w:szCs w:val="32"/>
        </w:rPr>
        <w:t xml:space="preserve"> （1）根据盐财资建〔2022〕55号下达工高办工作经费10万元，</w:t>
      </w:r>
      <w:r>
        <w:rPr>
          <w:rFonts w:hint="eastAsia" w:ascii="仿宋_GB2312" w:hAnsi="仿宋" w:eastAsia="仿宋_GB2312"/>
          <w:sz w:val="32"/>
          <w:szCs w:val="32"/>
          <w:lang w:eastAsia="zh-CN"/>
        </w:rPr>
        <w:t>已完成</w:t>
      </w:r>
      <w:r>
        <w:rPr>
          <w:rFonts w:hint="eastAsia" w:ascii="仿宋_GB2312" w:hAnsi="仿宋" w:eastAsia="仿宋_GB2312"/>
          <w:sz w:val="32"/>
          <w:szCs w:val="32"/>
        </w:rPr>
        <w:t>支付10万元，完成率100%，主要用于保障工高办正常运转。</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（2）.根据盐财资建〔2022〕61号下达安宁化工园纳入钒钛高新区申报编制项目经费25万元，</w:t>
      </w:r>
      <w:r>
        <w:rPr>
          <w:rFonts w:hint="eastAsia" w:ascii="仿宋_GB2312" w:hAnsi="仿宋" w:eastAsia="仿宋_GB2312"/>
          <w:sz w:val="32"/>
          <w:szCs w:val="32"/>
          <w:lang w:eastAsia="zh-CN"/>
        </w:rPr>
        <w:t>已完成</w:t>
      </w:r>
      <w:r>
        <w:rPr>
          <w:rFonts w:hint="eastAsia" w:ascii="仿宋_GB2312" w:hAnsi="仿宋" w:eastAsia="仿宋_GB2312"/>
          <w:sz w:val="32"/>
          <w:szCs w:val="32"/>
        </w:rPr>
        <w:t>支付25万元，完成率100%。主要用于化工园申报</w:t>
      </w:r>
      <w:r>
        <w:rPr>
          <w:rFonts w:hint="eastAsia" w:ascii="仿宋_GB2312" w:hAnsi="仿宋" w:eastAsia="仿宋_GB2312" w:cs="仿宋_GB2312"/>
          <w:sz w:val="32"/>
          <w:szCs w:val="32"/>
        </w:rPr>
        <w:t>委托第三方机构开展认证涉及的水资源论证报告、区域水土保持评估报告、化工园规划、规划环评等工作，现编制项目</w:t>
      </w:r>
      <w:r>
        <w:rPr>
          <w:rFonts w:hint="eastAsia" w:ascii="仿宋_GB2312" w:hAnsi="仿宋" w:eastAsia="仿宋_GB2312" w:cs="仿宋_GB2312"/>
          <w:sz w:val="32"/>
          <w:szCs w:val="32"/>
          <w:lang w:eastAsia="zh-CN"/>
        </w:rPr>
        <w:t>已完成</w:t>
      </w:r>
      <w:r>
        <w:rPr>
          <w:rFonts w:hint="eastAsia" w:ascii="仿宋_GB2312" w:hAnsi="仿宋" w:eastAsia="仿宋_GB2312" w:cs="仿宋_GB2312"/>
          <w:sz w:val="32"/>
          <w:szCs w:val="32"/>
        </w:rPr>
        <w:t>。</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（3）根据盐财资建〔2022〕202号下达安宁化工园纳入钒钛高新区申报编制项目经费71.1万元，</w:t>
      </w:r>
      <w:r>
        <w:rPr>
          <w:rFonts w:hint="eastAsia" w:ascii="仿宋_GB2312" w:hAnsi="仿宋" w:eastAsia="仿宋_GB2312"/>
          <w:sz w:val="32"/>
          <w:szCs w:val="32"/>
          <w:lang w:eastAsia="zh-CN"/>
        </w:rPr>
        <w:t>已完成</w:t>
      </w:r>
      <w:r>
        <w:rPr>
          <w:rFonts w:hint="eastAsia" w:ascii="仿宋_GB2312" w:hAnsi="仿宋" w:eastAsia="仿宋_GB2312"/>
          <w:sz w:val="32"/>
          <w:szCs w:val="32"/>
        </w:rPr>
        <w:t>支付71.1万元，完成率100%。主要用于化工园申报</w:t>
      </w:r>
      <w:r>
        <w:rPr>
          <w:rFonts w:hint="eastAsia" w:ascii="仿宋_GB2312" w:hAnsi="仿宋" w:eastAsia="仿宋_GB2312" w:cs="仿宋_GB2312"/>
          <w:sz w:val="32"/>
          <w:szCs w:val="32"/>
        </w:rPr>
        <w:t>委托第三方机构开展认证涉及的水资源论证报告、区域水土保持评估报告、化工园规划、规划环评等工作，现编制项目</w:t>
      </w:r>
      <w:r>
        <w:rPr>
          <w:rFonts w:hint="eastAsia" w:ascii="仿宋_GB2312" w:hAnsi="仿宋" w:eastAsia="仿宋_GB2312" w:cs="仿宋_GB2312"/>
          <w:sz w:val="32"/>
          <w:szCs w:val="32"/>
          <w:lang w:eastAsia="zh-CN"/>
        </w:rPr>
        <w:t>已完成</w:t>
      </w:r>
      <w:r>
        <w:rPr>
          <w:rFonts w:hint="eastAsia" w:ascii="仿宋_GB2312" w:hAnsi="仿宋" w:eastAsia="仿宋_GB2312" w:cs="仿宋_GB2312"/>
          <w:sz w:val="32"/>
          <w:szCs w:val="32"/>
        </w:rPr>
        <w:t>。</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（4）根据盐财资建〔2022〕56号下达安宁化工园纳入钒钛高新区申报编制项目经费10.72万元，</w:t>
      </w:r>
      <w:r>
        <w:rPr>
          <w:rFonts w:hint="eastAsia" w:ascii="仿宋_GB2312" w:hAnsi="仿宋" w:eastAsia="仿宋_GB2312"/>
          <w:sz w:val="32"/>
          <w:szCs w:val="32"/>
          <w:lang w:eastAsia="zh-CN"/>
        </w:rPr>
        <w:t>已完成</w:t>
      </w:r>
      <w:r>
        <w:rPr>
          <w:rFonts w:hint="eastAsia" w:ascii="仿宋_GB2312" w:hAnsi="仿宋" w:eastAsia="仿宋_GB2312"/>
          <w:sz w:val="32"/>
          <w:szCs w:val="32"/>
        </w:rPr>
        <w:t>支付10.72万元，完成率100%。主要用于(1)化工园申报</w:t>
      </w:r>
      <w:r>
        <w:rPr>
          <w:rFonts w:hint="eastAsia" w:ascii="仿宋_GB2312" w:hAnsi="仿宋" w:eastAsia="仿宋_GB2312" w:cs="仿宋_GB2312"/>
          <w:sz w:val="32"/>
          <w:szCs w:val="32"/>
        </w:rPr>
        <w:t>委托第三方机构开展认证涉及的水资源论证报告、区域水土保持评估报告、化工园规划、规划环评等工作，现编制项目</w:t>
      </w:r>
      <w:r>
        <w:rPr>
          <w:rFonts w:hint="eastAsia" w:ascii="仿宋_GB2312" w:hAnsi="仿宋" w:eastAsia="仿宋_GB2312" w:cs="仿宋_GB2312"/>
          <w:sz w:val="32"/>
          <w:szCs w:val="32"/>
          <w:lang w:eastAsia="zh-CN"/>
        </w:rPr>
        <w:t>已完成</w:t>
      </w:r>
      <w:r>
        <w:rPr>
          <w:rFonts w:hint="eastAsia" w:ascii="仿宋_GB2312" w:hAnsi="仿宋" w:eastAsia="仿宋_GB2312" w:cs="仿宋_GB2312"/>
          <w:sz w:val="32"/>
          <w:szCs w:val="32"/>
        </w:rPr>
        <w:t>。(2)消防取水点建设项目己实施完成。</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（5）根据盐财资建〔2022〕60号下达安宁化工园纳入钒钛高新区申报编制项目经费10万元，</w:t>
      </w:r>
      <w:r>
        <w:rPr>
          <w:rFonts w:hint="eastAsia" w:ascii="仿宋_GB2312" w:hAnsi="仿宋" w:eastAsia="仿宋_GB2312"/>
          <w:sz w:val="32"/>
          <w:szCs w:val="32"/>
          <w:lang w:eastAsia="zh-CN"/>
        </w:rPr>
        <w:t>已完成</w:t>
      </w:r>
      <w:r>
        <w:rPr>
          <w:rFonts w:hint="eastAsia" w:ascii="仿宋_GB2312" w:hAnsi="仿宋" w:eastAsia="仿宋_GB2312"/>
          <w:sz w:val="32"/>
          <w:szCs w:val="32"/>
        </w:rPr>
        <w:t>支付10万元，完成率100%。主要用于化工园申报</w:t>
      </w:r>
      <w:r>
        <w:rPr>
          <w:rFonts w:hint="eastAsia" w:ascii="仿宋_GB2312" w:hAnsi="仿宋" w:eastAsia="仿宋_GB2312" w:cs="仿宋_GB2312"/>
          <w:sz w:val="32"/>
          <w:szCs w:val="32"/>
        </w:rPr>
        <w:t>委托第三方机构开展认证涉及的水资源论证报告、区域水土保持评估报告、化工园规划、规划环评等工作，现编制项目</w:t>
      </w:r>
      <w:r>
        <w:rPr>
          <w:rFonts w:hint="eastAsia" w:ascii="仿宋_GB2312" w:hAnsi="仿宋" w:eastAsia="仿宋_GB2312" w:cs="仿宋_GB2312"/>
          <w:sz w:val="32"/>
          <w:szCs w:val="32"/>
          <w:lang w:eastAsia="zh-CN"/>
        </w:rPr>
        <w:t>已完成</w:t>
      </w:r>
      <w:r>
        <w:rPr>
          <w:rFonts w:hint="eastAsia" w:ascii="仿宋_GB2312" w:hAnsi="仿宋" w:eastAsia="仿宋_GB2312" w:cs="仿宋_GB2312"/>
          <w:sz w:val="32"/>
          <w:szCs w:val="32"/>
        </w:rPr>
        <w:t>。</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（6）根据盐财资建〔2022〕62号下达安宁化工园纳入钒钛高新区申报编制项目经费18万元，</w:t>
      </w:r>
      <w:r>
        <w:rPr>
          <w:rFonts w:hint="eastAsia" w:ascii="仿宋_GB2312" w:hAnsi="仿宋" w:eastAsia="仿宋_GB2312"/>
          <w:sz w:val="32"/>
          <w:szCs w:val="32"/>
          <w:lang w:eastAsia="zh-CN"/>
        </w:rPr>
        <w:t>已完成</w:t>
      </w:r>
      <w:r>
        <w:rPr>
          <w:rFonts w:hint="eastAsia" w:ascii="仿宋_GB2312" w:hAnsi="仿宋" w:eastAsia="仿宋_GB2312"/>
          <w:sz w:val="32"/>
          <w:szCs w:val="32"/>
        </w:rPr>
        <w:t>支付18万元，完成率100%。主要用于化工园申报</w:t>
      </w:r>
      <w:r>
        <w:rPr>
          <w:rFonts w:hint="eastAsia" w:ascii="仿宋_GB2312" w:hAnsi="仿宋" w:eastAsia="仿宋_GB2312" w:cs="仿宋_GB2312"/>
          <w:sz w:val="32"/>
          <w:szCs w:val="32"/>
        </w:rPr>
        <w:t>委托第三方机构开展认证涉及的水资源论证报告、区域水土保持评估报告、化工园规划、规划环评等工作，现编制项目</w:t>
      </w:r>
      <w:r>
        <w:rPr>
          <w:rFonts w:hint="eastAsia" w:ascii="仿宋_GB2312" w:hAnsi="仿宋" w:eastAsia="仿宋_GB2312" w:cs="仿宋_GB2312"/>
          <w:sz w:val="32"/>
          <w:szCs w:val="32"/>
          <w:lang w:eastAsia="zh-CN"/>
        </w:rPr>
        <w:t>已完成</w:t>
      </w:r>
      <w:r>
        <w:rPr>
          <w:rFonts w:hint="eastAsia" w:ascii="仿宋_GB2312" w:hAnsi="仿宋" w:eastAsia="仿宋_GB2312" w:cs="仿宋_GB2312"/>
          <w:sz w:val="32"/>
          <w:szCs w:val="32"/>
        </w:rPr>
        <w:t>。</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（7）根据盐财资建〔2022〕63号下达安宁化工园纳入钒钛高新区申报编制项目经费27万元，</w:t>
      </w:r>
      <w:r>
        <w:rPr>
          <w:rFonts w:hint="eastAsia" w:ascii="仿宋_GB2312" w:hAnsi="仿宋" w:eastAsia="仿宋_GB2312"/>
          <w:sz w:val="32"/>
          <w:szCs w:val="32"/>
          <w:lang w:eastAsia="zh-CN"/>
        </w:rPr>
        <w:t>已完成</w:t>
      </w:r>
      <w:r>
        <w:rPr>
          <w:rFonts w:hint="eastAsia" w:ascii="仿宋_GB2312" w:hAnsi="仿宋" w:eastAsia="仿宋_GB2312"/>
          <w:sz w:val="32"/>
          <w:szCs w:val="32"/>
        </w:rPr>
        <w:t>支付27万元，完成率100%。主要用于化工园申报</w:t>
      </w:r>
      <w:r>
        <w:rPr>
          <w:rFonts w:hint="eastAsia" w:ascii="仿宋_GB2312" w:hAnsi="仿宋" w:eastAsia="仿宋_GB2312" w:cs="仿宋_GB2312"/>
          <w:sz w:val="32"/>
          <w:szCs w:val="32"/>
        </w:rPr>
        <w:t>委托第三方机构开展认证涉及的水资源论证报告、区域水土保持评估报告、化工园规划、规划环评等工作，现编制项目</w:t>
      </w:r>
      <w:r>
        <w:rPr>
          <w:rFonts w:hint="eastAsia" w:ascii="仿宋_GB2312" w:hAnsi="仿宋" w:eastAsia="仿宋_GB2312" w:cs="仿宋_GB2312"/>
          <w:sz w:val="32"/>
          <w:szCs w:val="32"/>
          <w:lang w:eastAsia="zh-CN"/>
        </w:rPr>
        <w:t>已完成</w:t>
      </w:r>
      <w:r>
        <w:rPr>
          <w:rFonts w:hint="eastAsia" w:ascii="仿宋_GB2312" w:hAnsi="仿宋" w:eastAsia="仿宋_GB2312" w:cs="仿宋_GB2312"/>
          <w:sz w:val="32"/>
          <w:szCs w:val="32"/>
        </w:rPr>
        <w:t>。</w:t>
      </w:r>
    </w:p>
    <w:p>
      <w:pPr>
        <w:pStyle w:val="8"/>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（8）根据盐财资建〔2022〕193下达钒钛产业开发区安宁片区规划环境影响跟踪评价编制费25万元，</w:t>
      </w:r>
      <w:r>
        <w:rPr>
          <w:rFonts w:hint="eastAsia" w:ascii="仿宋_GB2312" w:hAnsi="仿宋" w:eastAsia="仿宋_GB2312"/>
          <w:sz w:val="32"/>
          <w:szCs w:val="32"/>
          <w:lang w:eastAsia="zh-CN"/>
        </w:rPr>
        <w:t>已完成</w:t>
      </w:r>
      <w:r>
        <w:rPr>
          <w:rFonts w:hint="eastAsia" w:ascii="仿宋_GB2312" w:hAnsi="仿宋" w:eastAsia="仿宋_GB2312"/>
          <w:sz w:val="32"/>
          <w:szCs w:val="32"/>
        </w:rPr>
        <w:t>支付25万元，完成率100%。主要用于安宁片区规划环境影响跟踪评价委托第三方机构编制，现编制项目</w:t>
      </w:r>
      <w:r>
        <w:rPr>
          <w:rFonts w:hint="eastAsia" w:ascii="仿宋_GB2312" w:hAnsi="仿宋" w:eastAsia="仿宋_GB2312"/>
          <w:sz w:val="32"/>
          <w:szCs w:val="32"/>
          <w:lang w:eastAsia="zh-CN"/>
        </w:rPr>
        <w:t>已完成</w:t>
      </w:r>
      <w:r>
        <w:rPr>
          <w:rFonts w:hint="eastAsia" w:ascii="仿宋_GB2312" w:hAnsi="仿宋" w:eastAsia="仿宋_GB2312"/>
          <w:sz w:val="32"/>
          <w:szCs w:val="32"/>
        </w:rPr>
        <w:t>。</w:t>
      </w:r>
    </w:p>
    <w:p>
      <w:pPr>
        <w:pStyle w:val="8"/>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（9）根据盐财资建〔2022〕201号下达园区道路路牌及限行标志项目经费37.1016万元，</w:t>
      </w:r>
      <w:r>
        <w:rPr>
          <w:rFonts w:hint="eastAsia" w:ascii="仿宋_GB2312" w:hAnsi="仿宋" w:eastAsia="仿宋_GB2312"/>
          <w:sz w:val="32"/>
          <w:szCs w:val="32"/>
          <w:lang w:eastAsia="zh-CN"/>
        </w:rPr>
        <w:t>已完成</w:t>
      </w:r>
      <w:r>
        <w:rPr>
          <w:rFonts w:hint="eastAsia" w:ascii="仿宋_GB2312" w:hAnsi="仿宋" w:eastAsia="仿宋_GB2312"/>
          <w:sz w:val="32"/>
          <w:szCs w:val="32"/>
        </w:rPr>
        <w:t>支付37.1016万元，完成率100%。主要用于为保障道路交通的安全性，需要对己安装的不规范路牌或需要更名的路牌进行更换，通过实施道路路牌、限行标志、旅游标志，提升道路行驶的安全性。该项目己全面竣工并投入使用。</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（10）根据盐财资建〔2022〕170号下达美利林35KV临时供电工程款98.63万元，</w:t>
      </w:r>
      <w:r>
        <w:rPr>
          <w:rFonts w:hint="eastAsia" w:ascii="仿宋_GB2312" w:hAnsi="仿宋" w:eastAsia="仿宋_GB2312"/>
          <w:sz w:val="32"/>
          <w:szCs w:val="32"/>
          <w:lang w:eastAsia="zh-CN"/>
        </w:rPr>
        <w:t>已完成</w:t>
      </w:r>
      <w:r>
        <w:rPr>
          <w:rFonts w:hint="eastAsia" w:ascii="仿宋_GB2312" w:hAnsi="仿宋" w:eastAsia="仿宋_GB2312"/>
          <w:sz w:val="32"/>
          <w:szCs w:val="32"/>
        </w:rPr>
        <w:t>支付98.63万元，完成率100%。主要用于新建35kv线路长0.836km，新建铁塔4基，新建ADSS光缆0.23km。</w:t>
      </w:r>
      <w:r>
        <w:rPr>
          <w:rFonts w:hint="eastAsia" w:ascii="仿宋_GB2312" w:hAnsi="仿宋" w:eastAsia="仿宋_GB2312" w:cs="仿宋_GB2312"/>
          <w:sz w:val="32"/>
          <w:szCs w:val="32"/>
        </w:rPr>
        <w:t>项目己全部竣工并投入使用。</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（11）根据盐财资建〔2022〕229号下达220KV榄青线87号塔消缺工程款200万元，</w:t>
      </w:r>
      <w:r>
        <w:rPr>
          <w:rFonts w:hint="eastAsia" w:ascii="仿宋_GB2312" w:hAnsi="仿宋" w:eastAsia="仿宋_GB2312"/>
          <w:sz w:val="32"/>
          <w:szCs w:val="32"/>
          <w:lang w:eastAsia="zh-CN"/>
        </w:rPr>
        <w:t>已完成</w:t>
      </w:r>
      <w:r>
        <w:rPr>
          <w:rFonts w:hint="eastAsia" w:ascii="仿宋_GB2312" w:hAnsi="仿宋" w:eastAsia="仿宋_GB2312"/>
          <w:sz w:val="32"/>
          <w:szCs w:val="32"/>
        </w:rPr>
        <w:t>支付200万元，完成率100%。主要用于</w:t>
      </w:r>
      <w:r>
        <w:rPr>
          <w:rFonts w:hint="eastAsia" w:ascii="仿宋_GB2312" w:hAnsi="仿宋" w:eastAsia="仿宋_GB2312" w:cs="仿宋_GB2312"/>
          <w:sz w:val="32"/>
          <w:szCs w:val="32"/>
        </w:rPr>
        <w:t>对220kv揽青线87#塔进行迁改，迁改4基塔及2.375km线路工程，现工程己全面竣工并投入使用。</w:t>
      </w:r>
    </w:p>
    <w:p>
      <w:pPr>
        <w:pStyle w:val="14"/>
        <w:ind w:left="0" w:leftChars="0" w:firstLine="640" w:firstLineChars="200"/>
        <w:rPr>
          <w:rFonts w:ascii="仿宋_GB2312" w:hAnsi="仿宋" w:eastAsia="仿宋_GB2312"/>
        </w:rPr>
      </w:pPr>
      <w:r>
        <w:rPr>
          <w:rFonts w:hint="eastAsia" w:ascii="仿宋_GB2312" w:hAnsi="仿宋" w:eastAsia="仿宋_GB2312" w:cs="仿宋_GB2312"/>
        </w:rPr>
        <w:t>（12）根据盐财金资〔2022〕16号、20号、4号下达盐边钒钛产业开发区钛材加工园基础设施建设项目二期工程款18700万元，</w:t>
      </w:r>
      <w:r>
        <w:rPr>
          <w:rFonts w:hint="eastAsia" w:ascii="仿宋_GB2312" w:hAnsi="仿宋" w:eastAsia="仿宋_GB2312" w:cs="仿宋_GB2312"/>
          <w:lang w:eastAsia="zh-CN"/>
        </w:rPr>
        <w:t>已完成</w:t>
      </w:r>
      <w:r>
        <w:rPr>
          <w:rFonts w:hint="eastAsia" w:ascii="仿宋_GB2312" w:hAnsi="仿宋" w:eastAsia="仿宋_GB2312" w:cs="仿宋_GB2312"/>
        </w:rPr>
        <w:t>支付18700万元，完成率100%。主要用于（1）</w:t>
      </w:r>
      <w:r>
        <w:rPr>
          <w:rFonts w:hint="eastAsia" w:ascii="仿宋_GB2312" w:hAnsi="仿宋" w:eastAsia="仿宋_GB2312"/>
        </w:rPr>
        <w:t>盐边钒钛产业开发区钛材加工园互通工程，本项目由钛材加工园主线、收费站主线和A、B、C、D匝道构成。其中钛材加工园主线为城市次干路，建设里程长度为1.158公里，道路工程含路基路面、沿线涵洞、市政管网（给水、雨水、污水、电力、电信、燃气）、照明、交安设施及附属工程等；收费站主线为城市次干路，建设里程长度为0.127公里，道路工程含路基路面、市政管网（雨水、污水）、照明、交安设施及附属工程等；A、B、C、D匝道建设总里程长度为1.014公里，道路工程含路基路面、沿线涵洞、照明、交安设施及附属工程等。（2）盐边钒钛产业开发区安宁大道工程，本项目道路位于新九园区，起点与G4216连接线（待建道路）相接；路线南向北延伸，路线全长约7.401km，本项目为其中1期，建设长度为1.1km。项目主线道路为城市主干路，道路工程含路基路面、沿线桥涵、市政管网（给水、雨水、污水、电力、电信、燃气）、照明、交安设施及附属工程等。支路工程：新建约1.9km，改建道路约2.34km。（3）盐边钒钛产业开发区钛材加工园基础设施建设项目二期工程，根据安宁工业园区钛材加工园发展需要，本项目对钛加工园区内930亩场地进行场坪建设（含场坪支护、排洪设施），并进行5万平米标准厂房建设（含厂区内附属基础设施建设）</w:t>
      </w:r>
      <w:r>
        <w:rPr>
          <w:rFonts w:hint="eastAsia" w:ascii="仿宋_GB2312" w:hAnsi="仿宋" w:eastAsia="仿宋_GB2312"/>
          <w:b/>
          <w:bCs/>
        </w:rPr>
        <w:t>。</w:t>
      </w:r>
      <w:r>
        <w:rPr>
          <w:rFonts w:hint="eastAsia" w:ascii="仿宋_GB2312" w:hAnsi="仿宋" w:eastAsia="仿宋_GB2312"/>
          <w:bCs/>
        </w:rPr>
        <w:t>该项目建设时间为3年，现正在建设中。</w:t>
      </w:r>
    </w:p>
    <w:p>
      <w:pPr>
        <w:widowControl/>
        <w:adjustRightInd w:val="0"/>
        <w:snapToGrid w:val="0"/>
        <w:spacing w:line="560" w:lineRule="exact"/>
        <w:ind w:firstLine="643" w:firstLineChars="200"/>
        <w:contextualSpacing/>
        <w:jc w:val="left"/>
        <w:rPr>
          <w:rFonts w:ascii="仿宋_GB2312" w:hAnsi="黑体" w:eastAsia="仿宋_GB2312"/>
          <w:b/>
          <w:color w:val="000000"/>
          <w:kern w:val="0"/>
          <w:sz w:val="32"/>
          <w:szCs w:val="32"/>
          <w:shd w:val="clear" w:color="auto" w:fill="FFFFFF"/>
          <w:lang w:val="zh-CN"/>
        </w:rPr>
      </w:pPr>
      <w:r>
        <w:rPr>
          <w:rFonts w:hint="eastAsia" w:ascii="仿宋_GB2312" w:hAnsi="黑体" w:eastAsia="仿宋_GB2312"/>
          <w:b/>
          <w:color w:val="000000"/>
          <w:kern w:val="0"/>
          <w:sz w:val="32"/>
          <w:szCs w:val="32"/>
          <w:shd w:val="clear" w:color="auto" w:fill="FFFFFF"/>
          <w:lang w:val="zh-CN"/>
        </w:rPr>
        <w:t xml:space="preserve">2、部门绩效情况 </w:t>
      </w:r>
    </w:p>
    <w:p>
      <w:pPr>
        <w:widowControl/>
        <w:adjustRightInd w:val="0"/>
        <w:snapToGrid w:val="0"/>
        <w:spacing w:line="56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hAnsi="黑体" w:eastAsia="仿宋_GB2312"/>
          <w:color w:val="000000"/>
          <w:kern w:val="0"/>
          <w:sz w:val="32"/>
          <w:szCs w:val="32"/>
          <w:shd w:val="clear" w:color="auto" w:fill="FFFFFF"/>
          <w:lang w:val="zh-CN"/>
        </w:rPr>
        <w:t>（1）总体绩效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基本支出：保障单位正常运转，包括用于在职和退休人员基本工资、津贴补贴等人员经费以及办公费、印刷费、水电费、差旅费等日常公用经费。2022年一般财政拨款基本支出决算数458.5万元，其中工资福利支出456.43万元，公用经费支出32.23万元，对个人和家庭补助支出2.06万元。按经济科目分类如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工资福利支出456.43万元，其中：基本工资112.89万元；津贴补贴56.2万元；奖金53.9万元；绩效工资110.05万元；机关事业单位基本养老保险缴费33.21万元；职工基本医疗保险缴费24.1万元；公务员医疗补助缴费14.52万元；其他社会保障缴费1.8万元；住房公积金37.54万元；其他工资福利支出12.22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商品和服务支出32.23万元，其中：办公费5.88万元；水费0.09万元；电费0.25万元；邮电费1.27万元；差旅费2.62万元；维修维护费0.61万元；培训费0.38万元；公务接待费0.13万元；劳务费3.75万元；委托业务费0.1万元；工会经费4.14万元；福利费3万元；其他交通费10.03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(3)对个人和家庭补助支出2.06万元，其中生活补助1.52万元；奖励金0.06万元，医疗补助0.48万元。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2.“三公”经费情况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因公出国（境）费0元，公务用车购置及运行维护费0元；公务接待费0.13万元。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3.主要目标绩效完成情况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（1）产出指标完成情况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2022年按初计划完成了安宁化工园纳入钒钛高新区申报编制工作；美利林35KV临时供电工程建设；220KV榄青线87号塔消缺建设工程；盐边钒钛产业开发区钛材加工园基础设施建设项目二期工程。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（2）效益指标完成情况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我单位较好的完成了2022年初设定的工作任务，各项项目得到有序开展。到年底完成项目的100%，完成项目验收率100%。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（3）满意度指标完成情况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2022年，我单位对全部项目实施和整体社会效益及满意度等各项指标调查，基本情况是园区企业和群众对项目实施满意度达到95%。项目社会效益和经济效益明显，达到了预期效果。</w:t>
      </w:r>
    </w:p>
    <w:p>
      <w:pPr>
        <w:widowControl/>
        <w:adjustRightInd w:val="0"/>
        <w:snapToGrid w:val="0"/>
        <w:spacing w:line="560" w:lineRule="exact"/>
        <w:ind w:firstLine="643" w:firstLineChars="200"/>
        <w:contextualSpacing/>
        <w:jc w:val="left"/>
        <w:rPr>
          <w:rFonts w:ascii="仿宋_GB2312" w:hAnsi="黑体" w:eastAsia="仿宋_GB2312"/>
          <w:b/>
          <w:color w:val="000000"/>
          <w:kern w:val="0"/>
          <w:sz w:val="32"/>
          <w:szCs w:val="32"/>
          <w:shd w:val="clear" w:color="auto" w:fill="FFFFFF"/>
          <w:lang w:val="zh-CN"/>
        </w:rPr>
      </w:pPr>
      <w:r>
        <w:rPr>
          <w:rFonts w:hint="eastAsia" w:ascii="仿宋_GB2312" w:hAnsi="黑体" w:eastAsia="仿宋_GB2312"/>
          <w:b/>
          <w:color w:val="000000"/>
          <w:kern w:val="0"/>
          <w:sz w:val="32"/>
          <w:szCs w:val="32"/>
          <w:shd w:val="clear" w:color="auto" w:fill="FFFFFF"/>
          <w:lang w:val="zh-CN"/>
        </w:rPr>
        <w:t>（二）结果应用情况。</w:t>
      </w:r>
    </w:p>
    <w:p>
      <w:pPr>
        <w:widowControl/>
        <w:adjustRightInd w:val="0"/>
        <w:snapToGrid w:val="0"/>
        <w:spacing w:line="560"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sz w:val="32"/>
          <w:szCs w:val="32"/>
        </w:rPr>
        <w:t>根据年初绩效目标，参照经费管理使用要求和相应项目实施方案要求进行收支管理，做到专款专用，投入到位，发挥效益。</w:t>
      </w:r>
    </w:p>
    <w:p>
      <w:pPr>
        <w:widowControl/>
        <w:numPr>
          <w:ilvl w:val="0"/>
          <w:numId w:val="2"/>
        </w:numPr>
        <w:adjustRightInd w:val="0"/>
        <w:snapToGrid w:val="0"/>
        <w:spacing w:line="560" w:lineRule="exact"/>
        <w:ind w:firstLine="643" w:firstLineChars="200"/>
        <w:contextualSpacing/>
        <w:jc w:val="left"/>
        <w:rPr>
          <w:rFonts w:ascii="仿宋_GB2312" w:hAnsi="黑体" w:eastAsia="仿宋_GB2312"/>
          <w:b/>
          <w:color w:val="000000"/>
          <w:kern w:val="0"/>
          <w:sz w:val="32"/>
          <w:szCs w:val="32"/>
          <w:shd w:val="clear" w:color="auto" w:fill="FFFFFF"/>
          <w:lang w:val="zh-CN"/>
        </w:rPr>
      </w:pPr>
      <w:r>
        <w:rPr>
          <w:rFonts w:hint="eastAsia" w:ascii="仿宋_GB2312" w:hAnsi="黑体" w:eastAsia="仿宋_GB2312"/>
          <w:b/>
          <w:color w:val="000000"/>
          <w:kern w:val="0"/>
          <w:sz w:val="32"/>
          <w:szCs w:val="32"/>
          <w:shd w:val="clear" w:color="auto" w:fill="FFFFFF"/>
          <w:lang w:val="zh-CN"/>
        </w:rPr>
        <w:t>自评质量。</w:t>
      </w:r>
    </w:p>
    <w:p>
      <w:pPr>
        <w:widowControl/>
        <w:adjustRightInd w:val="0"/>
        <w:snapToGrid w:val="0"/>
        <w:spacing w:line="560" w:lineRule="exact"/>
        <w:contextualSpacing/>
        <w:jc w:val="left"/>
        <w:rPr>
          <w:rFonts w:ascii="仿宋_GB2312" w:hAnsi="仿宋"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 xml:space="preserve">   </w:t>
      </w:r>
      <w:r>
        <w:rPr>
          <w:rFonts w:hint="eastAsia" w:ascii="仿宋_GB2312" w:hAnsi="仿宋" w:eastAsia="仿宋_GB2312"/>
          <w:color w:val="000000"/>
          <w:kern w:val="0"/>
          <w:sz w:val="32"/>
          <w:szCs w:val="32"/>
          <w:shd w:val="clear" w:color="auto" w:fill="FFFFFF"/>
        </w:rPr>
        <w:t xml:space="preserve"> 良好</w:t>
      </w:r>
    </w:p>
    <w:p>
      <w:pPr>
        <w:widowControl/>
        <w:adjustRightInd w:val="0"/>
        <w:snapToGrid w:val="0"/>
        <w:spacing w:line="56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仿宋_GB2312" w:hAnsi="黑体" w:eastAsia="仿宋_GB2312"/>
          <w:b/>
          <w:color w:val="000000"/>
          <w:kern w:val="0"/>
          <w:sz w:val="32"/>
          <w:szCs w:val="32"/>
          <w:shd w:val="clear" w:color="auto" w:fill="FFFFFF"/>
          <w:lang w:val="zh-CN"/>
        </w:rPr>
      </w:pPr>
      <w:r>
        <w:rPr>
          <w:rFonts w:hint="eastAsia" w:ascii="仿宋_GB2312" w:hAnsi="黑体" w:eastAsia="仿宋_GB2312"/>
          <w:b/>
          <w:color w:val="000000"/>
          <w:kern w:val="0"/>
          <w:sz w:val="32"/>
          <w:szCs w:val="32"/>
          <w:shd w:val="clear" w:color="auto" w:fill="FFFFFF"/>
          <w:lang w:val="zh-CN"/>
        </w:rPr>
        <w:t>（一）评价结论。</w:t>
      </w:r>
    </w:p>
    <w:p>
      <w:pPr>
        <w:spacing w:line="560" w:lineRule="exact"/>
        <w:ind w:firstLine="640" w:firstLineChars="200"/>
        <w:rPr>
          <w:rFonts w:ascii="仿宋_GB2312" w:hAnsi="仿宋" w:eastAsia="仿宋_GB2312"/>
          <w:color w:val="000000"/>
          <w:kern w:val="0"/>
          <w:sz w:val="32"/>
          <w:szCs w:val="32"/>
          <w:shd w:val="clear" w:color="auto" w:fill="FFFFFF"/>
          <w:lang w:val="zh-CN"/>
        </w:rPr>
      </w:pPr>
      <w:r>
        <w:rPr>
          <w:rFonts w:hint="eastAsia" w:ascii="仿宋_GB2312" w:hAnsi="仿宋" w:eastAsia="仿宋_GB2312"/>
          <w:sz w:val="32"/>
          <w:szCs w:val="32"/>
        </w:rPr>
        <w:t>我单位根据盐边县财政局《关于开展2022年度预算绩效自评工作的通知》（盐边财绩【2023】1号文件精神，围绕预算编制、预算执行、支出绩效三个方面对2022年度预算绩效进行了认真自评，自评完成97%（详见附件1）。根据得分情况本部门支出绩效评价等级为“良好”。</w:t>
      </w:r>
    </w:p>
    <w:p>
      <w:pPr>
        <w:widowControl/>
        <w:adjustRightInd w:val="0"/>
        <w:snapToGrid w:val="0"/>
        <w:spacing w:line="560" w:lineRule="exact"/>
        <w:ind w:firstLine="643" w:firstLineChars="200"/>
        <w:contextualSpacing/>
        <w:jc w:val="left"/>
        <w:rPr>
          <w:rFonts w:ascii="仿宋_GB2312" w:hAnsi="仿宋" w:eastAsia="仿宋_GB2312"/>
          <w:b/>
          <w:color w:val="000000"/>
          <w:kern w:val="0"/>
          <w:sz w:val="32"/>
          <w:szCs w:val="32"/>
          <w:shd w:val="clear" w:color="auto" w:fill="FFFFFF"/>
          <w:lang w:val="zh-CN"/>
        </w:rPr>
      </w:pPr>
      <w:r>
        <w:rPr>
          <w:rFonts w:hint="eastAsia" w:ascii="仿宋_GB2312" w:hAnsi="仿宋" w:eastAsia="仿宋_GB2312"/>
          <w:b/>
          <w:color w:val="000000"/>
          <w:kern w:val="0"/>
          <w:sz w:val="32"/>
          <w:szCs w:val="32"/>
          <w:shd w:val="clear" w:color="auto" w:fill="FFFFFF"/>
          <w:lang w:val="zh-CN"/>
        </w:rPr>
        <w:t>（二）存在问题。</w:t>
      </w:r>
    </w:p>
    <w:p>
      <w:pPr>
        <w:spacing w:line="560" w:lineRule="exact"/>
        <w:ind w:firstLine="640" w:firstLineChars="200"/>
        <w:rPr>
          <w:rFonts w:ascii="仿宋_GB2312" w:hAnsi="仿宋" w:eastAsia="仿宋_GB2312"/>
          <w:color w:val="000000"/>
          <w:kern w:val="0"/>
          <w:sz w:val="32"/>
          <w:szCs w:val="32"/>
          <w:shd w:val="clear" w:color="auto" w:fill="FFFFFF"/>
          <w:lang w:val="zh-CN"/>
        </w:rPr>
      </w:pPr>
      <w:r>
        <w:rPr>
          <w:rFonts w:hint="eastAsia" w:ascii="仿宋_GB2312" w:hAnsi="仿宋" w:eastAsia="仿宋_GB2312"/>
          <w:sz w:val="32"/>
          <w:szCs w:val="32"/>
        </w:rPr>
        <w:t>项目的经济社会效益指标、可持续影响力指标难以量化评估。</w:t>
      </w:r>
    </w:p>
    <w:p>
      <w:pPr>
        <w:widowControl/>
        <w:adjustRightInd w:val="0"/>
        <w:snapToGrid w:val="0"/>
        <w:spacing w:line="560" w:lineRule="exact"/>
        <w:ind w:firstLine="643" w:firstLineChars="200"/>
        <w:contextualSpacing/>
        <w:jc w:val="left"/>
        <w:rPr>
          <w:rFonts w:ascii="仿宋_GB2312" w:hAnsi="仿宋" w:eastAsia="仿宋_GB2312"/>
          <w:b/>
          <w:color w:val="000000"/>
          <w:kern w:val="0"/>
          <w:sz w:val="32"/>
          <w:szCs w:val="32"/>
          <w:shd w:val="clear" w:color="auto" w:fill="FFFFFF"/>
          <w:lang w:val="zh-CN"/>
        </w:rPr>
      </w:pPr>
      <w:r>
        <w:rPr>
          <w:rFonts w:hint="eastAsia" w:ascii="仿宋_GB2312" w:hAnsi="仿宋" w:eastAsia="仿宋_GB2312"/>
          <w:b/>
          <w:color w:val="000000"/>
          <w:kern w:val="0"/>
          <w:sz w:val="32"/>
          <w:szCs w:val="32"/>
          <w:shd w:val="clear" w:color="auto" w:fill="FFFFFF"/>
          <w:lang w:val="zh-CN"/>
        </w:rPr>
        <w:t>（三）改进建议。</w:t>
      </w:r>
    </w:p>
    <w:p>
      <w:pPr>
        <w:widowControl/>
        <w:adjustRightInd w:val="0"/>
        <w:snapToGrid w:val="0"/>
        <w:spacing w:line="560"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无</w:t>
      </w:r>
    </w:p>
    <w:p>
      <w:pPr>
        <w:widowControl/>
        <w:adjustRightInd w:val="0"/>
        <w:snapToGrid w:val="0"/>
        <w:spacing w:line="560" w:lineRule="exact"/>
        <w:ind w:firstLine="640" w:firstLineChars="200"/>
        <w:contextualSpacing/>
        <w:jc w:val="left"/>
        <w:rPr>
          <w:rFonts w:ascii="仿宋_GB2312" w:eastAsia="仿宋_GB2312"/>
          <w:color w:val="000000"/>
          <w:kern w:val="0"/>
          <w:sz w:val="32"/>
          <w:szCs w:val="32"/>
          <w:shd w:val="clear" w:color="auto" w:fill="FFFFFF"/>
          <w:lang w:val="zh-CN"/>
        </w:rPr>
      </w:pPr>
    </w:p>
    <w:p>
      <w:pPr>
        <w:widowControl/>
        <w:adjustRightInd w:val="0"/>
        <w:snapToGrid w:val="0"/>
        <w:spacing w:line="560" w:lineRule="exact"/>
        <w:ind w:firstLine="640" w:firstLineChars="200"/>
        <w:contextualSpacing/>
        <w:jc w:val="left"/>
        <w:rPr>
          <w:rFonts w:ascii="仿宋_GB2312" w:eastAsia="仿宋_GB2312"/>
          <w:color w:val="FFFFFF" w:themeColor="background1"/>
          <w:kern w:val="0"/>
          <w:sz w:val="32"/>
          <w:szCs w:val="32"/>
          <w:shd w:val="clear" w:color="auto" w:fill="FFFFFF"/>
          <w:lang w:val="zh-CN"/>
        </w:rPr>
      </w:pPr>
    </w:p>
    <w:p>
      <w:pPr>
        <w:widowControl/>
        <w:adjustRightInd w:val="0"/>
        <w:snapToGrid w:val="0"/>
        <w:spacing w:line="560" w:lineRule="exact"/>
        <w:ind w:firstLine="640" w:firstLineChars="200"/>
        <w:contextualSpacing/>
        <w:jc w:val="left"/>
        <w:rPr>
          <w:rFonts w:ascii="仿宋_GB2312" w:eastAsia="仿宋_GB2312"/>
          <w:color w:val="000000"/>
          <w:kern w:val="0"/>
          <w:sz w:val="32"/>
          <w:szCs w:val="32"/>
          <w:shd w:val="clear" w:color="auto" w:fill="FFFFFF"/>
          <w:lang w:val="zh-CN"/>
        </w:rPr>
      </w:pPr>
    </w:p>
    <w:p>
      <w:pPr>
        <w:widowControl/>
        <w:adjustRightInd w:val="0"/>
        <w:snapToGrid w:val="0"/>
        <w:spacing w:line="560" w:lineRule="exact"/>
        <w:ind w:firstLine="640" w:firstLineChars="200"/>
        <w:contextualSpacing/>
        <w:jc w:val="left"/>
        <w:rPr>
          <w:rFonts w:ascii="仿宋_GB2312" w:eastAsia="仿宋_GB2312"/>
          <w:color w:val="000000"/>
          <w:kern w:val="0"/>
          <w:sz w:val="32"/>
          <w:szCs w:val="32"/>
          <w:shd w:val="clear" w:color="auto" w:fill="FFFFFF"/>
          <w:lang w:val="zh-CN"/>
        </w:rPr>
      </w:pPr>
    </w:p>
    <w:p>
      <w:pPr>
        <w:widowControl/>
        <w:adjustRightInd w:val="0"/>
        <w:snapToGrid w:val="0"/>
        <w:spacing w:line="560" w:lineRule="exact"/>
        <w:ind w:firstLine="640" w:firstLineChars="200"/>
        <w:contextualSpacing/>
        <w:jc w:val="left"/>
        <w:rPr>
          <w:rFonts w:ascii="仿宋_GB2312" w:eastAsia="仿宋_GB2312"/>
          <w:color w:val="000000"/>
          <w:kern w:val="0"/>
          <w:sz w:val="32"/>
          <w:szCs w:val="32"/>
          <w:shd w:val="clear" w:color="auto" w:fill="FFFFFF"/>
          <w:lang w:val="zh-CN"/>
        </w:rPr>
      </w:pPr>
    </w:p>
    <w:p>
      <w:pPr>
        <w:widowControl/>
        <w:adjustRightInd w:val="0"/>
        <w:snapToGrid w:val="0"/>
        <w:spacing w:line="560" w:lineRule="exact"/>
        <w:ind w:firstLine="640" w:firstLineChars="200"/>
        <w:contextualSpacing/>
        <w:jc w:val="left"/>
        <w:rPr>
          <w:rFonts w:ascii="仿宋_GB2312" w:eastAsia="仿宋_GB2312"/>
          <w:color w:val="000000"/>
          <w:kern w:val="0"/>
          <w:sz w:val="32"/>
          <w:szCs w:val="32"/>
          <w:shd w:val="clear" w:color="auto" w:fill="FFFFFF"/>
          <w:lang w:val="zh-CN"/>
        </w:rPr>
      </w:pPr>
    </w:p>
    <w:p>
      <w:pPr>
        <w:pStyle w:val="2"/>
        <w:spacing w:beforeLines="0" w:line="560" w:lineRule="exact"/>
        <w:rPr>
          <w:rFonts w:ascii="黑体" w:hAnsi="黑体" w:eastAsia="黑体"/>
          <w:sz w:val="32"/>
          <w:szCs w:val="32"/>
        </w:rPr>
      </w:pPr>
      <w:r>
        <w:rPr>
          <w:rFonts w:hint="eastAsia" w:ascii="黑体" w:hAnsi="黑体" w:eastAsia="黑体" w:cs="宋体"/>
          <w:sz w:val="32"/>
          <w:szCs w:val="32"/>
          <w:shd w:val="clear" w:color="auto" w:fill="FFFFFF"/>
          <w:lang w:val="zh-CN"/>
        </w:rPr>
        <w:t>附件</w:t>
      </w:r>
      <w:r>
        <w:rPr>
          <w:rFonts w:hint="eastAsia" w:ascii="黑体" w:hAnsi="黑体" w:eastAsia="黑体" w:cs="宋体"/>
          <w:sz w:val="32"/>
          <w:szCs w:val="32"/>
          <w:shd w:val="clear" w:color="auto" w:fill="FFFFFF"/>
        </w:rPr>
        <w:t>2</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盐边钒钛产业开发区管理委员会</w:t>
      </w:r>
    </w:p>
    <w:p>
      <w:pPr>
        <w:spacing w:line="560" w:lineRule="exact"/>
        <w:jc w:val="center"/>
        <w:rPr>
          <w:rFonts w:ascii="方正小标宋简体" w:eastAsia="方正小标宋简体"/>
          <w:sz w:val="36"/>
          <w:szCs w:val="36"/>
          <w:lang w:val="zh-CN"/>
        </w:rPr>
      </w:pPr>
      <w:r>
        <w:rPr>
          <w:rFonts w:hint="eastAsia" w:ascii="方正小标宋简体" w:eastAsia="方正小标宋简体"/>
          <w:sz w:val="36"/>
          <w:szCs w:val="36"/>
        </w:rPr>
        <w:t>园区道路路牌及限行标志项目绩效自评报告</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（一）项目基本情况。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 xml:space="preserve"> 根据第18届124次县政府常务会议精神，原则同意盐边钒钛产业开发区道路命名方案。按照会议安排，由管委会组织对园区部分已命名道路进行路牌安装。实施道路路牌、限行标志、旅游标志，具体包括单悬臂标志25套、双柱式标志11套、附着式标志4套、减速带42m等，项目总投资93.06万元，其中建安费79.36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2.项目立项、资金申报的依据。</w:t>
      </w:r>
    </w:p>
    <w:p>
      <w:pPr>
        <w:spacing w:line="560" w:lineRule="exact"/>
        <w:ind w:firstLine="640" w:firstLineChars="200"/>
        <w:rPr>
          <w:rFonts w:ascii="仿宋_GB2312" w:eastAsia="仿宋_GB2312" w:hAnsiTheme="minorEastAsia"/>
          <w:sz w:val="32"/>
          <w:szCs w:val="32"/>
        </w:rPr>
      </w:pPr>
      <w:r>
        <w:rPr>
          <w:rFonts w:hint="eastAsia" w:ascii="仿宋_GB2312" w:hAnsi="仿宋" w:eastAsia="仿宋_GB2312" w:cs="仿宋_GB2312"/>
          <w:sz w:val="32"/>
          <w:szCs w:val="32"/>
        </w:rPr>
        <w:t>目前，园区道路已逐步完善，为保障道路交通的安全性，需要对已安装的不规范路牌，或需要更名的路牌进行更换，结合县交通局要求，对超限检测站涉及的相关路段设置限行标志，同时对G5京昆高速盐边出口至国道353设置必要的旅游标志。通过实施道路路牌、限行标志、旅游标志，提升了道路行使的安全性，对通行车辆起到标记，提醒、警示等作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根据《盐边钒钛产业开发区管理委员会关于解决盐边钒钛产业开发区路牌及限行标志安装费用的请示》（盐边钒钛〔2022〕5号文件）对项目资金进行申报。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3.资金管理办法制定情况，资金支持具体项目的条件、范围与支持方式概况。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严格按照相关财务制度制定本项目资金管理办法。做实“工业强县”战略，做强园区工作。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4.资金分配的原则及考虑因素。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按工作需要进行分配。</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1.项目主要内容。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项目资金主要用于标识标牌安装费。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2.项目应实现的具体绩效目标，包括目标的量化、细化情况以及项目实施进度计划等。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项目于2020年12 月3日开工，于2021年 1月17日全面结束。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3.分析评价申报内容是否与实际相符，申报目标是否合理可行。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项目申报内容与具体实施内容相符、申报目标合理可行。</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（三）项目自评步骤及方法。</w:t>
      </w:r>
    </w:p>
    <w:p>
      <w:pPr>
        <w:spacing w:line="560" w:lineRule="exact"/>
        <w:ind w:firstLine="700"/>
        <w:rPr>
          <w:rFonts w:ascii="仿宋_GB2312" w:hAnsi="仿宋" w:eastAsia="仿宋_GB2312"/>
          <w:sz w:val="32"/>
          <w:szCs w:val="32"/>
        </w:rPr>
      </w:pPr>
      <w:r>
        <w:rPr>
          <w:rFonts w:hint="eastAsia" w:ascii="仿宋_GB2312" w:hAnsi="仿宋" w:eastAsia="仿宋_GB2312"/>
          <w:sz w:val="32"/>
          <w:szCs w:val="32"/>
        </w:rPr>
        <w:t>成立以主任为组长，副主任为副组长，各股室负责人为工作成员的自评工作领导小组开展自评工作，并严格按照目标绩效进行评分。</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二、项目资金申报及使用情况</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（一）项目资金申报及批复情况。</w:t>
      </w:r>
    </w:p>
    <w:p>
      <w:pPr>
        <w:spacing w:line="560" w:lineRule="exact"/>
        <w:ind w:firstLine="700"/>
        <w:rPr>
          <w:rFonts w:ascii="仿宋_GB2312" w:hAnsi="仿宋" w:eastAsia="仿宋_GB2312"/>
          <w:sz w:val="32"/>
          <w:szCs w:val="32"/>
        </w:rPr>
      </w:pPr>
      <w:r>
        <w:rPr>
          <w:rFonts w:hint="eastAsia" w:ascii="仿宋_GB2312" w:hAnsi="仿宋" w:eastAsia="仿宋_GB2312"/>
          <w:sz w:val="32"/>
          <w:szCs w:val="32"/>
        </w:rPr>
        <w:t>项目资金申报及批复情况。根据《盐边钒钛产业开发区管理委员会关于解决盐边钒钛产业开发区路牌及限行标志安装费用的请示》（盐边钒钛〔2022〕5号文件）对项目资金进行申报。2022年11月盐边县财政局作出批复下达资金文件（盐财资建〔2022〕201号），符合资金管理办法等相关规定。</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（二）资金计划、到位及使用情况。</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1.资金计划。</w:t>
      </w:r>
      <w:r>
        <w:rPr>
          <w:rFonts w:hint="eastAsia" w:ascii="仿宋_GB2312" w:hAnsi="仿宋" w:eastAsia="仿宋_GB2312"/>
          <w:sz w:val="32"/>
          <w:szCs w:val="32"/>
        </w:rPr>
        <w:t>根据盐边县财政局《关于下达盐边钒钛产业开发区道路路牌及限行标志安装经费的通知》（盐财资建〔2022〕201号）下达项目资金37.1016万元。</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2.资金到位。</w:t>
      </w:r>
      <w:r>
        <w:rPr>
          <w:rFonts w:hint="eastAsia" w:ascii="仿宋_GB2312" w:hAnsi="仿宋" w:eastAsia="仿宋_GB2312"/>
          <w:sz w:val="32"/>
          <w:szCs w:val="32"/>
        </w:rPr>
        <w:t>2022年11 月收到盐边县财政局下达项目资金37.1016万元。</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3.资金使用。</w:t>
      </w:r>
      <w:r>
        <w:rPr>
          <w:rFonts w:hint="eastAsia" w:ascii="仿宋_GB2312" w:hAnsi="仿宋" w:eastAsia="仿宋_GB2312"/>
          <w:sz w:val="32"/>
          <w:szCs w:val="32"/>
        </w:rPr>
        <w:t>于2022年12月2日支付攀枝花市瑞鑫弘标识标牌销售有限公司安装费18.21万元、四川恒盛路桥勘察设计公司设计费1.5万元、攀枝花市东区成淞商贸部安装费14.9818万元、攀枝花市东区玉峰交通设施经营部安装费2.4098万元。</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（三）项目财务管理情况。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严格执行财务管理制度，项目的各项开支，符合国家、省、市相关法律、法规、政策、财经制度，并本着“厉行节约，勤俭办事”控制支。项目经费实行专款专用，办理经费支出手续完备，报销凭据真实合规，报销单上有经办人、证明人签字。财务处理及时，会计核算规范，提供真实、准确、完整的会计信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结合项目组织实施管理办法，重点围绕以下内容进行分析评价，并对自评中发现的问题分析说明。</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（一）项目组织架构及实施流程。</w:t>
      </w:r>
    </w:p>
    <w:p>
      <w:pPr>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cs="宋体"/>
          <w:color w:val="484848"/>
          <w:sz w:val="32"/>
          <w:szCs w:val="32"/>
        </w:rPr>
        <w:t>为保证工程项目顺利实施，经单位研究，决定成立该项目建设推进领导小组，并抽调专人组建强有力的协调推进”专班”进行“零距离”服务。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（二）项目管理情况。</w:t>
      </w:r>
    </w:p>
    <w:p>
      <w:pPr>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cs="宋体"/>
          <w:color w:val="484848"/>
          <w:sz w:val="32"/>
          <w:szCs w:val="32"/>
        </w:rPr>
        <w:t>领导小组办公室负责掌握项目建设进度，适时收集、整理项目推进中存在的问题，提出解决问题的建议，及时提交领导小组研究解决；负责贯彻、落实领导小组会议精神，确保项目建设按期推进；负责相关信息报送、档案管理及综合协调服务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（三）项目监管情况</w:t>
      </w:r>
    </w:p>
    <w:p>
      <w:pPr>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cs="宋体"/>
          <w:color w:val="484848"/>
          <w:sz w:val="32"/>
          <w:szCs w:val="32"/>
        </w:rPr>
        <w:t>领导小组办公室设在钒钛园区管委会，确保项目按计划推进。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r>
        <w:rPr>
          <w:rFonts w:hint="eastAsia" w:ascii="黑体" w:hAnsi="黑体" w:eastAsia="黑体"/>
          <w:sz w:val="32"/>
          <w:szCs w:val="32"/>
        </w:rPr>
        <w:tab/>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（一）项目完成情况。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项目一期于2020年 12月3日开工，于2020年12 月 14日结束。项目二期于2020年12月30日开工，2021年1月17日结束，工程结算费用62.1016万元，2021年己支付25万元，现支付37.1016万元，完成率100%。</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（二）项目效益情况。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通过实施道路路牌、限行标志、旅游标志等，提升了道路行使的安全性，对通行车辆起到标记，提醒、警示等作用。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良好</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（二）存在的问题。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（三）相关建议。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pStyle w:val="2"/>
        <w:spacing w:beforeLines="0" w:line="560" w:lineRule="exact"/>
        <w:rPr>
          <w:sz w:val="32"/>
          <w:szCs w:val="32"/>
        </w:rPr>
      </w:pPr>
    </w:p>
    <w:p>
      <w:pPr>
        <w:pStyle w:val="2"/>
        <w:spacing w:beforeLines="0" w:line="560" w:lineRule="exact"/>
        <w:rPr>
          <w:sz w:val="32"/>
          <w:szCs w:val="32"/>
        </w:rPr>
      </w:pPr>
    </w:p>
    <w:p>
      <w:pPr>
        <w:spacing w:line="560" w:lineRule="exact"/>
        <w:rPr>
          <w:rFonts w:ascii="仿宋_GB2312" w:eastAsia="仿宋_GB2312"/>
          <w:sz w:val="32"/>
          <w:szCs w:val="32"/>
        </w:rPr>
      </w:pPr>
    </w:p>
    <w:p>
      <w:pPr>
        <w:widowControl/>
        <w:spacing w:line="560" w:lineRule="exact"/>
        <w:jc w:val="left"/>
        <w:rPr>
          <w:rFonts w:ascii="仿宋_GB2312" w:hAnsi="仿宋" w:eastAsia="仿宋_GB2312"/>
          <w:b/>
          <w:sz w:val="32"/>
          <w:szCs w:val="32"/>
        </w:rPr>
      </w:pPr>
    </w:p>
    <w:p>
      <w:pPr>
        <w:widowControl/>
        <w:spacing w:line="560" w:lineRule="exact"/>
        <w:jc w:val="left"/>
        <w:rPr>
          <w:rFonts w:ascii="仿宋_GB2312" w:hAnsi="仿宋" w:eastAsia="仿宋_GB2312"/>
          <w:b/>
          <w:sz w:val="32"/>
          <w:szCs w:val="32"/>
        </w:rPr>
      </w:pPr>
    </w:p>
    <w:p>
      <w:pPr>
        <w:widowControl/>
        <w:spacing w:line="560" w:lineRule="exact"/>
        <w:jc w:val="left"/>
        <w:rPr>
          <w:rFonts w:ascii="仿宋_GB2312" w:hAnsi="仿宋" w:eastAsia="仿宋_GB2312"/>
          <w:b/>
          <w:sz w:val="32"/>
          <w:szCs w:val="32"/>
        </w:rPr>
      </w:pPr>
    </w:p>
    <w:p>
      <w:pPr>
        <w:widowControl/>
        <w:spacing w:line="560" w:lineRule="exact"/>
        <w:jc w:val="left"/>
        <w:rPr>
          <w:rFonts w:ascii="仿宋_GB2312" w:hAnsi="仿宋" w:eastAsia="仿宋_GB2312"/>
          <w:b/>
          <w:sz w:val="32"/>
          <w:szCs w:val="32"/>
        </w:rPr>
      </w:pPr>
    </w:p>
    <w:p>
      <w:pPr>
        <w:widowControl/>
        <w:spacing w:line="560" w:lineRule="exact"/>
        <w:jc w:val="left"/>
        <w:rPr>
          <w:rFonts w:ascii="仿宋_GB2312" w:hAnsi="仿宋" w:eastAsia="仿宋_GB2312"/>
          <w:b/>
          <w:sz w:val="32"/>
          <w:szCs w:val="32"/>
        </w:rPr>
      </w:pPr>
    </w:p>
    <w:p>
      <w:pPr>
        <w:widowControl/>
        <w:spacing w:line="560" w:lineRule="exact"/>
        <w:jc w:val="left"/>
        <w:rPr>
          <w:rFonts w:ascii="仿宋_GB2312" w:hAnsi="仿宋" w:eastAsia="仿宋_GB2312"/>
          <w:b/>
          <w:sz w:val="32"/>
          <w:szCs w:val="32"/>
        </w:rPr>
      </w:pPr>
    </w:p>
    <w:p>
      <w:pPr>
        <w:widowControl/>
        <w:spacing w:line="560" w:lineRule="exact"/>
        <w:jc w:val="left"/>
        <w:rPr>
          <w:rFonts w:ascii="仿宋_GB2312" w:hAnsi="仿宋" w:eastAsia="仿宋_GB2312"/>
          <w:b/>
          <w:sz w:val="32"/>
          <w:szCs w:val="32"/>
        </w:rPr>
      </w:pPr>
    </w:p>
    <w:p>
      <w:pPr>
        <w:widowControl/>
        <w:spacing w:line="560" w:lineRule="exact"/>
        <w:jc w:val="left"/>
        <w:rPr>
          <w:rFonts w:ascii="仿宋_GB2312" w:hAnsi="仿宋" w:eastAsia="仿宋_GB2312"/>
          <w:b/>
          <w:sz w:val="32"/>
          <w:szCs w:val="32"/>
        </w:rPr>
      </w:pPr>
    </w:p>
    <w:p>
      <w:pPr>
        <w:widowControl/>
        <w:spacing w:line="560" w:lineRule="exact"/>
        <w:jc w:val="left"/>
        <w:rPr>
          <w:rFonts w:ascii="仿宋_GB2312" w:hAnsi="仿宋" w:eastAsia="仿宋_GB2312"/>
          <w:b/>
          <w:sz w:val="32"/>
          <w:szCs w:val="32"/>
        </w:rPr>
      </w:pPr>
    </w:p>
    <w:p>
      <w:pPr>
        <w:widowControl/>
        <w:spacing w:line="560" w:lineRule="exact"/>
        <w:jc w:val="left"/>
        <w:rPr>
          <w:rFonts w:ascii="仿宋_GB2312" w:hAnsi="仿宋" w:eastAsia="仿宋_GB2312"/>
          <w:b/>
          <w:sz w:val="32"/>
          <w:szCs w:val="32"/>
        </w:rPr>
      </w:pPr>
    </w:p>
    <w:p>
      <w:pPr>
        <w:pStyle w:val="2"/>
        <w:spacing w:before="93"/>
      </w:pPr>
    </w:p>
    <w:p>
      <w:pPr>
        <w:pStyle w:val="2"/>
        <w:spacing w:before="93"/>
      </w:pPr>
    </w:p>
    <w:p>
      <w:pPr>
        <w:pStyle w:val="2"/>
        <w:spacing w:before="93"/>
      </w:pPr>
    </w:p>
    <w:p>
      <w:pPr>
        <w:pStyle w:val="2"/>
        <w:spacing w:before="93"/>
      </w:pPr>
    </w:p>
    <w:p>
      <w:pPr>
        <w:pStyle w:val="2"/>
        <w:spacing w:before="93"/>
      </w:pPr>
    </w:p>
    <w:p>
      <w:pPr>
        <w:widowControl/>
        <w:spacing w:line="560" w:lineRule="exact"/>
        <w:jc w:val="left"/>
        <w:rPr>
          <w:rFonts w:ascii="黑体" w:hAnsi="黑体" w:eastAsia="黑体"/>
          <w:sz w:val="32"/>
          <w:szCs w:val="32"/>
        </w:rPr>
      </w:pPr>
      <w:r>
        <w:rPr>
          <w:rFonts w:hint="eastAsia" w:ascii="黑体" w:hAnsi="黑体" w:eastAsia="黑体"/>
          <w:sz w:val="32"/>
          <w:szCs w:val="32"/>
        </w:rPr>
        <w:t>附件3</w:t>
      </w:r>
    </w:p>
    <w:p>
      <w:pPr>
        <w:widowControl/>
        <w:spacing w:line="560" w:lineRule="exact"/>
        <w:jc w:val="left"/>
        <w:rPr>
          <w:rFonts w:ascii="方正小标宋简体" w:hAnsi="仿宋" w:eastAsia="方正小标宋简体"/>
          <w:sz w:val="36"/>
          <w:szCs w:val="36"/>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盐边钒钛产业开发区管理委员会</w:t>
      </w:r>
    </w:p>
    <w:p>
      <w:pPr>
        <w:spacing w:line="560" w:lineRule="exact"/>
        <w:jc w:val="center"/>
        <w:rPr>
          <w:rFonts w:ascii="方正小标宋简体" w:eastAsia="方正小标宋简体"/>
          <w:sz w:val="36"/>
          <w:szCs w:val="36"/>
          <w:lang w:val="zh-CN"/>
        </w:rPr>
      </w:pPr>
      <w:r>
        <w:rPr>
          <w:rFonts w:hint="eastAsia" w:ascii="方正小标宋简体" w:eastAsia="方正小标宋简体"/>
          <w:sz w:val="36"/>
          <w:szCs w:val="36"/>
        </w:rPr>
        <w:t>220KV榄青线87号塔消缺工程绩效自评报告</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（一）项目基本情况。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1.消除安全隐患，保证园区企业供电顺畅。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2.项目立项、资金申报的依据。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经县政府第18届131次常务会议研究，同意将220千伏榄青线87号塔消缺工程纳入抢险救灾工作进行实施。根据《盐边钒钛产业开发区管理委员会关于解决220KV榄青线87号塔消缺工程费用的请示》（盐边钒钛〔2022〕23号文件）对项目资金进行申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3.资金管理办法制定情况，资金支持具体项目的条件、范围与支持方式概况。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严格按照相关财务制度制定本项目资金管理办法。做实“工业强县”战略，做强园区工作。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4.资金分配的原则及考虑因素。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按工作需要进行分配。</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1.项目主要内容。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项目资金主要用于工程费用。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2.项目应实现的具体绩效目标，包括目标的量化、细化情况以及项目实施进度计划等。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项目于2021年1 月1 日开工，于2021年 12月31 日全面结束。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3.分析评价申报内容是否与实际相符，申报目标是否合理可行。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项目申报内容与具体实施内容相符、申报目标合理可行。</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（三）项目自评步骤及方法。</w:t>
      </w:r>
    </w:p>
    <w:p>
      <w:pPr>
        <w:spacing w:line="560" w:lineRule="exact"/>
        <w:ind w:firstLine="700"/>
        <w:rPr>
          <w:rFonts w:ascii="仿宋_GB2312" w:hAnsi="仿宋" w:eastAsia="仿宋_GB2312"/>
          <w:sz w:val="32"/>
          <w:szCs w:val="32"/>
        </w:rPr>
      </w:pPr>
      <w:r>
        <w:rPr>
          <w:rFonts w:hint="eastAsia" w:ascii="仿宋_GB2312" w:hAnsi="仿宋" w:eastAsia="仿宋_GB2312"/>
          <w:sz w:val="32"/>
          <w:szCs w:val="32"/>
        </w:rPr>
        <w:t>成立以主任为组长，副主任为副组长，各股室负责人为工作成员的自评工作领导小组开展自评工作，并严格按照目标绩效进行评分。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（一）项目资金申报及批复情况。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资金申报及批复情况。根据《盐边钒钛产业开发区管理委员会关于解决220KV榄青线87号塔消缺工程费用的请示》（盐边钒钛〔2022〕23号文件）对项目资金进行申报。2022年12月盐边县财政局作出批复下达资金文件（盐财资建〔2022〕229号），符合资金管理办法等相关规定。</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（二）资金计划、到位及使用情况。</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1.资金计划。</w:t>
      </w:r>
      <w:r>
        <w:rPr>
          <w:rFonts w:hint="eastAsia" w:ascii="仿宋_GB2312" w:hAnsi="仿宋" w:eastAsia="仿宋_GB2312"/>
          <w:sz w:val="32"/>
          <w:szCs w:val="32"/>
        </w:rPr>
        <w:t>根据盐边县财政局《关于下达220KV榄青线87号塔消缺工程费用的通知》（盐财资建〔2022〕229号）下达项目资金200万元。</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2.资金到位。</w:t>
      </w:r>
      <w:r>
        <w:rPr>
          <w:rFonts w:hint="eastAsia" w:ascii="仿宋_GB2312" w:hAnsi="仿宋" w:eastAsia="仿宋_GB2312"/>
          <w:sz w:val="32"/>
          <w:szCs w:val="32"/>
        </w:rPr>
        <w:t>2022年12 月收到盐边县财政局下达项目资金200万元。</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3.资金使用。</w:t>
      </w:r>
      <w:r>
        <w:rPr>
          <w:rFonts w:hint="eastAsia" w:ascii="仿宋_GB2312" w:hAnsi="仿宋" w:eastAsia="仿宋_GB2312"/>
          <w:sz w:val="32"/>
          <w:szCs w:val="32"/>
        </w:rPr>
        <w:t>于2022年12月支付四川美卓电力设计有限公司工程费用200万元。</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（三）项目财务管理情况。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严格执行财务管理制度，项目的各项开支，符合国家、省、市相关法律、法规、政策、财经制度，并本着“厉行节约，勤俭办事”控制支。项目经费实行专款专用，办理经费支出手续完备，报销凭据真实合规，报销单上有经办人、证明人签字。财务处理及时，会计核算规范，提供真实、准确、完整的会计信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结合项目组织实施管理办法，重点围绕以下内容进行分析评价，并对自评中发现的问题分析说明。</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（一）项目组织架构及实施流程。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为保证工程项目顺利实施，经单位研究，决定成立该项目建设推进领导小组，并抽调专人组建强有力的协调推进”专班”进行“零距离”服务。</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领导小组办公室负责掌握项目建设进度，适时收集、整理项目推进中存在的问题，提出解决问题的建议，及时提交领导小组研究解决；负责贯彻、落实领导小组会议精神，确保项目建设按期推进；负责相关信息报送、档案管理及综合协调服务工作。</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（三）项目监管情况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领导小组办公室设在钒钛园区管委会，确保项目按计划推进。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r>
        <w:rPr>
          <w:rFonts w:hint="eastAsia" w:ascii="黑体" w:hAnsi="黑体" w:eastAsia="黑体"/>
          <w:sz w:val="32"/>
          <w:szCs w:val="32"/>
        </w:rPr>
        <w:tab/>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（一）项目完成情况。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项目于2021年 1月1日开工，于2021年12 月 31日全面结束。工程结算费用300万元，2021年度已支付材料采购款100万元，2022年12月支付200万元，完成率100%。</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（二）项目效益情况。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项目实施后，园区企业用电顺畅。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良好</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（二）存在的问题。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（三）相关建议。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pStyle w:val="2"/>
        <w:spacing w:beforeLines="0" w:line="560" w:lineRule="exact"/>
        <w:rPr>
          <w:sz w:val="32"/>
          <w:szCs w:val="32"/>
        </w:rPr>
      </w:pPr>
    </w:p>
    <w:p>
      <w:pPr>
        <w:pStyle w:val="2"/>
        <w:spacing w:beforeLines="0" w:line="560" w:lineRule="exact"/>
        <w:rPr>
          <w:sz w:val="32"/>
          <w:szCs w:val="32"/>
        </w:rPr>
      </w:pPr>
    </w:p>
    <w:p>
      <w:pPr>
        <w:widowControl/>
        <w:spacing w:line="560" w:lineRule="exact"/>
        <w:jc w:val="left"/>
        <w:rPr>
          <w:rFonts w:ascii="仿宋_GB2312" w:hAnsi="仿宋" w:eastAsia="仿宋_GB2312"/>
          <w:b/>
          <w:sz w:val="32"/>
          <w:szCs w:val="32"/>
        </w:rPr>
      </w:pPr>
    </w:p>
    <w:p>
      <w:pPr>
        <w:pStyle w:val="2"/>
        <w:spacing w:before="93"/>
      </w:pPr>
    </w:p>
    <w:p>
      <w:pPr>
        <w:pStyle w:val="2"/>
        <w:spacing w:before="93"/>
      </w:pPr>
    </w:p>
    <w:p>
      <w:pPr>
        <w:pStyle w:val="2"/>
        <w:spacing w:before="93"/>
      </w:pPr>
    </w:p>
    <w:p>
      <w:pPr>
        <w:pStyle w:val="2"/>
        <w:spacing w:before="93"/>
      </w:pPr>
    </w:p>
    <w:p>
      <w:pPr>
        <w:pStyle w:val="2"/>
        <w:spacing w:before="93"/>
      </w:pPr>
    </w:p>
    <w:p>
      <w:pPr>
        <w:widowControl/>
        <w:spacing w:line="560" w:lineRule="exact"/>
        <w:jc w:val="left"/>
        <w:rPr>
          <w:rFonts w:ascii="仿宋_GB2312" w:hAnsi="仿宋" w:eastAsia="仿宋_GB2312"/>
          <w:b/>
          <w:sz w:val="32"/>
          <w:szCs w:val="32"/>
        </w:rPr>
      </w:pPr>
    </w:p>
    <w:p>
      <w:pPr>
        <w:widowControl/>
        <w:spacing w:line="560" w:lineRule="exact"/>
        <w:jc w:val="left"/>
        <w:rPr>
          <w:rFonts w:ascii="黑体" w:hAnsi="黑体" w:eastAsia="黑体"/>
          <w:sz w:val="32"/>
          <w:szCs w:val="32"/>
        </w:rPr>
      </w:pPr>
      <w:r>
        <w:rPr>
          <w:rFonts w:hint="eastAsia" w:ascii="黑体" w:hAnsi="黑体" w:eastAsia="黑体"/>
          <w:sz w:val="32"/>
          <w:szCs w:val="32"/>
        </w:rPr>
        <w:t>附件4</w:t>
      </w:r>
    </w:p>
    <w:p>
      <w:pPr>
        <w:spacing w:line="560" w:lineRule="exact"/>
        <w:jc w:val="center"/>
        <w:rPr>
          <w:rFonts w:ascii="方正小标宋简体" w:hAnsi="黑体" w:eastAsia="方正小标宋简体"/>
          <w:sz w:val="32"/>
          <w:szCs w:val="32"/>
          <w:lang w:val="zh-CN"/>
        </w:rPr>
      </w:pPr>
      <w:r>
        <w:rPr>
          <w:rFonts w:hint="eastAsia" w:ascii="方正小标宋简体" w:hAnsi="黑体" w:eastAsia="方正小标宋简体"/>
          <w:sz w:val="32"/>
          <w:szCs w:val="32"/>
        </w:rPr>
        <w:t>安宁化工园纳入钒钛高新区申报编制项目绩效自评报告</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按照目前化工项目入驻相关要求，化工项目需要入驻化工园区。现已确定把安宁化工园（规划面积3.08平方公里）纳入钒钛高新区，按照“一区多园”模式开展化工园认证。按照省经济和信息化厅、省发展改革委、省自然资源厅、省生态环境厅、省水利厅、省应急厅相关要求，委托第三方机构开展认证涉及的水资源论证报告、区域水土保持评估报告、化工园规划、规划环评等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2.项目立项、资金申报的依据。</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化工园区申报认定和县政府安排。根据《盐边钒钛产业开发区管理委员会关于解决化工园安宁片区纳入钒钛高新区申报编制费用的请示》（盐边工管委〔2022〕9、10、14、15、30号文件）对项目资金进行申报。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3.资金管理办法制定情况，资金支持具体项目的条件、范围与支持方式概况。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严格按照相关财务制度制定本项目资金管理办法。做实“工业强县”战略，做强园区工作。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4.资金分配的原则及考虑因素。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按工作需要进行分配。</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1.项目主要内容。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项目资金主要用于第三方编制机构编制费。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2.项目应实现的具体绩效目标，包括目标的量化、细化情况以及项目实施进度计划等。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项目于2022年1 月1 日开工，于2022年 12月31 日全面结束。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3.分析评价申报内容是否与实际相符，申报目标是否合理可行。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项目申报内容与具体实施内容相符、申报目标合理可行。</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（三）项目自评步骤及方法。</w:t>
      </w:r>
    </w:p>
    <w:p>
      <w:pPr>
        <w:spacing w:line="560" w:lineRule="exact"/>
        <w:ind w:firstLine="700"/>
        <w:rPr>
          <w:rFonts w:ascii="仿宋_GB2312" w:hAnsi="仿宋" w:eastAsia="仿宋_GB2312"/>
          <w:sz w:val="32"/>
          <w:szCs w:val="32"/>
        </w:rPr>
      </w:pPr>
      <w:r>
        <w:rPr>
          <w:rFonts w:hint="eastAsia" w:ascii="仿宋_GB2312" w:hAnsi="仿宋" w:eastAsia="仿宋_GB2312"/>
          <w:sz w:val="32"/>
          <w:szCs w:val="32"/>
        </w:rPr>
        <w:t>成立以主任为组长，副主任为副组长，各股室负责人为工作成员的自评工作领导小组开展自评工作，并严格按照目标绩效进行评分。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（一）项目资金申报及批复情况。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资金申报及批复情况。根据《盐边钒钛产业开发区管理委员会关于解决化工园安宁片区纳入钒钛高新区申报编制费用的请示》（盐边工管委〔2022〕9、10、14、15、30号文件）对项目资金进行申报。2022年4-12月盐边县财政局作出批复下达资金文件（盐财资建〔2022〕56、60、61、62、63、193、202号），符合资金管理办法等相关规定。</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（二）资金计划、到位及使用情况。</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1.资金计划。</w:t>
      </w:r>
      <w:r>
        <w:rPr>
          <w:rFonts w:hint="eastAsia" w:ascii="仿宋_GB2312" w:hAnsi="仿宋" w:eastAsia="仿宋_GB2312"/>
          <w:sz w:val="32"/>
          <w:szCs w:val="32"/>
        </w:rPr>
        <w:t>根据盐边县财政局《关于下达攀枝花钒钛产业化工园区安宁片区申报费》（盐财资建〔2022〕56、60、61、62、63、193、202号）下达项目资金186.82万元。</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2.资金到位。</w:t>
      </w:r>
      <w:r>
        <w:rPr>
          <w:rFonts w:hint="eastAsia" w:ascii="仿宋_GB2312" w:hAnsi="仿宋" w:eastAsia="仿宋_GB2312"/>
          <w:sz w:val="32"/>
          <w:szCs w:val="32"/>
        </w:rPr>
        <w:t>2022年4-12 月收到盐边县财政局下达项目资金186.82万元。</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3.资金使用。</w:t>
      </w:r>
      <w:r>
        <w:rPr>
          <w:rFonts w:hint="eastAsia" w:ascii="仿宋_GB2312" w:hAnsi="仿宋" w:eastAsia="仿宋_GB2312"/>
          <w:sz w:val="32"/>
          <w:szCs w:val="32"/>
        </w:rPr>
        <w:t>于2022年2022年11月25、12月23日支付四川中蓝宇拓环保工程有限公司编制费25万元；2022年12月23日支付攀枝花运业安全技术咨询服务有限公司编制费3.2万元、攀枝花市水利水电勘察设计咨询有限公司编制费49万元、山东省建鲁智华工程咨询研究院有限公司四川分公司9万元、成都恒空遥图科技有限公司影像制作费9.9万元；2022年11月4日支付四川众望安全环保技术咨询有限公司编制费10万元；2022年9月22日支付四川省安科缘安全技术咨询有限公司编制费25万元、支付交铁安全应急工程技术中心（成都是）有限公司编制费27万元、四川智汇安应急管理咨询有限公司18万元；2022年6月7日支付邓瑞强取水点费用4.2万元、四川省渡航建筑工程有限公司编制费3.52万元、四川紫丁香建设工程有限公司攀枝花分公司编制费3万元。</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（三）项目财务管理情况。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严格执行财务管理制度，项目的各项开支，符合国家、省、市相关法律、法规、政策、财经制度，并本着“厉行节约，勤俭办事”控制支。项目经费实行专款专用，办理经费支出手续完备，报销凭据真实合规，报销单上有经办人、证明人签字。财务处理及时，会计核算规范，提供真实、准确、完整的会计信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结合项目组织实施管理办法，重点围绕以下内容进行分析评价，并对自评中发现的问题分析说明。</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（一）项目组织架构及实施流程。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为保证工程项目顺利实施，经单位研究，决定成立该项目建设推进领导小组，并抽调专人组建强有力的协调推进”专班”进行“零距离”服务。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领导小组办公室负责掌握项目建设进度，适时收集、整理项目推进中存在的问题，提出解决问题的建议，及时提交领导小组研究解决；负责贯彻、落实领导小组会议精神，确保项目建设按期推进；负责相关信息报送、档案管理及综合协调服务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（三）项目监管情况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领导小组办公室设在钒钛园区管委会，确保项目按计划推进。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r>
        <w:rPr>
          <w:rFonts w:hint="eastAsia" w:ascii="黑体" w:hAnsi="黑体" w:eastAsia="黑体"/>
          <w:sz w:val="32"/>
          <w:szCs w:val="32"/>
        </w:rPr>
        <w:tab/>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（一）项目完成情况。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项目于2022年 1月1日开工，于2022年12 月 31日全面结束。工程结算费用186.82万元，己支付186.82万元，完成率100%。</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（二）项目效益情况。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项目实施后，顺利将盐边钒钛产业开发区安宁片区纳入攀枝花钒钛高新区技术产业开发区。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良好</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（二）存在的问题。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（三）相关建议。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sz w:val="32"/>
          <w:szCs w:val="32"/>
        </w:rPr>
      </w:pPr>
    </w:p>
    <w:p>
      <w:pPr>
        <w:pStyle w:val="2"/>
        <w:spacing w:beforeLines="0" w:line="560" w:lineRule="exact"/>
        <w:rPr>
          <w:rFonts w:ascii="黑体" w:hAnsi="黑体" w:eastAsia="黑体"/>
          <w:sz w:val="32"/>
          <w:szCs w:val="32"/>
        </w:rPr>
      </w:pPr>
      <w:r>
        <w:rPr>
          <w:rFonts w:hint="eastAsia" w:ascii="黑体" w:hAnsi="黑体" w:eastAsia="黑体"/>
          <w:sz w:val="32"/>
          <w:szCs w:val="32"/>
        </w:rPr>
        <w:t>附件5</w:t>
      </w:r>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36"/>
          <w:szCs w:val="36"/>
          <w:lang w:val="zh-CN"/>
        </w:rPr>
      </w:pPr>
      <w:r>
        <w:rPr>
          <w:rFonts w:hint="eastAsia" w:ascii="方正小标宋简体" w:eastAsia="方正小标宋简体"/>
          <w:sz w:val="36"/>
          <w:szCs w:val="36"/>
        </w:rPr>
        <w:t>盐边钒钛产业开发区钛材加工园基础设施建设项目二期工程绩效自评报告</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（一）项目基本情况。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1.开发区管委会作为园区服务中心主管部门，负责统筹协调园区建设项目资金申报，配合项目征地拆迁协调、各项费用支付等。指导并督促项目的顺利建设。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2.项目立项、资金申报的依据。</w:t>
      </w:r>
    </w:p>
    <w:p>
      <w:pPr>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项目资金申报情况。根据盐边县发改局关于盐边县钒钛产业开发区钛材加工园基础设施建设项目二期工程项目可研的批复（盐边发改〔2020〕181号）文实施该项目，对项目资金进行申报。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3.资金管理办法制定情况，资金支持具体项目的条件、范围与支持方式概况。</w:t>
      </w:r>
    </w:p>
    <w:p>
      <w:pPr>
        <w:spacing w:line="560" w:lineRule="exact"/>
        <w:ind w:firstLine="560"/>
        <w:rPr>
          <w:rFonts w:ascii="仿宋_GB2312" w:hAnsi="仿宋" w:eastAsia="仿宋_GB2312"/>
          <w:sz w:val="32"/>
          <w:szCs w:val="32"/>
        </w:rPr>
      </w:pPr>
      <w:r>
        <w:rPr>
          <w:rFonts w:hint="eastAsia" w:ascii="仿宋_GB2312" w:hAnsi="仿宋" w:eastAsia="仿宋_GB2312"/>
          <w:sz w:val="32"/>
          <w:szCs w:val="32"/>
        </w:rPr>
        <w:t>严格按照相关财务制度制定本项目资金管理办法。开发园区场坪600余亩，提升招商引资综合能力。完善开发区道路基础设施，能满足交通运输需求，构建安全高效的交通运输体系，稳步促进开发区的各项建设，并协调各产业良性互动，实现社会经济的健康可持续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4.资金分配的原则及考虑因素。</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1.项目主要内容。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主要建设内容包括：新建4000平米办公楼一栋，开发场坪688亩。新建匝道总长1060m高速路连接线工程；新建道路全长1024.092m钒钛大道A段；新建巴拉河 大桥、巴拉河大桥连接线、红格大道与匝道， 全长796.923m;环形匝道、全长172.315m。新建全长 180.385m的巴拉河大桥、全长60m的巴拉河大桥连接线;全长 596.197m的红格大道; 新建A匝道、B匝道、C匝道、D匝道，全长796.923m;新建全长172.315m环形匝道。</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2.项目应实现的具体绩效目标，包括目标的量化、细化情况以及项目实施进度计划等。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完成项目前期手续办理、征地拆迁、1标段施工监理招标，并实施完成1标段招标内容。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3.分析评价申报内容是否与实际相符，申报目标是否合理可行。</w:t>
      </w:r>
    </w:p>
    <w:p>
      <w:pPr>
        <w:autoSpaceDE w:val="0"/>
        <w:autoSpaceDN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项目申报内容与具体实施内容相符、申报目标合理可行。</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（三）项目自评步骤及方法。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说明项目绩效自评采用的组织实施步骤及方法。</w:t>
      </w:r>
    </w:p>
    <w:p>
      <w:pPr>
        <w:spacing w:line="560" w:lineRule="exact"/>
        <w:ind w:firstLine="700"/>
        <w:rPr>
          <w:rFonts w:ascii="仿宋_GB2312" w:hAnsi="仿宋" w:eastAsia="仿宋_GB2312"/>
          <w:sz w:val="32"/>
          <w:szCs w:val="32"/>
        </w:rPr>
      </w:pPr>
      <w:r>
        <w:rPr>
          <w:rFonts w:hint="eastAsia" w:ascii="仿宋_GB2312" w:hAnsi="仿宋" w:eastAsia="仿宋_GB2312"/>
          <w:sz w:val="32"/>
          <w:szCs w:val="32"/>
        </w:rPr>
        <w:t>成立以田茂文主任为组长，龚高禄副主任为副组长，各股室主任为工作成员的自评工作领导小组开展自评工作，并严格按照目标绩效进行评分。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（一）项目资金申报及批复情况。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说明项目资金申报、批复及预算调整等程序的相关情况。</w:t>
      </w:r>
    </w:p>
    <w:p>
      <w:pPr>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根据川财债〔2022〕26号下达2022年新增债券资金。</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（二）资金计划、到位及使用情况（可用表格形式反映）。</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1.资金计划。</w:t>
      </w:r>
      <w:r>
        <w:rPr>
          <w:rFonts w:hint="eastAsia" w:ascii="仿宋_GB2312" w:hAnsi="仿宋" w:eastAsia="仿宋_GB2312"/>
          <w:color w:val="000000"/>
          <w:sz w:val="32"/>
          <w:szCs w:val="32"/>
        </w:rPr>
        <w:t>根据盐边县财政局《关于下达盐边县2022年第二批新增专项债券资金（盐边县钒钛产业开发区钛材加工园基础设施建设项目二期工程）（川财债〔2022〕26号下达项目资金2400万元。《关于下达2022年提前批专项债券资金的通知（盐边县钒钛产业开发区钛材加工园基础设施建设项目二期工程）（盐财金资〔2022〕10号下达项目资金1500万元。《关于下达专项债券结转资金的通知》（盐财金资〔2022〕4号下达项目资金14800万元。</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2.资金到位。</w:t>
      </w:r>
      <w:r>
        <w:rPr>
          <w:rFonts w:hint="eastAsia" w:ascii="仿宋_GB2312" w:hAnsi="仿宋" w:eastAsia="仿宋_GB2312"/>
          <w:color w:val="000000"/>
          <w:sz w:val="32"/>
          <w:szCs w:val="32"/>
        </w:rPr>
        <w:t>2022年3月收到盐边县财政局下达项目资金14800万元，4月收到项目资金1500万元，6月收到项目资金2400万元。</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3.资金使用。</w:t>
      </w:r>
      <w:r>
        <w:rPr>
          <w:rFonts w:hint="eastAsia" w:ascii="仿宋_GB2312" w:hAnsi="仿宋" w:eastAsia="仿宋_GB2312"/>
          <w:color w:val="000000"/>
          <w:sz w:val="32"/>
          <w:szCs w:val="32"/>
        </w:rPr>
        <w:t>该项目资金己于2022年1、3月、5月、8月支付盐边县发展（集团）有限责任公司项目资金18700万元，支付率100%。</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（三）项目财务管理情况。</w:t>
      </w:r>
    </w:p>
    <w:p>
      <w:pPr>
        <w:autoSpaceDE w:val="0"/>
        <w:autoSpaceDN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严格执行财务管理制度，项目的各项开支，符合国家、省、市相关法律、法规、政策、财经制度，并本着“厉行节约，勤俭办事”控制支。项目经费实行专款专用，办理经费支出手续完备，报销凭据真实合规，报销单上有经手人、证明人签字。财务处理及时，会计核算规范，提供真实、准确、完整的会计信息。</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三、项目实施及管理情况</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结合项目组织实施管理办法，重点围绕以下内容进行分析评价，并对自评中发现的问题分析说明。</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（一）项目组织架构及实施流程。</w:t>
      </w:r>
    </w:p>
    <w:p>
      <w:pPr>
        <w:autoSpaceDE w:val="0"/>
        <w:autoSpaceDN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确保盐边县钒钛产业开发区钛材加工园基础设施建设项目二期工程项目项目各项工作顺利实施，经单位研究，决定委派规划建设股分管领导及规划建设股人员与实施单位对接，及时有效处理该项目实施过程中需要协调解决的困难和问题。</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（二）项目管理情况。</w:t>
      </w:r>
    </w:p>
    <w:p>
      <w:pPr>
        <w:autoSpaceDE w:val="0"/>
        <w:autoSpaceDN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规划建设股负责掌握项目建设进度，适时收集、整理项目推进中存在的问题，提出解决问题的建议，及时提交分管领导报管委会领导班子研究解决；确保项目建设按期推进。</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（三）项目监管情况。</w:t>
      </w:r>
    </w:p>
    <w:p>
      <w:pPr>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规划建设股分管领导及规划建设股负责及时了解项目推进情况，确保项目按计划推进。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r>
        <w:rPr>
          <w:rFonts w:hint="eastAsia" w:ascii="黑体" w:hAnsi="黑体" w:eastAsia="黑体"/>
          <w:sz w:val="32"/>
          <w:szCs w:val="32"/>
        </w:rPr>
        <w:tab/>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（一）项目完成情况。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完成项目EPC招标、完成监理招标，正在开展项目施工图设计、征地拆迁等工作。</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（二）项目效益情况。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新建4000平米办公楼一栋，改善园区办公环境，开发场坪688亩，提升园区招商引资环境。新建匝道总长1060m高速路连接线工程；新建道路全长1024.092m钒钛大道A段；新建巴拉河 大桥、巴拉河大桥连接线、红格大道与匝道， 全长796.923m;环形匝道、全长172.315m。新建全长 180.385m的巴拉河大桥、全长60m的巴拉河大桥连接线;全长 596.197m的红格大道; 新建A匝道、B匝道、C匝道、D匝道，全长796.923m;新建全长172.315m环形匝道。完善安宁园区已建区主干道对外物流，改善园区交通环境。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良好</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（二）存在的问题。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（三）相关建议。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Lines="0" w:line="560" w:lineRule="exact"/>
        <w:rPr>
          <w:rFonts w:ascii="黑体" w:hAnsi="黑体" w:eastAsia="黑体"/>
          <w:sz w:val="32"/>
          <w:szCs w:val="32"/>
        </w:rPr>
      </w:pPr>
      <w:r>
        <w:rPr>
          <w:rFonts w:hint="eastAsia" w:ascii="黑体" w:hAnsi="黑体" w:eastAsia="黑体"/>
          <w:sz w:val="32"/>
          <w:szCs w:val="32"/>
        </w:rPr>
        <w:t>附件6</w:t>
      </w:r>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36"/>
          <w:szCs w:val="36"/>
          <w:lang w:val="zh-CN"/>
        </w:rPr>
      </w:pPr>
      <w:r>
        <w:rPr>
          <w:rFonts w:hint="eastAsia" w:ascii="方正小标宋简体" w:eastAsia="方正小标宋简体"/>
          <w:sz w:val="36"/>
          <w:szCs w:val="36"/>
        </w:rPr>
        <w:t>美利林35kv临时供电项目绩效自评报告</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（一）项目基本情况。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 xml:space="preserve"> 为给园区企业提供良好的入园环境，增加园区招商引资力度，提升园区竞争力，实施美利林科技科技有限公司、四川天钒科技有限公司生产生活用电工程，项目总费用共计</w:t>
      </w:r>
      <w:r>
        <w:rPr>
          <w:rFonts w:hint="eastAsia" w:ascii="仿宋_GB2312" w:hAnsi="仿宋" w:eastAsia="仿宋_GB2312"/>
          <w:sz w:val="32"/>
          <w:szCs w:val="32"/>
        </w:rPr>
        <w:t>103.0957</w:t>
      </w:r>
      <w:r>
        <w:rPr>
          <w:rFonts w:hint="eastAsia" w:ascii="仿宋_GB2312" w:hAnsi="仿宋" w:eastAsia="仿宋_GB2312" w:cs="仿宋_GB2312"/>
          <w:sz w:val="32"/>
          <w:szCs w:val="32"/>
        </w:rPr>
        <w:t>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2.项目立项、资金申报的依据。</w:t>
      </w:r>
    </w:p>
    <w:p>
      <w:pPr>
        <w:spacing w:line="560" w:lineRule="exact"/>
        <w:ind w:firstLine="640" w:firstLineChars="200"/>
        <w:rPr>
          <w:rFonts w:ascii="仿宋_GB2312" w:hAnsi="仿宋" w:eastAsia="仿宋_GB2312" w:cs="宋体"/>
          <w:color w:val="484848"/>
          <w:sz w:val="32"/>
          <w:szCs w:val="32"/>
        </w:rPr>
      </w:pPr>
      <w:r>
        <w:rPr>
          <w:rFonts w:hint="eastAsia" w:ascii="仿宋_GB2312" w:hAnsi="仿宋" w:eastAsia="仿宋_GB2312" w:cs="仿宋_GB2312"/>
          <w:sz w:val="32"/>
          <w:szCs w:val="32"/>
        </w:rPr>
        <w:t>随着美利林、四川天钒等企业的入驻,需在企业周边接入35kv用电线路0.836km，新建铁塔4基，新建ADSS光缆0.23km，以解决两家企业生活、生产用电，促使企业尽快投入运行，为盐边县经济建设添砖加瓦。该项目实施具有必要性。根据《盐边县工业区开发建设管理委员会关于解决美利林35kv临时供电工程资金的请示》（盐边工管委〔2022〕16号文件）对项目资金进行申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3.资金管理办法制定情况，资金支持具体项目的条件、范围与支持方式概况。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严格按照相关财务制度制定本项目资金管理办法。做实“工业强县”战略，做强园区工作。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4.资金分配的原则及考虑因素。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按工作需要进行分配。</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1.项目主要内容。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项目资金主要用于标识标牌安装费。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2.项目应实现的具体绩效目标，包括目标的量化、细化情况以及项目实施进度计划等。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项目于2021年3月开工，于2021年 5月全面结束。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3.分析评价申报内容是否与实际相符，申报目标是否合理可行。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项目申报内容与具体实施内容相符、申报目标合理可行。</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（三）项目自评步骤及方法。</w:t>
      </w:r>
    </w:p>
    <w:p>
      <w:pPr>
        <w:spacing w:line="560" w:lineRule="exact"/>
        <w:ind w:firstLine="700"/>
        <w:rPr>
          <w:rFonts w:ascii="仿宋_GB2312" w:hAnsi="仿宋" w:eastAsia="仿宋_GB2312"/>
          <w:sz w:val="32"/>
          <w:szCs w:val="32"/>
        </w:rPr>
      </w:pPr>
      <w:r>
        <w:rPr>
          <w:rFonts w:hint="eastAsia" w:ascii="仿宋_GB2312" w:hAnsi="仿宋" w:eastAsia="仿宋_GB2312"/>
          <w:sz w:val="32"/>
          <w:szCs w:val="32"/>
        </w:rPr>
        <w:t>成立以主任为组长，副主任为副组长，各股室负责人为工作成员的自评工作领导小组开展自评工作，并严格按照目标绩效进行评分。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（一）项目资金申报及批复情况。</w:t>
      </w:r>
    </w:p>
    <w:p>
      <w:pPr>
        <w:autoSpaceDE w:val="0"/>
        <w:autoSpaceDN w:val="0"/>
        <w:spacing w:line="560" w:lineRule="exact"/>
        <w:ind w:firstLine="640" w:firstLineChars="200"/>
        <w:rPr>
          <w:rFonts w:ascii="仿宋_GB2312" w:hAnsi="仿宋" w:eastAsia="仿宋_GB2312" w:cs="宋体"/>
          <w:color w:val="484848"/>
          <w:sz w:val="32"/>
          <w:szCs w:val="32"/>
        </w:rPr>
      </w:pPr>
      <w:r>
        <w:rPr>
          <w:rFonts w:hint="eastAsia" w:ascii="仿宋_GB2312" w:hAnsi="仿宋" w:eastAsia="仿宋_GB2312" w:cs="宋体"/>
          <w:color w:val="484848"/>
          <w:sz w:val="32"/>
          <w:szCs w:val="32"/>
        </w:rPr>
        <w:t>项目资金申报及批复情况。根据《盐边县工业区开发建设管理委员会关于解决美利林35kv临时供电工程资金的请示》（盐边工管委〔2022〕16号文件）对项目资金进行申报。2022年9月盐边县财政局作出批复下达资金文件（盐财资建〔2022〕170号），符合资金管理办法等相关规定。</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（二）资金计划、到位及使用情况。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1.资金计划。根据盐边县财政局《关于下达美利林35kv临时供电工程资金的通知》（盐财资建〔2022〕170号）下达项目资金98.6289万元。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2.资金到位。2022年9月收到盐边县财政局下达项目资金98.6289万元。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3.资金使用。于2022年9月30日支付攀枝花网源电力有限公司盐边分公司工程款98.6289万元。</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（三）项目财务管理情况。</w:t>
      </w:r>
    </w:p>
    <w:p>
      <w:pPr>
        <w:autoSpaceDE w:val="0"/>
        <w:autoSpaceDN w:val="0"/>
        <w:spacing w:line="560" w:lineRule="exact"/>
        <w:ind w:firstLine="640" w:firstLineChars="200"/>
        <w:rPr>
          <w:rFonts w:ascii="仿宋_GB2312" w:hAnsi="仿宋" w:eastAsia="仿宋_GB2312" w:cs="宋体"/>
          <w:color w:val="484848"/>
          <w:sz w:val="32"/>
          <w:szCs w:val="32"/>
        </w:rPr>
      </w:pPr>
      <w:r>
        <w:rPr>
          <w:rFonts w:hint="eastAsia" w:ascii="仿宋_GB2312" w:hAnsi="仿宋" w:eastAsia="仿宋_GB2312" w:cs="宋体"/>
          <w:color w:val="484848"/>
          <w:sz w:val="32"/>
          <w:szCs w:val="32"/>
        </w:rPr>
        <w:t>严格执行财务管理制度，项目的各项开支，符合国家、省、市相关法律、法规、政策、财经制度，并本着“厉行节约，勤俭办事”控制支。项目经费实行专款专用，办理经费支出手续完备，报销凭据真实合规，报销单上有经办人、证明人签字。财务处理及时，会计核算规范，提供真实、准确、完整的会计信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结合项目组织实施管理办法，重点围绕以下内容进行分析评价，并对自评中发现的问题分析说明。</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（一）项目组织架构及实施流程。</w:t>
      </w:r>
    </w:p>
    <w:p>
      <w:pPr>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cs="宋体"/>
          <w:color w:val="484848"/>
          <w:sz w:val="32"/>
          <w:szCs w:val="32"/>
        </w:rPr>
        <w:t>为保证工程项目顺利实施，经单位研究，决定成立该项目建设推进领导小组，并抽调专人组建强有力的协调推进”专班”进行“零距离”服务。</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（二）项目管理情况。</w:t>
      </w:r>
    </w:p>
    <w:p>
      <w:pPr>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cs="宋体"/>
          <w:color w:val="484848"/>
          <w:sz w:val="32"/>
          <w:szCs w:val="32"/>
        </w:rPr>
        <w:t>领导小组办公室负责掌握项目建设进度，适时收集、整理项目推进中存在的问题，提出解决问题的建议，及时提交领导小组研究解决；负责贯彻、落实领导小组会议精神，确保项目建设按期推进；负责相关信息报送、档案管理及综合协调服务工作。</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（三）项目监管情况</w:t>
      </w:r>
    </w:p>
    <w:p>
      <w:pPr>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cs="宋体"/>
          <w:color w:val="484848"/>
          <w:sz w:val="32"/>
          <w:szCs w:val="32"/>
        </w:rPr>
        <w:t>领导小组办公室设在钒钛园区管委会，确保项目按计划推进。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r>
        <w:rPr>
          <w:rFonts w:hint="eastAsia" w:ascii="黑体" w:hAnsi="黑体" w:eastAsia="黑体"/>
          <w:sz w:val="32"/>
          <w:szCs w:val="32"/>
        </w:rPr>
        <w:tab/>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（一）项目完成情况。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项目于2021年 3月开工，于2021年5 月竣工。项目工程结算费用103.0957万元，审定金额为98.6289万元，支付98.6289万元，完成率100%。</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（二）项目效益情况。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架设用电线路是对园区企业的重大支持，可提升园区形象、增加园区招商竞争力。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良好</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（二）存在的问题。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（三）相关建议。</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无</w:t>
      </w:r>
    </w:p>
    <w:p>
      <w:pPr>
        <w:spacing w:line="560" w:lineRule="exact"/>
        <w:ind w:firstLine="1600" w:firstLineChars="500"/>
        <w:outlineLvl w:val="0"/>
        <w:rPr>
          <w:rFonts w:ascii="仿宋_GB2312" w:hAnsi="黑体" w:eastAsia="仿宋_GB2312"/>
          <w:sz w:val="32"/>
          <w:szCs w:val="32"/>
        </w:rPr>
      </w:pPr>
      <w:bookmarkStart w:id="55" w:name="_Toc15396618"/>
    </w:p>
    <w:p>
      <w:pPr>
        <w:spacing w:line="560" w:lineRule="exact"/>
        <w:ind w:firstLine="1600" w:firstLineChars="500"/>
        <w:outlineLvl w:val="0"/>
        <w:rPr>
          <w:rFonts w:ascii="黑体" w:hAnsi="黑体" w:eastAsia="黑体"/>
          <w:sz w:val="32"/>
          <w:szCs w:val="32"/>
        </w:rPr>
      </w:pPr>
    </w:p>
    <w:p>
      <w:pPr>
        <w:spacing w:line="560" w:lineRule="exact"/>
        <w:ind w:firstLine="1600" w:firstLineChars="500"/>
        <w:outlineLvl w:val="0"/>
        <w:rPr>
          <w:rFonts w:ascii="黑体" w:hAnsi="黑体" w:eastAsia="黑体"/>
          <w:sz w:val="32"/>
          <w:szCs w:val="32"/>
        </w:rPr>
      </w:pPr>
    </w:p>
    <w:p>
      <w:pPr>
        <w:spacing w:line="560" w:lineRule="exact"/>
        <w:ind w:firstLine="1600" w:firstLineChars="500"/>
        <w:outlineLvl w:val="0"/>
        <w:rPr>
          <w:rFonts w:ascii="黑体" w:hAnsi="黑体" w:eastAsia="黑体"/>
          <w:sz w:val="32"/>
          <w:szCs w:val="32"/>
        </w:rPr>
      </w:pPr>
    </w:p>
    <w:p>
      <w:pPr>
        <w:spacing w:line="560" w:lineRule="exact"/>
        <w:ind w:firstLine="1600" w:firstLineChars="500"/>
        <w:outlineLvl w:val="0"/>
        <w:rPr>
          <w:rFonts w:ascii="黑体" w:hAnsi="黑体" w:eastAsia="黑体"/>
          <w:sz w:val="32"/>
          <w:szCs w:val="32"/>
        </w:rPr>
      </w:pPr>
    </w:p>
    <w:p>
      <w:pPr>
        <w:spacing w:line="560" w:lineRule="exact"/>
        <w:ind w:firstLine="1600" w:firstLineChars="500"/>
        <w:outlineLvl w:val="0"/>
        <w:rPr>
          <w:rFonts w:ascii="黑体" w:hAnsi="黑体" w:eastAsia="黑体"/>
          <w:sz w:val="32"/>
          <w:szCs w:val="32"/>
        </w:rPr>
      </w:pPr>
    </w:p>
    <w:p>
      <w:pPr>
        <w:spacing w:line="560" w:lineRule="exact"/>
        <w:ind w:firstLine="1800" w:firstLineChars="500"/>
        <w:outlineLvl w:val="0"/>
        <w:rPr>
          <w:rFonts w:ascii="方正小标宋简体" w:hAnsi="黑体" w:eastAsia="方正小标宋简体"/>
          <w:sz w:val="36"/>
          <w:szCs w:val="36"/>
        </w:rPr>
      </w:pPr>
      <w:r>
        <w:rPr>
          <w:rFonts w:hint="eastAsia" w:ascii="方正小标宋简体" w:hAnsi="黑体" w:eastAsia="方正小标宋简体"/>
          <w:sz w:val="36"/>
          <w:szCs w:val="36"/>
        </w:rPr>
        <w:t>第五部分 附表</w:t>
      </w:r>
      <w:bookmarkEnd w:id="54"/>
      <w:bookmarkEnd w:id="55"/>
      <w:bookmarkStart w:id="56" w:name="_Toc15396619"/>
    </w:p>
    <w:tbl>
      <w:tblPr>
        <w:tblStyle w:val="20"/>
        <w:tblpPr w:leftFromText="180" w:rightFromText="180" w:horzAnchor="margin" w:tblpY="1094"/>
        <w:tblW w:w="8420" w:type="dxa"/>
        <w:tblInd w:w="0" w:type="dxa"/>
        <w:tblLayout w:type="fixed"/>
        <w:tblCellMar>
          <w:top w:w="0" w:type="dxa"/>
          <w:left w:w="57" w:type="dxa"/>
          <w:bottom w:w="0" w:type="dxa"/>
          <w:right w:w="57" w:type="dxa"/>
        </w:tblCellMar>
      </w:tblPr>
      <w:tblGrid>
        <w:gridCol w:w="8420"/>
      </w:tblGrid>
      <w:tr>
        <w:tblPrEx>
          <w:tblLayout w:type="fixed"/>
          <w:tblCellMar>
            <w:top w:w="0" w:type="dxa"/>
            <w:left w:w="57" w:type="dxa"/>
            <w:bottom w:w="0" w:type="dxa"/>
            <w:right w:w="57" w:type="dxa"/>
          </w:tblCellMar>
        </w:tblPrEx>
        <w:trPr>
          <w:trHeight w:val="390" w:hRule="atLeast"/>
        </w:trPr>
        <w:tc>
          <w:tcPr>
            <w:tcW w:w="8420" w:type="dxa"/>
            <w:tcBorders>
              <w:top w:val="nil"/>
              <w:left w:val="nil"/>
              <w:bottom w:val="nil"/>
              <w:right w:val="nil"/>
            </w:tcBorders>
            <w:shd w:val="clear" w:color="auto" w:fill="auto"/>
            <w:noWrap/>
            <w:vAlign w:val="bottom"/>
          </w:tcPr>
          <w:p>
            <w:pPr>
              <w:widowControl/>
              <w:spacing w:line="560" w:lineRule="exact"/>
              <w:jc w:val="left"/>
              <w:rPr>
                <w:rFonts w:ascii="仿宋_GB2312" w:hAnsi="仿宋" w:eastAsia="仿宋_GB2312"/>
                <w:sz w:val="32"/>
                <w:szCs w:val="32"/>
              </w:rPr>
            </w:pPr>
            <w:r>
              <w:rPr>
                <w:rFonts w:hint="eastAsia" w:ascii="仿宋_GB2312" w:hAnsi="仿宋" w:eastAsia="仿宋_GB2312"/>
                <w:b/>
                <w:sz w:val="32"/>
                <w:szCs w:val="32"/>
              </w:rPr>
              <w:t>一、收</w:t>
            </w:r>
            <w:r>
              <w:rPr>
                <w:rFonts w:hint="eastAsia" w:ascii="仿宋_GB2312" w:hAnsi="仿宋" w:eastAsia="仿宋_GB2312"/>
                <w:sz w:val="32"/>
                <w:szCs w:val="32"/>
              </w:rPr>
              <w:t>入支出决算总表</w:t>
            </w:r>
            <w:bookmarkEnd w:id="56"/>
          </w:p>
          <w:p>
            <w:pPr>
              <w:pStyle w:val="2"/>
              <w:spacing w:beforeLines="0" w:line="560" w:lineRule="exact"/>
              <w:rPr>
                <w:sz w:val="32"/>
                <w:szCs w:val="32"/>
              </w:rPr>
            </w:pPr>
            <w:r>
              <w:rPr>
                <w:rFonts w:hint="eastAsia"/>
                <w:sz w:val="32"/>
                <w:szCs w:val="32"/>
              </w:rPr>
              <w:drawing>
                <wp:anchor distT="0" distB="0" distL="114300" distR="114300" simplePos="0" relativeHeight="251658240" behindDoc="1" locked="0" layoutInCell="1" allowOverlap="1">
                  <wp:simplePos x="0" y="0"/>
                  <wp:positionH relativeFrom="column">
                    <wp:posOffset>102870</wp:posOffset>
                  </wp:positionH>
                  <wp:positionV relativeFrom="paragraph">
                    <wp:posOffset>93345</wp:posOffset>
                  </wp:positionV>
                  <wp:extent cx="5022215" cy="6358890"/>
                  <wp:effectExtent l="19050" t="0" r="6985"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11"/>
                          <a:srcRect/>
                          <a:stretch>
                            <a:fillRect/>
                          </a:stretch>
                        </pic:blipFill>
                        <pic:spPr>
                          <a:xfrm>
                            <a:off x="0" y="0"/>
                            <a:ext cx="5022215" cy="6358890"/>
                          </a:xfrm>
                          <a:prstGeom prst="rect">
                            <a:avLst/>
                          </a:prstGeom>
                          <a:noFill/>
                          <a:ln w="9525">
                            <a:noFill/>
                            <a:miter lim="800000"/>
                            <a:headEnd/>
                            <a:tailEnd/>
                          </a:ln>
                        </pic:spPr>
                      </pic:pic>
                    </a:graphicData>
                  </a:graphic>
                </wp:anchor>
              </w:drawing>
            </w:r>
          </w:p>
        </w:tc>
      </w:tr>
    </w:tbl>
    <w:p>
      <w:pPr>
        <w:pStyle w:val="4"/>
        <w:rPr>
          <w:rFonts w:ascii="黑体" w:hAnsi="黑体" w:eastAsia="黑体"/>
          <w:b w:val="0"/>
        </w:rPr>
      </w:pPr>
      <w:bookmarkStart w:id="57" w:name="_Toc15396620"/>
      <w:r>
        <w:rPr>
          <w:rFonts w:hint="eastAsia" w:ascii="黑体" w:hAnsi="黑体" w:eastAsia="黑体"/>
          <w:b w:val="0"/>
        </w:rPr>
        <w:t>二、收入决算表</w:t>
      </w:r>
      <w:bookmarkEnd w:id="57"/>
    </w:p>
    <w:p>
      <w:r>
        <w:rPr>
          <w:rFonts w:hint="eastAsia"/>
        </w:rPr>
        <w:drawing>
          <wp:inline distT="0" distB="0" distL="0" distR="0">
            <wp:extent cx="6215380" cy="7778115"/>
            <wp:effectExtent l="1905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12"/>
                    <a:srcRect/>
                    <a:stretch>
                      <a:fillRect/>
                    </a:stretch>
                  </pic:blipFill>
                  <pic:spPr>
                    <a:xfrm>
                      <a:off x="0" y="0"/>
                      <a:ext cx="6225766" cy="7791193"/>
                    </a:xfrm>
                    <a:prstGeom prst="rect">
                      <a:avLst/>
                    </a:prstGeom>
                    <a:noFill/>
                    <a:ln w="9525">
                      <a:noFill/>
                      <a:miter lim="800000"/>
                      <a:headEnd/>
                      <a:tailEnd/>
                    </a:ln>
                  </pic:spPr>
                </pic:pic>
              </a:graphicData>
            </a:graphic>
          </wp:inline>
        </w:drawing>
      </w:r>
    </w:p>
    <w:tbl>
      <w:tblPr>
        <w:tblStyle w:val="20"/>
        <w:tblW w:w="12704" w:type="dxa"/>
        <w:tblInd w:w="0" w:type="dxa"/>
        <w:tblLayout w:type="fixed"/>
        <w:tblCellMar>
          <w:top w:w="0" w:type="dxa"/>
          <w:left w:w="108" w:type="dxa"/>
          <w:bottom w:w="0" w:type="dxa"/>
          <w:right w:w="108" w:type="dxa"/>
        </w:tblCellMar>
      </w:tblPr>
      <w:tblGrid>
        <w:gridCol w:w="4072"/>
        <w:gridCol w:w="2406"/>
        <w:gridCol w:w="1852"/>
        <w:gridCol w:w="226"/>
        <w:gridCol w:w="126"/>
        <w:gridCol w:w="223"/>
        <w:gridCol w:w="223"/>
        <w:gridCol w:w="341"/>
        <w:gridCol w:w="222"/>
        <w:gridCol w:w="222"/>
        <w:gridCol w:w="2245"/>
        <w:gridCol w:w="546"/>
      </w:tblGrid>
      <w:tr>
        <w:tblPrEx>
          <w:tblLayout w:type="fixed"/>
          <w:tblCellMar>
            <w:top w:w="0" w:type="dxa"/>
            <w:left w:w="108" w:type="dxa"/>
            <w:bottom w:w="0" w:type="dxa"/>
            <w:right w:w="108" w:type="dxa"/>
          </w:tblCellMar>
        </w:tblPrEx>
        <w:trPr>
          <w:gridAfter w:val="1"/>
          <w:wAfter w:w="546" w:type="dxa"/>
          <w:trHeight w:val="390" w:hRule="atLeast"/>
        </w:trPr>
        <w:tc>
          <w:tcPr>
            <w:tcW w:w="12158" w:type="dxa"/>
            <w:gridSpan w:val="11"/>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p>
        </w:tc>
      </w:tr>
      <w:tr>
        <w:tblPrEx>
          <w:tblLayout w:type="fixed"/>
          <w:tblCellMar>
            <w:top w:w="0" w:type="dxa"/>
            <w:left w:w="108" w:type="dxa"/>
            <w:bottom w:w="0" w:type="dxa"/>
            <w:right w:w="108" w:type="dxa"/>
          </w:tblCellMar>
        </w:tblPrEx>
        <w:trPr>
          <w:trHeight w:val="390" w:hRule="atLeast"/>
        </w:trPr>
        <w:tc>
          <w:tcPr>
            <w:tcW w:w="12704" w:type="dxa"/>
            <w:gridSpan w:val="12"/>
            <w:tcBorders>
              <w:top w:val="nil"/>
              <w:left w:val="nil"/>
              <w:bottom w:val="nil"/>
              <w:right w:val="nil"/>
            </w:tcBorders>
            <w:shd w:val="clear" w:color="auto" w:fill="auto"/>
            <w:noWrap/>
            <w:vAlign w:val="bottom"/>
          </w:tcPr>
          <w:p>
            <w:pPr>
              <w:widowControl/>
              <w:jc w:val="left"/>
              <w:rPr>
                <w:rFonts w:ascii="黑体" w:hAnsi="黑体" w:eastAsia="黑体"/>
                <w:sz w:val="32"/>
                <w:szCs w:val="32"/>
              </w:rPr>
            </w:pPr>
            <w:bookmarkStart w:id="58" w:name="_Toc15396621"/>
            <w:r>
              <w:rPr>
                <w:rFonts w:hint="eastAsia" w:ascii="黑体" w:hAnsi="黑体" w:eastAsia="黑体"/>
                <w:sz w:val="32"/>
                <w:szCs w:val="32"/>
              </w:rPr>
              <w:t>三、支出决算表</w:t>
            </w:r>
            <w:bookmarkEnd w:id="58"/>
          </w:p>
          <w:p>
            <w:pPr>
              <w:pStyle w:val="2"/>
              <w:spacing w:before="93"/>
            </w:pPr>
            <w:r>
              <w:drawing>
                <wp:inline distT="0" distB="0" distL="0" distR="0">
                  <wp:extent cx="5467350" cy="7915910"/>
                  <wp:effectExtent l="19050" t="0" r="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13"/>
                          <a:srcRect/>
                          <a:stretch>
                            <a:fillRect/>
                          </a:stretch>
                        </pic:blipFill>
                        <pic:spPr>
                          <a:xfrm>
                            <a:off x="0" y="0"/>
                            <a:ext cx="5469278" cy="7919056"/>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55" w:hRule="atLeast"/>
        </w:trPr>
        <w:tc>
          <w:tcPr>
            <w:tcW w:w="407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40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5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52"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791"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gridAfter w:val="8"/>
          <w:wAfter w:w="4148" w:type="dxa"/>
          <w:trHeight w:val="390" w:hRule="atLeast"/>
        </w:trPr>
        <w:tc>
          <w:tcPr>
            <w:tcW w:w="8556" w:type="dxa"/>
            <w:gridSpan w:val="4"/>
            <w:tcBorders>
              <w:top w:val="nil"/>
              <w:left w:val="nil"/>
              <w:bottom w:val="nil"/>
              <w:right w:val="nil"/>
            </w:tcBorders>
            <w:shd w:val="clear" w:color="auto" w:fill="auto"/>
            <w:noWrap/>
            <w:vAlign w:val="bottom"/>
          </w:tcPr>
          <w:p>
            <w:pPr>
              <w:widowControl/>
              <w:jc w:val="left"/>
              <w:rPr>
                <w:rFonts w:ascii="黑体" w:hAnsi="黑体" w:eastAsia="黑体"/>
                <w:sz w:val="32"/>
                <w:szCs w:val="32"/>
              </w:rPr>
            </w:pPr>
            <w:bookmarkStart w:id="59" w:name="_Toc15396622"/>
            <w:r>
              <w:rPr>
                <w:rFonts w:hint="eastAsia" w:ascii="黑体" w:hAnsi="黑体" w:eastAsia="黑体"/>
                <w:sz w:val="32"/>
                <w:szCs w:val="32"/>
              </w:rPr>
              <w:t>四、财政拨款收入支出决算总表</w:t>
            </w:r>
            <w:bookmarkEnd w:id="59"/>
          </w:p>
          <w:p>
            <w:pPr>
              <w:pStyle w:val="2"/>
              <w:spacing w:before="93"/>
            </w:pPr>
            <w:r>
              <w:drawing>
                <wp:inline distT="0" distB="0" distL="0" distR="0">
                  <wp:extent cx="5267325" cy="7807960"/>
                  <wp:effectExtent l="19050" t="0" r="9029"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noChangeArrowheads="1"/>
                          </pic:cNvPicPr>
                        </pic:nvPicPr>
                        <pic:blipFill>
                          <a:blip r:embed="rId14"/>
                          <a:srcRect/>
                          <a:stretch>
                            <a:fillRect/>
                          </a:stretch>
                        </pic:blipFill>
                        <pic:spPr>
                          <a:xfrm>
                            <a:off x="0" y="0"/>
                            <a:ext cx="5267821" cy="7808026"/>
                          </a:xfrm>
                          <a:prstGeom prst="rect">
                            <a:avLst/>
                          </a:prstGeom>
                          <a:noFill/>
                          <a:ln w="9525">
                            <a:noFill/>
                            <a:miter lim="800000"/>
                            <a:headEnd/>
                            <a:tailEnd/>
                          </a:ln>
                        </pic:spPr>
                      </pic:pic>
                    </a:graphicData>
                  </a:graphic>
                </wp:inline>
              </w:drawing>
            </w:r>
          </w:p>
        </w:tc>
      </w:tr>
    </w:tbl>
    <w:p/>
    <w:tbl>
      <w:tblPr>
        <w:tblStyle w:val="20"/>
        <w:tblW w:w="8429" w:type="dxa"/>
        <w:tblInd w:w="93" w:type="dxa"/>
        <w:tblLayout w:type="fixed"/>
        <w:tblCellMar>
          <w:top w:w="0" w:type="dxa"/>
          <w:left w:w="108" w:type="dxa"/>
          <w:bottom w:w="0" w:type="dxa"/>
          <w:right w:w="108" w:type="dxa"/>
        </w:tblCellMar>
      </w:tblPr>
      <w:tblGrid>
        <w:gridCol w:w="8429"/>
      </w:tblGrid>
      <w:tr>
        <w:tblPrEx>
          <w:tblLayout w:type="fixed"/>
          <w:tblCellMar>
            <w:top w:w="0" w:type="dxa"/>
            <w:left w:w="108" w:type="dxa"/>
            <w:bottom w:w="0" w:type="dxa"/>
            <w:right w:w="108" w:type="dxa"/>
          </w:tblCellMar>
        </w:tblPrEx>
        <w:trPr>
          <w:trHeight w:val="540" w:hRule="atLeast"/>
        </w:trPr>
        <w:tc>
          <w:tcPr>
            <w:tcW w:w="8429" w:type="dxa"/>
            <w:tcBorders>
              <w:top w:val="nil"/>
              <w:left w:val="nil"/>
              <w:bottom w:val="nil"/>
              <w:right w:val="nil"/>
            </w:tcBorders>
            <w:shd w:val="clear" w:color="auto" w:fill="auto"/>
            <w:noWrap/>
            <w:vAlign w:val="bottom"/>
          </w:tcPr>
          <w:p>
            <w:pPr>
              <w:widowControl/>
              <w:jc w:val="left"/>
              <w:rPr>
                <w:rFonts w:ascii="黑体" w:hAnsi="黑体" w:eastAsia="黑体"/>
                <w:sz w:val="32"/>
                <w:szCs w:val="32"/>
              </w:rPr>
            </w:pPr>
            <w:bookmarkStart w:id="60" w:name="_Toc15396623"/>
            <w:r>
              <w:rPr>
                <w:rFonts w:hint="eastAsia" w:ascii="黑体" w:hAnsi="黑体" w:eastAsia="黑体"/>
                <w:sz w:val="32"/>
                <w:szCs w:val="32"/>
              </w:rPr>
              <w:t>五、财政拨款支出决算明细表</w:t>
            </w:r>
            <w:bookmarkEnd w:id="60"/>
            <w:bookmarkStart w:id="61" w:name="_Toc15396624"/>
          </w:p>
          <w:p>
            <w:pPr>
              <w:pStyle w:val="2"/>
              <w:spacing w:before="93"/>
            </w:pPr>
            <w:r>
              <w:drawing>
                <wp:inline distT="0" distB="0" distL="0" distR="0">
                  <wp:extent cx="5253355" cy="8211185"/>
                  <wp:effectExtent l="19050" t="0" r="4206"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5"/>
                          <a:srcRect/>
                          <a:stretch>
                            <a:fillRect/>
                          </a:stretch>
                        </pic:blipFill>
                        <pic:spPr>
                          <a:xfrm>
                            <a:off x="0" y="0"/>
                            <a:ext cx="5257188" cy="8217405"/>
                          </a:xfrm>
                          <a:prstGeom prst="rect">
                            <a:avLst/>
                          </a:prstGeom>
                          <a:noFill/>
                          <a:ln w="9525">
                            <a:noFill/>
                            <a:miter lim="800000"/>
                            <a:headEnd/>
                            <a:tailEnd/>
                          </a:ln>
                        </pic:spPr>
                      </pic:pic>
                    </a:graphicData>
                  </a:graphic>
                </wp:inline>
              </w:drawing>
            </w:r>
          </w:p>
        </w:tc>
      </w:tr>
    </w:tbl>
    <w:p>
      <w:pPr>
        <w:pStyle w:val="4"/>
        <w:rPr>
          <w:rFonts w:ascii="黑体" w:hAnsi="黑体" w:eastAsia="黑体"/>
          <w:b w:val="0"/>
        </w:rPr>
      </w:pPr>
    </w:p>
    <w:p>
      <w:pPr>
        <w:pStyle w:val="4"/>
        <w:rPr>
          <w:rFonts w:ascii="黑体" w:hAnsi="黑体" w:eastAsia="黑体"/>
          <w:b w:val="0"/>
        </w:rPr>
      </w:pPr>
      <w:r>
        <w:rPr>
          <w:rFonts w:hint="eastAsia" w:ascii="黑体" w:hAnsi="黑体" w:eastAsia="黑体"/>
          <w:b w:val="0"/>
        </w:rPr>
        <w:t>六、一般公共预算财政拨款支出决算表</w:t>
      </w:r>
      <w:bookmarkEnd w:id="61"/>
    </w:p>
    <w:p>
      <w:r>
        <w:drawing>
          <wp:inline distT="0" distB="0" distL="0" distR="0">
            <wp:extent cx="5274310" cy="5149850"/>
            <wp:effectExtent l="19050" t="0" r="254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noChangeArrowheads="1"/>
                    </pic:cNvPicPr>
                  </pic:nvPicPr>
                  <pic:blipFill>
                    <a:blip r:embed="rId16"/>
                    <a:srcRect/>
                    <a:stretch>
                      <a:fillRect/>
                    </a:stretch>
                  </pic:blipFill>
                  <pic:spPr>
                    <a:xfrm>
                      <a:off x="0" y="0"/>
                      <a:ext cx="5274310" cy="5150483"/>
                    </a:xfrm>
                    <a:prstGeom prst="rect">
                      <a:avLst/>
                    </a:prstGeom>
                    <a:noFill/>
                    <a:ln w="9525">
                      <a:noFill/>
                      <a:miter lim="800000"/>
                      <a:headEnd/>
                      <a:tailEnd/>
                    </a:ln>
                  </pic:spPr>
                </pic:pic>
              </a:graphicData>
            </a:graphic>
          </wp:inline>
        </w:drawing>
      </w:r>
    </w:p>
    <w:p/>
    <w:p>
      <w:pPr>
        <w:pStyle w:val="4"/>
        <w:rPr>
          <w:rFonts w:ascii="黑体" w:hAnsi="黑体" w:eastAsia="黑体"/>
          <w:b w:val="0"/>
        </w:rPr>
      </w:pPr>
      <w:bookmarkStart w:id="62" w:name="_Toc15396625"/>
      <w:r>
        <w:rPr>
          <w:rFonts w:hint="eastAsia" w:ascii="黑体" w:hAnsi="黑体" w:eastAsia="黑体"/>
          <w:b w:val="0"/>
        </w:rPr>
        <w:t>七、一般公共预算财政拨款支出决算明细表</w:t>
      </w:r>
      <w:bookmarkEnd w:id="62"/>
    </w:p>
    <w:p>
      <w:pPr>
        <w:pStyle w:val="4"/>
        <w:rPr>
          <w:rStyle w:val="31"/>
          <w:rFonts w:ascii="仿宋" w:hAnsi="仿宋" w:eastAsia="仿宋"/>
          <w:b w:val="0"/>
          <w:bCs w:val="0"/>
        </w:rPr>
      </w:pPr>
      <w:bookmarkStart w:id="63" w:name="_Toc15396626"/>
      <w:r>
        <w:rPr>
          <w:rFonts w:hint="eastAsia" w:ascii="仿宋" w:hAnsi="仿宋" w:eastAsia="仿宋"/>
          <w:b w:val="0"/>
          <w:bCs w:val="0"/>
        </w:rPr>
        <w:drawing>
          <wp:inline distT="0" distB="0" distL="0" distR="0">
            <wp:extent cx="5603875" cy="3693160"/>
            <wp:effectExtent l="19050" t="0" r="0" b="0"/>
            <wp:docPr id="1" name="图片 0" descr="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77.png"/>
                    <pic:cNvPicPr>
                      <a:picLocks noChangeAspect="1"/>
                    </pic:cNvPicPr>
                  </pic:nvPicPr>
                  <pic:blipFill>
                    <a:blip r:embed="rId17"/>
                    <a:stretch>
                      <a:fillRect/>
                    </a:stretch>
                  </pic:blipFill>
                  <pic:spPr>
                    <a:xfrm>
                      <a:off x="0" y="0"/>
                      <a:ext cx="5610677" cy="3697682"/>
                    </a:xfrm>
                    <a:prstGeom prst="rect">
                      <a:avLst/>
                    </a:prstGeom>
                  </pic:spPr>
                </pic:pic>
              </a:graphicData>
            </a:graphic>
          </wp:inline>
        </w:drawing>
      </w:r>
    </w:p>
    <w:p>
      <w:pPr>
        <w:pStyle w:val="4"/>
        <w:rPr>
          <w:rStyle w:val="31"/>
          <w:rFonts w:ascii="仿宋" w:hAnsi="仿宋" w:eastAsia="仿宋"/>
          <w:b w:val="0"/>
          <w:bCs w:val="0"/>
        </w:rPr>
      </w:pPr>
      <w:r>
        <w:rPr>
          <w:rFonts w:hint="eastAsia" w:ascii="仿宋" w:hAnsi="仿宋" w:eastAsia="仿宋"/>
          <w:b w:val="0"/>
          <w:bCs w:val="0"/>
        </w:rPr>
        <w:drawing>
          <wp:inline distT="0" distB="0" distL="0" distR="0">
            <wp:extent cx="5603875" cy="4215130"/>
            <wp:effectExtent l="19050" t="0" r="0" b="0"/>
            <wp:docPr id="4" name="图片 3" descr="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77.1.png"/>
                    <pic:cNvPicPr>
                      <a:picLocks noChangeAspect="1"/>
                    </pic:cNvPicPr>
                  </pic:nvPicPr>
                  <pic:blipFill>
                    <a:blip r:embed="rId18"/>
                    <a:stretch>
                      <a:fillRect/>
                    </a:stretch>
                  </pic:blipFill>
                  <pic:spPr>
                    <a:xfrm>
                      <a:off x="0" y="0"/>
                      <a:ext cx="5603606" cy="4215507"/>
                    </a:xfrm>
                    <a:prstGeom prst="rect">
                      <a:avLst/>
                    </a:prstGeom>
                  </pic:spPr>
                </pic:pic>
              </a:graphicData>
            </a:graphic>
          </wp:inline>
        </w:drawing>
      </w:r>
    </w:p>
    <w:p>
      <w:pPr>
        <w:pStyle w:val="4"/>
        <w:rPr>
          <w:rStyle w:val="31"/>
          <w:rFonts w:ascii="黑体" w:hAnsi="黑体" w:eastAsia="黑体"/>
          <w:b w:val="0"/>
          <w:bCs w:val="0"/>
        </w:rPr>
      </w:pPr>
      <w:r>
        <w:rPr>
          <w:rStyle w:val="31"/>
          <w:rFonts w:hint="eastAsia" w:ascii="黑体" w:hAnsi="黑体" w:eastAsia="黑体"/>
          <w:b w:val="0"/>
          <w:bCs w:val="0"/>
        </w:rPr>
        <w:t>八、</w:t>
      </w:r>
      <w:r>
        <w:rPr>
          <w:rFonts w:hint="eastAsia" w:ascii="黑体" w:hAnsi="黑体" w:eastAsia="黑体"/>
          <w:b w:val="0"/>
        </w:rPr>
        <w:t>一</w:t>
      </w:r>
      <w:r>
        <w:rPr>
          <w:rStyle w:val="31"/>
          <w:rFonts w:hint="eastAsia" w:ascii="黑体" w:hAnsi="黑体" w:eastAsia="黑体"/>
          <w:b w:val="0"/>
          <w:bCs w:val="0"/>
        </w:rPr>
        <w:t>般公共预算财政拨款基本支出决算表</w:t>
      </w:r>
      <w:bookmarkEnd w:id="63"/>
    </w:p>
    <w:p>
      <w:r>
        <w:drawing>
          <wp:inline distT="0" distB="0" distL="0" distR="0">
            <wp:extent cx="5775960" cy="5219065"/>
            <wp:effectExtent l="19050" t="0" r="0"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noChangeArrowheads="1"/>
                    </pic:cNvPicPr>
                  </pic:nvPicPr>
                  <pic:blipFill>
                    <a:blip r:embed="rId19"/>
                    <a:srcRect/>
                    <a:stretch>
                      <a:fillRect/>
                    </a:stretch>
                  </pic:blipFill>
                  <pic:spPr>
                    <a:xfrm>
                      <a:off x="0" y="0"/>
                      <a:ext cx="5778267" cy="5221156"/>
                    </a:xfrm>
                    <a:prstGeom prst="rect">
                      <a:avLst/>
                    </a:prstGeom>
                    <a:noFill/>
                    <a:ln w="9525">
                      <a:noFill/>
                      <a:miter lim="800000"/>
                      <a:headEnd/>
                      <a:tailEnd/>
                    </a:ln>
                  </pic:spPr>
                </pic:pic>
              </a:graphicData>
            </a:graphic>
          </wp:inline>
        </w:drawing>
      </w:r>
    </w:p>
    <w:p>
      <w:pPr>
        <w:pStyle w:val="4"/>
        <w:rPr>
          <w:rFonts w:ascii="黑体" w:hAnsi="黑体" w:eastAsia="黑体"/>
          <w:b w:val="0"/>
        </w:rPr>
      </w:pPr>
      <w:bookmarkStart w:id="64" w:name="_Toc15396627"/>
      <w:r>
        <w:rPr>
          <w:rFonts w:hint="eastAsia" w:ascii="黑体" w:hAnsi="黑体" w:eastAsia="黑体"/>
          <w:b w:val="0"/>
        </w:rPr>
        <w:t>九、一般公共预算财政拨款项目支出决算表</w:t>
      </w:r>
      <w:bookmarkEnd w:id="64"/>
    </w:p>
    <w:p>
      <w:r>
        <w:drawing>
          <wp:inline distT="0" distB="0" distL="0" distR="0">
            <wp:extent cx="5847080" cy="6833235"/>
            <wp:effectExtent l="19050" t="0" r="990" b="0"/>
            <wp:docPr id="2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pic:cNvPicPr>
                      <a:picLocks noChangeAspect="1" noChangeArrowheads="1"/>
                    </pic:cNvPicPr>
                  </pic:nvPicPr>
                  <pic:blipFill>
                    <a:blip r:embed="rId20"/>
                    <a:srcRect/>
                    <a:stretch>
                      <a:fillRect/>
                    </a:stretch>
                  </pic:blipFill>
                  <pic:spPr>
                    <a:xfrm>
                      <a:off x="0" y="0"/>
                      <a:ext cx="5848128" cy="6834649"/>
                    </a:xfrm>
                    <a:prstGeom prst="rect">
                      <a:avLst/>
                    </a:prstGeom>
                    <a:noFill/>
                    <a:ln w="9525">
                      <a:noFill/>
                      <a:miter lim="800000"/>
                      <a:headEnd/>
                      <a:tailEnd/>
                    </a:ln>
                  </pic:spPr>
                </pic:pic>
              </a:graphicData>
            </a:graphic>
          </wp:inline>
        </w:drawing>
      </w:r>
    </w:p>
    <w:p>
      <w:pPr>
        <w:pStyle w:val="4"/>
        <w:rPr>
          <w:rFonts w:ascii="仿宋" w:hAnsi="仿宋" w:eastAsia="仿宋"/>
        </w:rPr>
      </w:pPr>
      <w:bookmarkStart w:id="65" w:name="_Toc15396628"/>
    </w:p>
    <w:p>
      <w:pPr>
        <w:pStyle w:val="4"/>
        <w:rPr>
          <w:rFonts w:ascii="黑体" w:hAnsi="黑体" w:eastAsia="黑体"/>
          <w:b w:val="0"/>
        </w:rPr>
      </w:pPr>
      <w:r>
        <w:rPr>
          <w:rFonts w:hint="eastAsia" w:ascii="黑体" w:hAnsi="黑体" w:eastAsia="黑体"/>
          <w:b w:val="0"/>
        </w:rPr>
        <w:t>十、</w:t>
      </w:r>
      <w:bookmarkEnd w:id="65"/>
      <w:r>
        <w:rPr>
          <w:rFonts w:hint="eastAsia" w:ascii="黑体" w:hAnsi="黑体" w:eastAsia="黑体"/>
          <w:b w:val="0"/>
        </w:rPr>
        <w:t>政府性基金预算财政拨款收入支出决算表</w:t>
      </w:r>
    </w:p>
    <w:p>
      <w:r>
        <w:drawing>
          <wp:inline distT="0" distB="0" distL="0" distR="0">
            <wp:extent cx="5490845" cy="6151245"/>
            <wp:effectExtent l="19050" t="0" r="0" b="0"/>
            <wp:docPr id="2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pic:cNvPicPr>
                      <a:picLocks noChangeAspect="1" noChangeArrowheads="1"/>
                    </pic:cNvPicPr>
                  </pic:nvPicPr>
                  <pic:blipFill>
                    <a:blip r:embed="rId21"/>
                    <a:srcRect/>
                    <a:stretch>
                      <a:fillRect/>
                    </a:stretch>
                  </pic:blipFill>
                  <pic:spPr>
                    <a:xfrm>
                      <a:off x="0" y="0"/>
                      <a:ext cx="5490586" cy="6150843"/>
                    </a:xfrm>
                    <a:prstGeom prst="rect">
                      <a:avLst/>
                    </a:prstGeom>
                    <a:noFill/>
                    <a:ln w="9525">
                      <a:noFill/>
                      <a:miter lim="800000"/>
                      <a:headEnd/>
                      <a:tailEnd/>
                    </a:ln>
                  </pic:spPr>
                </pic:pic>
              </a:graphicData>
            </a:graphic>
          </wp:inline>
        </w:drawing>
      </w:r>
    </w:p>
    <w:p>
      <w:pPr>
        <w:pStyle w:val="4"/>
        <w:rPr>
          <w:rFonts w:ascii="仿宋" w:hAnsi="仿宋" w:eastAsia="仿宋"/>
        </w:rPr>
      </w:pPr>
      <w:bookmarkStart w:id="66" w:name="_Toc15396629"/>
    </w:p>
    <w:p>
      <w:pPr>
        <w:pStyle w:val="4"/>
        <w:rPr>
          <w:rFonts w:ascii="黑体" w:hAnsi="黑体" w:eastAsia="黑体"/>
          <w:b w:val="0"/>
        </w:rPr>
      </w:pPr>
      <w:r>
        <w:rPr>
          <w:rFonts w:hint="eastAsia" w:ascii="黑体" w:hAnsi="黑体" w:eastAsia="黑体"/>
          <w:b w:val="0"/>
        </w:rPr>
        <w:t>十一、</w:t>
      </w:r>
      <w:bookmarkEnd w:id="66"/>
      <w:r>
        <w:rPr>
          <w:rFonts w:hint="eastAsia" w:ascii="黑体" w:hAnsi="黑体" w:eastAsia="黑体"/>
          <w:b w:val="0"/>
        </w:rPr>
        <w:t>国有资本经营预算财政拨款收入支出决算表</w:t>
      </w:r>
    </w:p>
    <w:p>
      <w:r>
        <w:drawing>
          <wp:inline distT="0" distB="0" distL="0" distR="0">
            <wp:extent cx="5271135" cy="6376670"/>
            <wp:effectExtent l="19050" t="0" r="5500" b="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22"/>
                    <a:srcRect/>
                    <a:stretch>
                      <a:fillRect/>
                    </a:stretch>
                  </pic:blipFill>
                  <pic:spPr>
                    <a:xfrm>
                      <a:off x="0" y="0"/>
                      <a:ext cx="5274310" cy="6380630"/>
                    </a:xfrm>
                    <a:prstGeom prst="rect">
                      <a:avLst/>
                    </a:prstGeom>
                    <a:noFill/>
                    <a:ln w="9525">
                      <a:noFill/>
                      <a:miter lim="800000"/>
                      <a:headEnd/>
                      <a:tailEnd/>
                    </a:ln>
                  </pic:spPr>
                </pic:pic>
              </a:graphicData>
            </a:graphic>
          </wp:inline>
        </w:drawing>
      </w:r>
    </w:p>
    <w:p>
      <w:pPr>
        <w:pStyle w:val="4"/>
        <w:rPr>
          <w:rFonts w:ascii="黑体" w:hAnsi="黑体" w:eastAsia="黑体"/>
          <w:b w:val="0"/>
        </w:rPr>
      </w:pPr>
      <w:bookmarkStart w:id="67" w:name="_Toc15396630"/>
    </w:p>
    <w:p>
      <w:pPr>
        <w:pStyle w:val="4"/>
        <w:rPr>
          <w:rFonts w:ascii="黑体" w:hAnsi="黑体" w:eastAsia="黑体"/>
          <w:b w:val="0"/>
        </w:rPr>
      </w:pPr>
      <w:r>
        <w:rPr>
          <w:rFonts w:hint="eastAsia" w:ascii="黑体" w:hAnsi="黑体" w:eastAsia="黑体"/>
          <w:b w:val="0"/>
        </w:rPr>
        <w:t>十二、</w:t>
      </w:r>
      <w:bookmarkEnd w:id="67"/>
      <w:r>
        <w:rPr>
          <w:rFonts w:hint="eastAsia" w:ascii="黑体" w:hAnsi="黑体" w:eastAsia="黑体"/>
          <w:b w:val="0"/>
        </w:rPr>
        <w:t>国有资本经营预算财政拨款支出决算表</w:t>
      </w:r>
    </w:p>
    <w:p>
      <w:r>
        <w:drawing>
          <wp:inline distT="0" distB="0" distL="0" distR="0">
            <wp:extent cx="5692775" cy="6127115"/>
            <wp:effectExtent l="19050" t="0" r="2970" b="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23"/>
                    <a:srcRect/>
                    <a:stretch>
                      <a:fillRect/>
                    </a:stretch>
                  </pic:blipFill>
                  <pic:spPr>
                    <a:xfrm>
                      <a:off x="0" y="0"/>
                      <a:ext cx="5696232" cy="6131167"/>
                    </a:xfrm>
                    <a:prstGeom prst="rect">
                      <a:avLst/>
                    </a:prstGeom>
                    <a:noFill/>
                    <a:ln w="9525">
                      <a:noFill/>
                      <a:miter lim="800000"/>
                      <a:headEnd/>
                      <a:tailEnd/>
                    </a:ln>
                  </pic:spPr>
                </pic:pic>
              </a:graphicData>
            </a:graphic>
          </wp:inline>
        </w:drawing>
      </w:r>
    </w:p>
    <w:p>
      <w:pPr>
        <w:pStyle w:val="4"/>
        <w:rPr>
          <w:rFonts w:ascii="仿宋" w:hAnsi="仿宋" w:eastAsia="仿宋"/>
        </w:rPr>
      </w:pPr>
      <w:bookmarkStart w:id="68" w:name="_Toc15396631"/>
    </w:p>
    <w:p/>
    <w:p>
      <w:pPr>
        <w:pStyle w:val="4"/>
        <w:rPr>
          <w:rFonts w:ascii="黑体" w:hAnsi="黑体" w:eastAsia="黑体"/>
          <w:b w:val="0"/>
        </w:rPr>
      </w:pPr>
      <w:r>
        <w:rPr>
          <w:rFonts w:hint="eastAsia" w:ascii="黑体" w:hAnsi="黑体" w:eastAsia="黑体"/>
          <w:b w:val="0"/>
        </w:rPr>
        <w:t>十三、</w:t>
      </w:r>
      <w:bookmarkEnd w:id="68"/>
      <w:r>
        <w:rPr>
          <w:rFonts w:hint="eastAsia" w:ascii="黑体" w:hAnsi="黑体" w:eastAsia="黑体"/>
          <w:b w:val="0"/>
        </w:rPr>
        <w:t>财政拨款“三公”经费支出决算表</w:t>
      </w:r>
    </w:p>
    <w:p>
      <w:r>
        <w:drawing>
          <wp:inline distT="0" distB="0" distL="0" distR="0">
            <wp:extent cx="5799455" cy="3895090"/>
            <wp:effectExtent l="1905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24"/>
                    <a:srcRect/>
                    <a:stretch>
                      <a:fillRect/>
                    </a:stretch>
                  </pic:blipFill>
                  <pic:spPr>
                    <a:xfrm>
                      <a:off x="0" y="0"/>
                      <a:ext cx="5800854" cy="3895774"/>
                    </a:xfrm>
                    <a:prstGeom prst="rect">
                      <a:avLst/>
                    </a:prstGeom>
                    <a:noFill/>
                    <a:ln w="9525">
                      <a:noFill/>
                      <a:miter lim="800000"/>
                      <a:headEnd/>
                      <a:tailEnd/>
                    </a:ln>
                  </pic:spPr>
                </pic:pic>
              </a:graphicData>
            </a:graphic>
          </wp:inline>
        </w:drawing>
      </w:r>
    </w:p>
    <w:sectPr>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jc w:val="center"/>
        </w:pPr>
        <w:r>
          <w:fldChar w:fldCharType="begin"/>
        </w:r>
        <w:r>
          <w:instrText xml:space="preserve">PAGE   \* MERGEFORMAT</w:instrText>
        </w:r>
        <w:r>
          <w:fldChar w:fldCharType="separate"/>
        </w:r>
        <w:r>
          <w:rPr>
            <w:lang w:val="zh-CN"/>
          </w:rPr>
          <w:t>63</w:t>
        </w:r>
        <w:r>
          <w:rPr>
            <w:lang w:val="zh-CN"/>
          </w:rP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A24A6"/>
    <w:multiLevelType w:val="singleLevel"/>
    <w:tmpl w:val="90CA24A6"/>
    <w:lvl w:ilvl="0" w:tentative="0">
      <w:start w:val="2"/>
      <w:numFmt w:val="chineseCounting"/>
      <w:suff w:val="nothing"/>
      <w:lvlText w:val="（%1）"/>
      <w:lvlJc w:val="left"/>
      <w:rPr>
        <w:rFonts w:hint="eastAsia"/>
      </w:rPr>
    </w:lvl>
  </w:abstractNum>
  <w:abstractNum w:abstractNumId="1">
    <w:nsid w:val="3E794925"/>
    <w:multiLevelType w:val="singleLevel"/>
    <w:tmpl w:val="3E79492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2OWIyYTRlMjJhMjM0YzYwNmY5YWZkYmQ1ZGNiMGIifQ=="/>
  </w:docVars>
  <w:rsids>
    <w:rsidRoot w:val="00F1361C"/>
    <w:rsid w:val="000142FB"/>
    <w:rsid w:val="000222C6"/>
    <w:rsid w:val="0002549F"/>
    <w:rsid w:val="0003351A"/>
    <w:rsid w:val="00036C93"/>
    <w:rsid w:val="000468DB"/>
    <w:rsid w:val="00053855"/>
    <w:rsid w:val="00061E36"/>
    <w:rsid w:val="0006487A"/>
    <w:rsid w:val="00064BC8"/>
    <w:rsid w:val="00065F8F"/>
    <w:rsid w:val="00070A43"/>
    <w:rsid w:val="000711FB"/>
    <w:rsid w:val="000768F2"/>
    <w:rsid w:val="0008413E"/>
    <w:rsid w:val="000848BF"/>
    <w:rsid w:val="0009184B"/>
    <w:rsid w:val="00094236"/>
    <w:rsid w:val="0009477B"/>
    <w:rsid w:val="0009593C"/>
    <w:rsid w:val="00096BC0"/>
    <w:rsid w:val="00097322"/>
    <w:rsid w:val="000A6A92"/>
    <w:rsid w:val="000B047F"/>
    <w:rsid w:val="000B1D1B"/>
    <w:rsid w:val="000B5923"/>
    <w:rsid w:val="000B5A48"/>
    <w:rsid w:val="000B6FF3"/>
    <w:rsid w:val="000B7774"/>
    <w:rsid w:val="000C3467"/>
    <w:rsid w:val="000C3CA6"/>
    <w:rsid w:val="000C4EDD"/>
    <w:rsid w:val="000C75A1"/>
    <w:rsid w:val="000D1267"/>
    <w:rsid w:val="000D1D50"/>
    <w:rsid w:val="000D5782"/>
    <w:rsid w:val="000E0A0A"/>
    <w:rsid w:val="000E45D1"/>
    <w:rsid w:val="000E6613"/>
    <w:rsid w:val="000E7119"/>
    <w:rsid w:val="00113948"/>
    <w:rsid w:val="00114E9B"/>
    <w:rsid w:val="00115EF5"/>
    <w:rsid w:val="001319BD"/>
    <w:rsid w:val="001414E5"/>
    <w:rsid w:val="001420F4"/>
    <w:rsid w:val="00142216"/>
    <w:rsid w:val="00144D6A"/>
    <w:rsid w:val="0014729F"/>
    <w:rsid w:val="00157BAB"/>
    <w:rsid w:val="00157CE7"/>
    <w:rsid w:val="001654D1"/>
    <w:rsid w:val="0017028D"/>
    <w:rsid w:val="001703A0"/>
    <w:rsid w:val="00174518"/>
    <w:rsid w:val="00177BA0"/>
    <w:rsid w:val="0018106D"/>
    <w:rsid w:val="001877A7"/>
    <w:rsid w:val="00191536"/>
    <w:rsid w:val="00196687"/>
    <w:rsid w:val="001973E4"/>
    <w:rsid w:val="001C0962"/>
    <w:rsid w:val="001C48AC"/>
    <w:rsid w:val="001D7531"/>
    <w:rsid w:val="001E737D"/>
    <w:rsid w:val="001F0270"/>
    <w:rsid w:val="001F03D6"/>
    <w:rsid w:val="001F0592"/>
    <w:rsid w:val="001F3BF9"/>
    <w:rsid w:val="001F7506"/>
    <w:rsid w:val="002006CD"/>
    <w:rsid w:val="00202B36"/>
    <w:rsid w:val="00204B7A"/>
    <w:rsid w:val="00204CDE"/>
    <w:rsid w:val="0021101A"/>
    <w:rsid w:val="00216F45"/>
    <w:rsid w:val="00216F52"/>
    <w:rsid w:val="00220536"/>
    <w:rsid w:val="0022527F"/>
    <w:rsid w:val="00235629"/>
    <w:rsid w:val="00242B0B"/>
    <w:rsid w:val="00253B71"/>
    <w:rsid w:val="00256F9B"/>
    <w:rsid w:val="00260C38"/>
    <w:rsid w:val="002616C0"/>
    <w:rsid w:val="00263BE5"/>
    <w:rsid w:val="00264473"/>
    <w:rsid w:val="00264EEC"/>
    <w:rsid w:val="00265372"/>
    <w:rsid w:val="00265808"/>
    <w:rsid w:val="002662AA"/>
    <w:rsid w:val="00274F40"/>
    <w:rsid w:val="002760FF"/>
    <w:rsid w:val="00280496"/>
    <w:rsid w:val="00294DC9"/>
    <w:rsid w:val="00295495"/>
    <w:rsid w:val="002A08D3"/>
    <w:rsid w:val="002A31DE"/>
    <w:rsid w:val="002A66F7"/>
    <w:rsid w:val="002B2613"/>
    <w:rsid w:val="002B5846"/>
    <w:rsid w:val="002B6891"/>
    <w:rsid w:val="002B6BAE"/>
    <w:rsid w:val="002D6D05"/>
    <w:rsid w:val="002E5BFE"/>
    <w:rsid w:val="002F1818"/>
    <w:rsid w:val="002F567B"/>
    <w:rsid w:val="00301CEF"/>
    <w:rsid w:val="00306486"/>
    <w:rsid w:val="003216A9"/>
    <w:rsid w:val="00335A74"/>
    <w:rsid w:val="00351D9E"/>
    <w:rsid w:val="00363EBB"/>
    <w:rsid w:val="0036561B"/>
    <w:rsid w:val="0037013F"/>
    <w:rsid w:val="0037092D"/>
    <w:rsid w:val="0037733F"/>
    <w:rsid w:val="00380C92"/>
    <w:rsid w:val="003913AA"/>
    <w:rsid w:val="003A0356"/>
    <w:rsid w:val="003A484F"/>
    <w:rsid w:val="003A4883"/>
    <w:rsid w:val="003B0BE0"/>
    <w:rsid w:val="003B0C1B"/>
    <w:rsid w:val="003B688C"/>
    <w:rsid w:val="003C0291"/>
    <w:rsid w:val="003C39AE"/>
    <w:rsid w:val="003C4B0A"/>
    <w:rsid w:val="003C6115"/>
    <w:rsid w:val="003C7B60"/>
    <w:rsid w:val="003D0C0F"/>
    <w:rsid w:val="003D1CA4"/>
    <w:rsid w:val="003D1FB2"/>
    <w:rsid w:val="003D66DA"/>
    <w:rsid w:val="003E094F"/>
    <w:rsid w:val="003E1310"/>
    <w:rsid w:val="003E16E2"/>
    <w:rsid w:val="003E4175"/>
    <w:rsid w:val="003E6F55"/>
    <w:rsid w:val="00406254"/>
    <w:rsid w:val="00413231"/>
    <w:rsid w:val="00413961"/>
    <w:rsid w:val="00413BDF"/>
    <w:rsid w:val="004223DE"/>
    <w:rsid w:val="00434489"/>
    <w:rsid w:val="00437085"/>
    <w:rsid w:val="00443880"/>
    <w:rsid w:val="00443E27"/>
    <w:rsid w:val="004464F4"/>
    <w:rsid w:val="004626EB"/>
    <w:rsid w:val="00471401"/>
    <w:rsid w:val="00472500"/>
    <w:rsid w:val="00473F31"/>
    <w:rsid w:val="0048263A"/>
    <w:rsid w:val="00487E5D"/>
    <w:rsid w:val="004A3EF6"/>
    <w:rsid w:val="004A711F"/>
    <w:rsid w:val="004B199D"/>
    <w:rsid w:val="004B4690"/>
    <w:rsid w:val="004E01B9"/>
    <w:rsid w:val="004E0A2D"/>
    <w:rsid w:val="004E206B"/>
    <w:rsid w:val="004E6DF7"/>
    <w:rsid w:val="004F0FBD"/>
    <w:rsid w:val="0050252E"/>
    <w:rsid w:val="00505A47"/>
    <w:rsid w:val="00512FDA"/>
    <w:rsid w:val="00513107"/>
    <w:rsid w:val="00520DA0"/>
    <w:rsid w:val="00534A44"/>
    <w:rsid w:val="005423FD"/>
    <w:rsid w:val="00555220"/>
    <w:rsid w:val="00564D46"/>
    <w:rsid w:val="005664BB"/>
    <w:rsid w:val="00566FFA"/>
    <w:rsid w:val="005733A2"/>
    <w:rsid w:val="0057481D"/>
    <w:rsid w:val="005764D2"/>
    <w:rsid w:val="0058486E"/>
    <w:rsid w:val="00585B33"/>
    <w:rsid w:val="0059014D"/>
    <w:rsid w:val="00593C95"/>
    <w:rsid w:val="005B2BDA"/>
    <w:rsid w:val="005B5C64"/>
    <w:rsid w:val="005C5337"/>
    <w:rsid w:val="005C6BD0"/>
    <w:rsid w:val="005D1C8B"/>
    <w:rsid w:val="005D468D"/>
    <w:rsid w:val="005D5CED"/>
    <w:rsid w:val="005E24CB"/>
    <w:rsid w:val="005F1A4C"/>
    <w:rsid w:val="00605688"/>
    <w:rsid w:val="006070AF"/>
    <w:rsid w:val="00607E6C"/>
    <w:rsid w:val="006101B1"/>
    <w:rsid w:val="0061448C"/>
    <w:rsid w:val="00614E44"/>
    <w:rsid w:val="0062270A"/>
    <w:rsid w:val="00622830"/>
    <w:rsid w:val="00623DA0"/>
    <w:rsid w:val="00630AEF"/>
    <w:rsid w:val="006325F8"/>
    <w:rsid w:val="00633463"/>
    <w:rsid w:val="00634C9A"/>
    <w:rsid w:val="0064060E"/>
    <w:rsid w:val="00642FBC"/>
    <w:rsid w:val="006440E4"/>
    <w:rsid w:val="00657100"/>
    <w:rsid w:val="006602C9"/>
    <w:rsid w:val="0066343B"/>
    <w:rsid w:val="00664777"/>
    <w:rsid w:val="006748A4"/>
    <w:rsid w:val="00681A31"/>
    <w:rsid w:val="00683E73"/>
    <w:rsid w:val="00697FF2"/>
    <w:rsid w:val="006A076D"/>
    <w:rsid w:val="006A3141"/>
    <w:rsid w:val="006A5E34"/>
    <w:rsid w:val="006A7C6F"/>
    <w:rsid w:val="006B2422"/>
    <w:rsid w:val="006B29E9"/>
    <w:rsid w:val="006B2B9A"/>
    <w:rsid w:val="006C1937"/>
    <w:rsid w:val="006D672F"/>
    <w:rsid w:val="006E4AE9"/>
    <w:rsid w:val="006F020C"/>
    <w:rsid w:val="007000AC"/>
    <w:rsid w:val="007127B7"/>
    <w:rsid w:val="0071798E"/>
    <w:rsid w:val="007416B6"/>
    <w:rsid w:val="00746F48"/>
    <w:rsid w:val="007517DD"/>
    <w:rsid w:val="0075404D"/>
    <w:rsid w:val="007540CD"/>
    <w:rsid w:val="0076182A"/>
    <w:rsid w:val="00767B7E"/>
    <w:rsid w:val="007770C3"/>
    <w:rsid w:val="00784D24"/>
    <w:rsid w:val="00785FBA"/>
    <w:rsid w:val="00786E4A"/>
    <w:rsid w:val="007875EB"/>
    <w:rsid w:val="0079426B"/>
    <w:rsid w:val="007A0898"/>
    <w:rsid w:val="007A0D70"/>
    <w:rsid w:val="007A3865"/>
    <w:rsid w:val="007D1682"/>
    <w:rsid w:val="007D312A"/>
    <w:rsid w:val="007D3F19"/>
    <w:rsid w:val="007D4EEF"/>
    <w:rsid w:val="007D5D8B"/>
    <w:rsid w:val="007D676C"/>
    <w:rsid w:val="007E183F"/>
    <w:rsid w:val="007E19D2"/>
    <w:rsid w:val="007E23B0"/>
    <w:rsid w:val="007E23E5"/>
    <w:rsid w:val="007F1884"/>
    <w:rsid w:val="007F1991"/>
    <w:rsid w:val="007F2C2F"/>
    <w:rsid w:val="007F38CB"/>
    <w:rsid w:val="007F55FC"/>
    <w:rsid w:val="007F5665"/>
    <w:rsid w:val="00800112"/>
    <w:rsid w:val="008021A8"/>
    <w:rsid w:val="00811864"/>
    <w:rsid w:val="00813348"/>
    <w:rsid w:val="008253BB"/>
    <w:rsid w:val="00830C5A"/>
    <w:rsid w:val="0083706E"/>
    <w:rsid w:val="008408F6"/>
    <w:rsid w:val="008423A5"/>
    <w:rsid w:val="00850625"/>
    <w:rsid w:val="00853718"/>
    <w:rsid w:val="00855221"/>
    <w:rsid w:val="00860645"/>
    <w:rsid w:val="00871F71"/>
    <w:rsid w:val="00872FD8"/>
    <w:rsid w:val="00875502"/>
    <w:rsid w:val="00885AF4"/>
    <w:rsid w:val="00893424"/>
    <w:rsid w:val="008939CD"/>
    <w:rsid w:val="008942E9"/>
    <w:rsid w:val="008A7D94"/>
    <w:rsid w:val="008B768C"/>
    <w:rsid w:val="008C4DB1"/>
    <w:rsid w:val="008C4EAF"/>
    <w:rsid w:val="008C5176"/>
    <w:rsid w:val="008C7364"/>
    <w:rsid w:val="008C7FD0"/>
    <w:rsid w:val="008D07F8"/>
    <w:rsid w:val="008D3D9F"/>
    <w:rsid w:val="008E1DE7"/>
    <w:rsid w:val="008E2DA4"/>
    <w:rsid w:val="008E66D0"/>
    <w:rsid w:val="008E707C"/>
    <w:rsid w:val="008F7771"/>
    <w:rsid w:val="00900B08"/>
    <w:rsid w:val="00902155"/>
    <w:rsid w:val="00902FA3"/>
    <w:rsid w:val="009039D7"/>
    <w:rsid w:val="009128D1"/>
    <w:rsid w:val="00923564"/>
    <w:rsid w:val="0092392E"/>
    <w:rsid w:val="009315F9"/>
    <w:rsid w:val="00933499"/>
    <w:rsid w:val="00935C98"/>
    <w:rsid w:val="00946945"/>
    <w:rsid w:val="00951248"/>
    <w:rsid w:val="0095152F"/>
    <w:rsid w:val="00954C49"/>
    <w:rsid w:val="00955E37"/>
    <w:rsid w:val="009675B3"/>
    <w:rsid w:val="0097099F"/>
    <w:rsid w:val="00971997"/>
    <w:rsid w:val="00971FFC"/>
    <w:rsid w:val="00976609"/>
    <w:rsid w:val="0098660A"/>
    <w:rsid w:val="009871BC"/>
    <w:rsid w:val="009931C3"/>
    <w:rsid w:val="00993AEB"/>
    <w:rsid w:val="009A3D1A"/>
    <w:rsid w:val="009B2C43"/>
    <w:rsid w:val="009B4EAE"/>
    <w:rsid w:val="009B7573"/>
    <w:rsid w:val="009C22F4"/>
    <w:rsid w:val="009C2A4B"/>
    <w:rsid w:val="009C2E98"/>
    <w:rsid w:val="009D3447"/>
    <w:rsid w:val="009D4711"/>
    <w:rsid w:val="009F1185"/>
    <w:rsid w:val="009F18CD"/>
    <w:rsid w:val="009F2A13"/>
    <w:rsid w:val="009F4F2A"/>
    <w:rsid w:val="009F7527"/>
    <w:rsid w:val="00A01C58"/>
    <w:rsid w:val="00A04EB0"/>
    <w:rsid w:val="00A13CC1"/>
    <w:rsid w:val="00A16847"/>
    <w:rsid w:val="00A16EAC"/>
    <w:rsid w:val="00A2146D"/>
    <w:rsid w:val="00A23557"/>
    <w:rsid w:val="00A237D8"/>
    <w:rsid w:val="00A268C4"/>
    <w:rsid w:val="00A307CD"/>
    <w:rsid w:val="00A331C8"/>
    <w:rsid w:val="00A40A00"/>
    <w:rsid w:val="00A4142F"/>
    <w:rsid w:val="00A422EB"/>
    <w:rsid w:val="00A44697"/>
    <w:rsid w:val="00A45BB7"/>
    <w:rsid w:val="00A51D89"/>
    <w:rsid w:val="00A538FA"/>
    <w:rsid w:val="00A56DF2"/>
    <w:rsid w:val="00A56E6E"/>
    <w:rsid w:val="00A63D10"/>
    <w:rsid w:val="00A64253"/>
    <w:rsid w:val="00A67AB5"/>
    <w:rsid w:val="00A704F3"/>
    <w:rsid w:val="00A733B2"/>
    <w:rsid w:val="00A741C2"/>
    <w:rsid w:val="00A9134F"/>
    <w:rsid w:val="00A91760"/>
    <w:rsid w:val="00A932C3"/>
    <w:rsid w:val="00A93B00"/>
    <w:rsid w:val="00A93C21"/>
    <w:rsid w:val="00AA51AE"/>
    <w:rsid w:val="00AA7AED"/>
    <w:rsid w:val="00AB4755"/>
    <w:rsid w:val="00AB5262"/>
    <w:rsid w:val="00AB64C9"/>
    <w:rsid w:val="00AC3C6A"/>
    <w:rsid w:val="00AC66A3"/>
    <w:rsid w:val="00AD2348"/>
    <w:rsid w:val="00AD5620"/>
    <w:rsid w:val="00AD656B"/>
    <w:rsid w:val="00AD6763"/>
    <w:rsid w:val="00AD7C1B"/>
    <w:rsid w:val="00AE16BA"/>
    <w:rsid w:val="00AE1EBE"/>
    <w:rsid w:val="00B013BC"/>
    <w:rsid w:val="00B015A7"/>
    <w:rsid w:val="00B03C9D"/>
    <w:rsid w:val="00B060AE"/>
    <w:rsid w:val="00B07325"/>
    <w:rsid w:val="00B10517"/>
    <w:rsid w:val="00B12037"/>
    <w:rsid w:val="00B14E76"/>
    <w:rsid w:val="00B161B8"/>
    <w:rsid w:val="00B2048C"/>
    <w:rsid w:val="00B310B9"/>
    <w:rsid w:val="00B35F3F"/>
    <w:rsid w:val="00B36CBB"/>
    <w:rsid w:val="00B42464"/>
    <w:rsid w:val="00B425E0"/>
    <w:rsid w:val="00B429CF"/>
    <w:rsid w:val="00B440AA"/>
    <w:rsid w:val="00B44B70"/>
    <w:rsid w:val="00B46A42"/>
    <w:rsid w:val="00B53C56"/>
    <w:rsid w:val="00B57DAF"/>
    <w:rsid w:val="00B6127B"/>
    <w:rsid w:val="00B70DAD"/>
    <w:rsid w:val="00B753E3"/>
    <w:rsid w:val="00B77EA6"/>
    <w:rsid w:val="00B81598"/>
    <w:rsid w:val="00B841F1"/>
    <w:rsid w:val="00B90A81"/>
    <w:rsid w:val="00B944D6"/>
    <w:rsid w:val="00BB4DF0"/>
    <w:rsid w:val="00BC289F"/>
    <w:rsid w:val="00BC2D50"/>
    <w:rsid w:val="00BC5361"/>
    <w:rsid w:val="00BC5460"/>
    <w:rsid w:val="00BC6B50"/>
    <w:rsid w:val="00BC7678"/>
    <w:rsid w:val="00BD0E25"/>
    <w:rsid w:val="00BD6951"/>
    <w:rsid w:val="00BD6D63"/>
    <w:rsid w:val="00BE083A"/>
    <w:rsid w:val="00BE737B"/>
    <w:rsid w:val="00BF5BD6"/>
    <w:rsid w:val="00C03E31"/>
    <w:rsid w:val="00C076EF"/>
    <w:rsid w:val="00C145B1"/>
    <w:rsid w:val="00C14F02"/>
    <w:rsid w:val="00C203F0"/>
    <w:rsid w:val="00C273CD"/>
    <w:rsid w:val="00C33E72"/>
    <w:rsid w:val="00C354B2"/>
    <w:rsid w:val="00C35554"/>
    <w:rsid w:val="00C42709"/>
    <w:rsid w:val="00C533CC"/>
    <w:rsid w:val="00C56022"/>
    <w:rsid w:val="00C5751C"/>
    <w:rsid w:val="00C61BFC"/>
    <w:rsid w:val="00C62B85"/>
    <w:rsid w:val="00C62EBE"/>
    <w:rsid w:val="00C65438"/>
    <w:rsid w:val="00C7555F"/>
    <w:rsid w:val="00C87FD8"/>
    <w:rsid w:val="00C91381"/>
    <w:rsid w:val="00C91CBB"/>
    <w:rsid w:val="00C94A0D"/>
    <w:rsid w:val="00CA03F8"/>
    <w:rsid w:val="00CA57FA"/>
    <w:rsid w:val="00CB4E70"/>
    <w:rsid w:val="00CC09B6"/>
    <w:rsid w:val="00CC2C24"/>
    <w:rsid w:val="00CC666F"/>
    <w:rsid w:val="00CC7B62"/>
    <w:rsid w:val="00CD1E3F"/>
    <w:rsid w:val="00CE2C69"/>
    <w:rsid w:val="00CE44F6"/>
    <w:rsid w:val="00CE49DA"/>
    <w:rsid w:val="00CE7992"/>
    <w:rsid w:val="00CE7B61"/>
    <w:rsid w:val="00CE7F0A"/>
    <w:rsid w:val="00CF0028"/>
    <w:rsid w:val="00CF0E8B"/>
    <w:rsid w:val="00CF2FD5"/>
    <w:rsid w:val="00D00095"/>
    <w:rsid w:val="00D114F0"/>
    <w:rsid w:val="00D20620"/>
    <w:rsid w:val="00D219D1"/>
    <w:rsid w:val="00D254F7"/>
    <w:rsid w:val="00D26091"/>
    <w:rsid w:val="00D2685C"/>
    <w:rsid w:val="00D34E7C"/>
    <w:rsid w:val="00D35489"/>
    <w:rsid w:val="00D36AFE"/>
    <w:rsid w:val="00D51276"/>
    <w:rsid w:val="00D6104B"/>
    <w:rsid w:val="00D7035F"/>
    <w:rsid w:val="00D8491D"/>
    <w:rsid w:val="00DA634F"/>
    <w:rsid w:val="00DA65AC"/>
    <w:rsid w:val="00DA7036"/>
    <w:rsid w:val="00DB1913"/>
    <w:rsid w:val="00DB4FE3"/>
    <w:rsid w:val="00DC410D"/>
    <w:rsid w:val="00DC5A81"/>
    <w:rsid w:val="00DC68CA"/>
    <w:rsid w:val="00DC7CBA"/>
    <w:rsid w:val="00DD73B7"/>
    <w:rsid w:val="00DE228C"/>
    <w:rsid w:val="00DF28BC"/>
    <w:rsid w:val="00DF34B9"/>
    <w:rsid w:val="00DF49F1"/>
    <w:rsid w:val="00E01053"/>
    <w:rsid w:val="00E06957"/>
    <w:rsid w:val="00E07ACF"/>
    <w:rsid w:val="00E22B60"/>
    <w:rsid w:val="00E24752"/>
    <w:rsid w:val="00E25F0F"/>
    <w:rsid w:val="00E30720"/>
    <w:rsid w:val="00E331A1"/>
    <w:rsid w:val="00E33202"/>
    <w:rsid w:val="00E336A9"/>
    <w:rsid w:val="00E428F3"/>
    <w:rsid w:val="00E472B1"/>
    <w:rsid w:val="00E50624"/>
    <w:rsid w:val="00E5174E"/>
    <w:rsid w:val="00E557E7"/>
    <w:rsid w:val="00E568DF"/>
    <w:rsid w:val="00E64269"/>
    <w:rsid w:val="00E657AB"/>
    <w:rsid w:val="00E82267"/>
    <w:rsid w:val="00E853CE"/>
    <w:rsid w:val="00E867B6"/>
    <w:rsid w:val="00E92FB5"/>
    <w:rsid w:val="00EA010F"/>
    <w:rsid w:val="00EA6AC9"/>
    <w:rsid w:val="00EB0CC8"/>
    <w:rsid w:val="00EB4FA5"/>
    <w:rsid w:val="00EC5ED7"/>
    <w:rsid w:val="00ED1B63"/>
    <w:rsid w:val="00ED3C1F"/>
    <w:rsid w:val="00ED4085"/>
    <w:rsid w:val="00ED420E"/>
    <w:rsid w:val="00ED6FBE"/>
    <w:rsid w:val="00EE014C"/>
    <w:rsid w:val="00EE2F57"/>
    <w:rsid w:val="00EF4C34"/>
    <w:rsid w:val="00EF77C6"/>
    <w:rsid w:val="00F05438"/>
    <w:rsid w:val="00F05D1B"/>
    <w:rsid w:val="00F1361C"/>
    <w:rsid w:val="00F156F0"/>
    <w:rsid w:val="00F160C7"/>
    <w:rsid w:val="00F1620C"/>
    <w:rsid w:val="00F2408F"/>
    <w:rsid w:val="00F240E9"/>
    <w:rsid w:val="00F36D8F"/>
    <w:rsid w:val="00F417B1"/>
    <w:rsid w:val="00F45853"/>
    <w:rsid w:val="00F50DD0"/>
    <w:rsid w:val="00F602DF"/>
    <w:rsid w:val="00F625F6"/>
    <w:rsid w:val="00F754A1"/>
    <w:rsid w:val="00F81FD9"/>
    <w:rsid w:val="00F841AA"/>
    <w:rsid w:val="00F84A94"/>
    <w:rsid w:val="00F87E96"/>
    <w:rsid w:val="00F945BB"/>
    <w:rsid w:val="00FA23E8"/>
    <w:rsid w:val="00FA300A"/>
    <w:rsid w:val="00FC1C88"/>
    <w:rsid w:val="00FD3CC1"/>
    <w:rsid w:val="00FD54F8"/>
    <w:rsid w:val="00FE64ED"/>
    <w:rsid w:val="00FF1E02"/>
    <w:rsid w:val="00FF30B4"/>
    <w:rsid w:val="015975B8"/>
    <w:rsid w:val="02143E91"/>
    <w:rsid w:val="066E0107"/>
    <w:rsid w:val="07996F6E"/>
    <w:rsid w:val="0A2032A3"/>
    <w:rsid w:val="0CC81A9A"/>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3FF1AA1"/>
    <w:rsid w:val="6C4A05C8"/>
    <w:rsid w:val="6D9375FB"/>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37"/>
    <w:qFormat/>
    <w:uiPriority w:val="0"/>
    <w:rPr>
      <w:rFonts w:ascii="宋体" w:hAnsi="Courier New"/>
    </w:r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Body Text First Indent 2"/>
    <w:basedOn w:val="6"/>
    <w:unhideWhenUsed/>
    <w:qFormat/>
    <w:uiPriority w:val="99"/>
    <w:pPr>
      <w:ind w:firstLine="420" w:firstLineChars="200"/>
    </w:p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0"/>
    <w:pPr>
      <w:spacing w:line="560" w:lineRule="exact"/>
      <w:ind w:left="200" w:leftChars="200" w:hanging="200" w:hangingChars="200"/>
    </w:pPr>
    <w:rPr>
      <w:rFonts w:eastAsia="仿宋"/>
      <w:sz w:val="32"/>
      <w:szCs w:val="32"/>
    </w:rPr>
  </w:style>
  <w:style w:type="paragraph" w:styleId="15">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FollowedHyperlink"/>
    <w:basedOn w:val="16"/>
    <w:semiHidden/>
    <w:unhideWhenUsed/>
    <w:uiPriority w:val="99"/>
    <w:rPr>
      <w:color w:val="800080"/>
      <w:u w:val="single"/>
    </w:rPr>
  </w:style>
  <w:style w:type="character" w:styleId="19">
    <w:name w:val="Hyperlink"/>
    <w:basedOn w:val="16"/>
    <w:unhideWhenUsed/>
    <w:qFormat/>
    <w:uiPriority w:val="99"/>
    <w:rPr>
      <w:color w:val="0000FF" w:themeColor="hyperlink"/>
      <w:u w:val="single"/>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6"/>
    <w:link w:val="3"/>
    <w:qFormat/>
    <w:uiPriority w:val="9"/>
    <w:rPr>
      <w:rFonts w:ascii="Times New Roman" w:hAnsi="Times New Roman"/>
      <w:b/>
      <w:bCs/>
      <w:kern w:val="44"/>
      <w:sz w:val="44"/>
      <w:szCs w:val="44"/>
    </w:rPr>
  </w:style>
  <w:style w:type="character" w:customStyle="1" w:styleId="31">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6"/>
    <w:link w:val="9"/>
    <w:semiHidden/>
    <w:qFormat/>
    <w:uiPriority w:val="99"/>
    <w:rPr>
      <w:rFonts w:ascii="Times New Roman" w:hAnsi="Times New Roman"/>
      <w:kern w:val="2"/>
      <w:sz w:val="18"/>
      <w:szCs w:val="18"/>
    </w:rPr>
  </w:style>
  <w:style w:type="character" w:customStyle="1" w:styleId="34">
    <w:name w:val="标题 3 Char"/>
    <w:basedOn w:val="16"/>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character" w:customStyle="1" w:styleId="37">
    <w:name w:val="纯文本 Char"/>
    <w:basedOn w:val="16"/>
    <w:link w:val="8"/>
    <w:qFormat/>
    <w:uiPriority w:val="0"/>
    <w:rPr>
      <w:rFonts w:ascii="宋体" w:hAnsi="Courier New" w:eastAsia="宋体" w:cs="Times New Roman"/>
      <w:kern w:val="2"/>
      <w:sz w:val="21"/>
      <w:szCs w:val="24"/>
    </w:rPr>
  </w:style>
  <w:style w:type="paragraph" w:customStyle="1" w:styleId="38">
    <w:name w:val="xl65"/>
    <w:basedOn w:val="1"/>
    <w:uiPriority w:val="0"/>
    <w:pPr>
      <w:widowControl/>
      <w:spacing w:before="100" w:beforeAutospacing="1" w:after="100" w:afterAutospacing="1"/>
      <w:jc w:val="right"/>
    </w:pPr>
    <w:rPr>
      <w:rFonts w:ascii="宋体" w:hAnsi="宋体" w:cs="宋体"/>
      <w:kern w:val="0"/>
      <w:sz w:val="24"/>
    </w:rPr>
  </w:style>
  <w:style w:type="paragraph" w:customStyle="1" w:styleId="39">
    <w:name w:val="xl66"/>
    <w:basedOn w:val="1"/>
    <w:uiPriority w:val="0"/>
    <w:pPr>
      <w:widowControl/>
      <w:spacing w:before="100" w:beforeAutospacing="1" w:after="100" w:afterAutospacing="1"/>
      <w:jc w:val="left"/>
    </w:pPr>
    <w:rPr>
      <w:rFonts w:ascii="宋体" w:hAnsi="宋体" w:cs="宋体"/>
      <w:kern w:val="0"/>
      <w:sz w:val="24"/>
    </w:rPr>
  </w:style>
  <w:style w:type="paragraph" w:customStyle="1" w:styleId="40">
    <w:name w:val="xl67"/>
    <w:basedOn w:val="1"/>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41">
    <w:name w:val="xl68"/>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2"/>
      <w:szCs w:val="22"/>
    </w:rPr>
  </w:style>
  <w:style w:type="paragraph" w:customStyle="1" w:styleId="42">
    <w:name w:val="xl69"/>
    <w:basedOn w:val="1"/>
    <w:uiPriority w:val="0"/>
    <w:pPr>
      <w:widowControl/>
      <w:pBdr>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kern w:val="0"/>
      <w:sz w:val="22"/>
      <w:szCs w:val="22"/>
    </w:rPr>
  </w:style>
  <w:style w:type="paragraph" w:customStyle="1" w:styleId="43">
    <w:name w:val="xl70"/>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2"/>
      <w:szCs w:val="22"/>
    </w:rPr>
  </w:style>
  <w:style w:type="paragraph" w:customStyle="1" w:styleId="44">
    <w:name w:val="xl71"/>
    <w:basedOn w:val="1"/>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45">
    <w:name w:val="xl72"/>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46">
    <w:name w:val="xl73"/>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kern w:val="0"/>
      <w:sz w:val="22"/>
      <w:szCs w:val="22"/>
    </w:rPr>
  </w:style>
  <w:style w:type="paragraph" w:customStyle="1" w:styleId="47">
    <w:name w:val="xl74"/>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48">
    <w:name w:val="xl75"/>
    <w:basedOn w:val="1"/>
    <w:uiPriority w:val="0"/>
    <w:pPr>
      <w:widowControl/>
      <w:pBdr>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49">
    <w:name w:val="xl76"/>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50">
    <w:name w:val="xl77"/>
    <w:basedOn w:val="1"/>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51">
    <w:name w:val="xl78"/>
    <w:basedOn w:val="1"/>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52">
    <w:name w:val="xl79"/>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53">
    <w:name w:val="xl80"/>
    <w:basedOn w:val="1"/>
    <w:uiPriority w:val="0"/>
    <w:pPr>
      <w:widowControl/>
      <w:pBdr>
        <w:top w:val="single" w:color="000000" w:sz="4" w:space="0"/>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54">
    <w:name w:val="xl81"/>
    <w:basedOn w:val="1"/>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55">
    <w:name w:val="xl82"/>
    <w:basedOn w:val="1"/>
    <w:uiPriority w:val="0"/>
    <w:pPr>
      <w:widowControl/>
      <w:spacing w:before="100" w:beforeAutospacing="1" w:after="100" w:afterAutospacing="1"/>
      <w:jc w:val="center"/>
    </w:pPr>
    <w:rPr>
      <w:rFonts w:ascii="宋体" w:hAnsi="宋体" w:cs="宋体"/>
      <w:kern w:val="0"/>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4.emf"/><Relationship Id="rId23" Type="http://schemas.openxmlformats.org/officeDocument/2006/relationships/image" Target="media/image13.emf"/><Relationship Id="rId22" Type="http://schemas.openxmlformats.org/officeDocument/2006/relationships/image" Target="media/image12.emf"/><Relationship Id="rId21" Type="http://schemas.openxmlformats.org/officeDocument/2006/relationships/image" Target="media/image11.emf"/><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emf"/><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image" Target="media/image3.emf"/><Relationship Id="rId12" Type="http://schemas.openxmlformats.org/officeDocument/2006/relationships/image" Target="media/image2.emf"/><Relationship Id="rId11" Type="http://schemas.openxmlformats.org/officeDocument/2006/relationships/image" Target="media/image1.emf"/><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2&#23459;&#20256;&#37096;&#20915;&#31639;&#20844;&#24320;&#22270;&#349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0&#27531;&#32852;&#20915;&#31639;&#20844;&#24320;&#22270;&#349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0&#27531;&#32852;&#20915;&#31639;&#20844;&#24320;&#22270;&#3492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1649;&#22996;&#20250;2022&#24180;&#37096;&#38376;&#20915;&#31639;&#20844;&#24320;&#36164;&#26009;\2022&#31649;&#22996;&#20250;&#20915;&#31639;&#20844;&#24320;&#22270;&#34920;(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0&#27531;&#32852;&#20915;&#31639;&#20844;&#24320;&#22270;&#34920;(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2&#31649;&#22996;&#20250;&#20915;&#31639;&#20844;&#24320;&#22270;&#349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66915515277571"/>
          <c:y val="0.0297256216466917"/>
          <c:w val="0.943308448472241"/>
          <c:h val="0.846427810981459"/>
        </c:manualLayout>
      </c:layout>
      <c:barChart>
        <c:barDir val="col"/>
        <c:grouping val="clustered"/>
        <c:varyColors val="0"/>
        <c:ser>
          <c:idx val="0"/>
          <c:order val="0"/>
          <c:tx>
            <c:strRef>
              <c:f>Sheet2!$D$4</c:f>
              <c:strCache>
                <c:ptCount val="1"/>
                <c:pt idx="0">
                  <c:v/>
                </c:pt>
              </c:strCache>
            </c:strRef>
          </c:tx>
          <c:invertIfNegative val="0"/>
          <c:dLbls>
            <c:delete val="1"/>
          </c:dLbls>
          <c:cat>
            <c:strRef>
              <c:f>Sheet2!$E$4:$G$4</c:f>
              <c:strCache>
                <c:ptCount val="3"/>
                <c:pt idx="0">
                  <c:v>2021年</c:v>
                </c:pt>
                <c:pt idx="2">
                  <c:v>2022年</c:v>
                </c:pt>
              </c:strCache>
            </c:strRef>
          </c:cat>
          <c:val>
            <c:numRef>
              <c:f>Sheet2!$E$4:$H$4</c:f>
              <c:numCache>
                <c:formatCode>General</c:formatCode>
                <c:ptCount val="4"/>
                <c:pt idx="0">
                  <c:v>0</c:v>
                </c:pt>
                <c:pt idx="2">
                  <c:v>0</c:v>
                </c:pt>
              </c:numCache>
            </c:numRef>
          </c:val>
        </c:ser>
        <c:ser>
          <c:idx val="1"/>
          <c:order val="1"/>
          <c:tx>
            <c:strRef>
              <c:f>Sheet2!$D$5</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Sheet2!$E$4:$G$4</c:f>
              <c:strCache>
                <c:ptCount val="3"/>
                <c:pt idx="0">
                  <c:v>2021年</c:v>
                </c:pt>
                <c:pt idx="2">
                  <c:v>2022年</c:v>
                </c:pt>
              </c:strCache>
            </c:strRef>
          </c:cat>
          <c:val>
            <c:numRef>
              <c:f>Sheet2!$E$5:$G$5</c:f>
              <c:numCache>
                <c:formatCode>General</c:formatCode>
                <c:ptCount val="3"/>
                <c:pt idx="0">
                  <c:v>741.39</c:v>
                </c:pt>
                <c:pt idx="2">
                  <c:v>723.459999999999</c:v>
                </c:pt>
              </c:numCache>
            </c:numRef>
          </c:val>
        </c:ser>
        <c:ser>
          <c:idx val="2"/>
          <c:order val="2"/>
          <c:tx>
            <c:strRef>
              <c:f>Sheet2!$D$6</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Sheet2!$E$4:$G$4</c:f>
              <c:strCache>
                <c:ptCount val="3"/>
                <c:pt idx="0">
                  <c:v>2021年</c:v>
                </c:pt>
                <c:pt idx="2">
                  <c:v>2022年</c:v>
                </c:pt>
              </c:strCache>
            </c:strRef>
          </c:cat>
          <c:val>
            <c:numRef>
              <c:f>Sheet2!$E$6:$H$6</c:f>
              <c:numCache>
                <c:formatCode>General</c:formatCode>
                <c:ptCount val="4"/>
                <c:pt idx="0">
                  <c:v>1286.74</c:v>
                </c:pt>
                <c:pt idx="2">
                  <c:v>739.670000000001</c:v>
                </c:pt>
              </c:numCache>
            </c:numRef>
          </c:val>
        </c:ser>
        <c:dLbls>
          <c:showLegendKey val="0"/>
          <c:showVal val="1"/>
          <c:showCatName val="0"/>
          <c:showSerName val="0"/>
          <c:showPercent val="0"/>
          <c:showBubbleSize val="0"/>
        </c:dLbls>
        <c:gapWidth val="150"/>
        <c:axId val="259757184"/>
        <c:axId val="259758720"/>
      </c:barChart>
      <c:catAx>
        <c:axId val="259757184"/>
        <c:scaling>
          <c:orientation val="minMax"/>
        </c:scaling>
        <c:delete val="0"/>
        <c:axPos val="b"/>
        <c:numFmt formatCode="@"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758720"/>
        <c:crosses val="autoZero"/>
        <c:auto val="1"/>
        <c:lblAlgn val="ctr"/>
        <c:lblOffset val="100"/>
        <c:noMultiLvlLbl val="0"/>
      </c:catAx>
      <c:valAx>
        <c:axId val="2597587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757184"/>
        <c:crosses val="autoZero"/>
        <c:crossBetween val="between"/>
      </c:valAx>
    </c:plotArea>
    <c:legend>
      <c:legendPos val="r"/>
      <c:layout/>
      <c:overlay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600" b="0" i="0" u="none" strike="noStrike" baseline="0">
                <a:solidFill>
                  <a:srgbClr val="000000"/>
                </a:solidFill>
                <a:latin typeface="宋体" panose="02010600030101010101" charset="-122"/>
                <a:ea typeface="宋体" panose="02010600030101010101" charset="-122"/>
              </a:rPr>
              <a:t>图</a:t>
            </a:r>
            <a:r>
              <a:rPr lang="en-US" altLang="zh-CN" sz="1600" b="0" i="0" u="none" strike="noStrike" baseline="0">
                <a:solidFill>
                  <a:srgbClr val="000000"/>
                </a:solidFill>
                <a:latin typeface="宋体" panose="02010600030101010101" charset="-122"/>
                <a:ea typeface="宋体" panose="02010600030101010101" charset="-122"/>
              </a:rPr>
              <a:t>2    </a:t>
            </a:r>
            <a:r>
              <a:rPr lang="zh-CN" altLang="en-US" sz="1600" b="0" i="0" u="none" strike="noStrike" baseline="0">
                <a:solidFill>
                  <a:srgbClr val="000000"/>
                </a:solidFill>
                <a:latin typeface="宋体" panose="02010600030101010101" charset="-122"/>
                <a:ea typeface="宋体" panose="02010600030101010101" charset="-122"/>
              </a:rPr>
              <a:t>收入决算结构图</a:t>
            </a:r>
            <a:endParaRPr lang="zh-CN" altLang="en-US" sz="1600" b="0" i="0" u="none" strike="noStrike" baseline="0">
              <a:solidFill>
                <a:srgbClr val="000000"/>
              </a:solidFill>
              <a:latin typeface="宋体" panose="02010600030101010101" charset="-122"/>
              <a:ea typeface="宋体" panose="02010600030101010101" charset="-122"/>
            </a:endParaRPr>
          </a:p>
        </c:rich>
      </c:tx>
      <c:layout>
        <c:manualLayout>
          <c:xMode val="edge"/>
          <c:yMode val="edge"/>
          <c:x val="0.337607286268706"/>
          <c:y val="0.0332409972299171"/>
        </c:manualLayout>
      </c:layout>
      <c:overlay val="0"/>
      <c:spPr>
        <a:noFill/>
        <a:ln w="25400">
          <a:noFill/>
        </a:ln>
      </c:spPr>
    </c:title>
    <c:autoTitleDeleted val="0"/>
    <c:plotArea>
      <c:layout>
        <c:manualLayout>
          <c:layoutTarget val="inner"/>
          <c:xMode val="edge"/>
          <c:yMode val="edge"/>
          <c:x val="0.209402000703905"/>
          <c:y val="0.329640335061482"/>
          <c:w val="0.245014585857631"/>
          <c:h val="0.47645493807206"/>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numFmt formatCode="0%" sourceLinked="0"/>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Sheet1!$C$3:$C$8</c:f>
              <c:numCache>
                <c:formatCode>General</c:formatCode>
                <c:ptCount val="6"/>
                <c:pt idx="0">
                  <c:v>924.65</c:v>
                </c:pt>
                <c:pt idx="1">
                  <c:v>18798.6299999999</c:v>
                </c:pt>
                <c:pt idx="2">
                  <c:v>0</c:v>
                </c:pt>
                <c:pt idx="3">
                  <c:v>0</c:v>
                </c:pt>
                <c:pt idx="4">
                  <c:v>0</c:v>
                </c:pt>
                <c:pt idx="5">
                  <c:v>0</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delete val="1"/>
          </c:dLbls>
          <c:cat>
            <c:strRef>
              <c:f>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Sheet1!$D$3:$D$8</c:f>
              <c:numCache>
                <c:formatCode>0%</c:formatCode>
                <c:ptCount val="6"/>
                <c:pt idx="0">
                  <c:v>0.047</c:v>
                </c:pt>
                <c:pt idx="1">
                  <c:v>0.953000000000002</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58120555443396"/>
          <c:y val="0.243767603841764"/>
          <c:w val="0.3304847791462"/>
          <c:h val="0.650970401552995"/>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solid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400" b="0" i="0" u="none" strike="noStrike" baseline="0">
                <a:solidFill>
                  <a:srgbClr val="000000"/>
                </a:solidFill>
                <a:latin typeface="宋体" panose="02010600030101010101" charset="-122"/>
                <a:ea typeface="宋体" panose="02010600030101010101" charset="-122"/>
              </a:rPr>
              <a:t>图</a:t>
            </a:r>
            <a:r>
              <a:rPr lang="en-US" altLang="zh-CN" sz="1400" b="0" i="0" u="none" strike="noStrike" baseline="0">
                <a:solidFill>
                  <a:srgbClr val="000000"/>
                </a:solidFill>
                <a:latin typeface="宋体" panose="02010600030101010101" charset="-122"/>
                <a:ea typeface="宋体" panose="02010600030101010101" charset="-122"/>
              </a:rPr>
              <a:t>3    </a:t>
            </a:r>
            <a:r>
              <a:rPr lang="zh-CN" altLang="en-US" sz="1400" b="0" i="0" u="none" strike="noStrike" baseline="0">
                <a:solidFill>
                  <a:srgbClr val="000000"/>
                </a:solidFill>
                <a:latin typeface="宋体" panose="02010600030101010101" charset="-122"/>
                <a:ea typeface="宋体" panose="02010600030101010101" charset="-122"/>
              </a:rPr>
              <a:t>支出决算结构图</a:t>
            </a:r>
            <a:endParaRPr lang="zh-CN" altLang="en-US" sz="1400" b="0" i="0" u="none" strike="noStrike" baseline="0">
              <a:solidFill>
                <a:srgbClr val="000000"/>
              </a:solidFill>
              <a:latin typeface="宋体" panose="02010600030101010101" charset="-122"/>
              <a:ea typeface="宋体" panose="02010600030101010101" charset="-122"/>
            </a:endParaRPr>
          </a:p>
        </c:rich>
      </c:tx>
      <c:layout>
        <c:manualLayout>
          <c:xMode val="edge"/>
          <c:yMode val="edge"/>
          <c:x val="0.35564897484049"/>
          <c:y val="0.0332409972299171"/>
        </c:manualLayout>
      </c:layout>
      <c:overlay val="0"/>
      <c:spPr>
        <a:noFill/>
        <a:ln w="25400">
          <a:noFill/>
        </a:ln>
      </c:spPr>
    </c:title>
    <c:autoTitleDeleted val="0"/>
    <c:plotArea>
      <c:layout>
        <c:manualLayout>
          <c:layoutTarget val="inner"/>
          <c:xMode val="edge"/>
          <c:yMode val="edge"/>
          <c:x val="0.262203983345296"/>
          <c:y val="0.335180508759997"/>
          <c:w val="0.232915240524812"/>
          <c:h val="0.46260450382577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00%" sourceLinked="0"/>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Sheet1!$B$34:$B$38</c:f>
              <c:strCache>
                <c:ptCount val="5"/>
                <c:pt idx="0">
                  <c:v>基本支出</c:v>
                </c:pt>
                <c:pt idx="1">
                  <c:v>项目支出</c:v>
                </c:pt>
                <c:pt idx="2">
                  <c:v>上缴上级支出</c:v>
                </c:pt>
                <c:pt idx="3">
                  <c:v>经营支出</c:v>
                </c:pt>
                <c:pt idx="4">
                  <c:v>对附属单位补助支出</c:v>
                </c:pt>
              </c:strCache>
            </c:strRef>
          </c:cat>
          <c:val>
            <c:numRef>
              <c:f>Sheet1!$C$34:$C$38</c:f>
              <c:numCache>
                <c:formatCode>General</c:formatCode>
                <c:ptCount val="5"/>
                <c:pt idx="0">
                  <c:v>490.729999999999</c:v>
                </c:pt>
                <c:pt idx="1">
                  <c:v>19232.55</c:v>
                </c:pt>
                <c:pt idx="2">
                  <c:v>0</c:v>
                </c:pt>
                <c:pt idx="3">
                  <c:v>0</c:v>
                </c:pt>
                <c:pt idx="4">
                  <c:v>0</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Sheet1!$B$34:$B$38</c:f>
              <c:strCache>
                <c:ptCount val="5"/>
                <c:pt idx="0">
                  <c:v>基本支出</c:v>
                </c:pt>
                <c:pt idx="1">
                  <c:v>项目支出</c:v>
                </c:pt>
                <c:pt idx="2">
                  <c:v>上缴上级支出</c:v>
                </c:pt>
                <c:pt idx="3">
                  <c:v>经营支出</c:v>
                </c:pt>
                <c:pt idx="4">
                  <c:v>对附属单位补助支出</c:v>
                </c:pt>
              </c:strCache>
            </c:strRef>
          </c:cat>
          <c:val>
            <c:numRef>
              <c:f>Sheet1!$D$34:$D$38</c:f>
              <c:numCache>
                <c:formatCode>0.00%</c:formatCode>
                <c:ptCount val="5"/>
                <c:pt idx="0">
                  <c:v>0.025</c:v>
                </c:pt>
                <c:pt idx="1">
                  <c:v>0.975000000000002</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54533800429758"/>
          <c:y val="0.421053213223693"/>
          <c:w val="0.234309916281385"/>
          <c:h val="0.293629099686639"/>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solid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400" b="0" i="0" u="none" strike="noStrike" baseline="0">
                <a:solidFill>
                  <a:srgbClr val="000000"/>
                </a:solidFill>
                <a:latin typeface="宋体" panose="02010600030101010101" charset="-122"/>
                <a:ea typeface="宋体" panose="02010600030101010101" charset="-122"/>
              </a:rPr>
              <a:t>图</a:t>
            </a:r>
            <a:r>
              <a:rPr lang="en-US" altLang="zh-CN" sz="1400" b="0" i="0" u="none" strike="noStrike" baseline="0">
                <a:solidFill>
                  <a:srgbClr val="000000"/>
                </a:solidFill>
                <a:latin typeface="宋体" panose="02010600030101010101" charset="-122"/>
                <a:ea typeface="宋体" panose="02010600030101010101" charset="-122"/>
              </a:rPr>
              <a:t>5      </a:t>
            </a:r>
            <a:r>
              <a:rPr lang="zh-CN" altLang="en-US" sz="1400" b="0" i="0" u="none" strike="noStrike" baseline="0">
                <a:solidFill>
                  <a:srgbClr val="000000"/>
                </a:solidFill>
                <a:latin typeface="宋体" panose="02010600030101010101" charset="-122"/>
                <a:ea typeface="宋体" panose="02010600030101010101" charset="-122"/>
              </a:rPr>
              <a:t>一般公共预算财政拨款支出决算变动情况</a:t>
            </a:r>
            <a:endParaRPr lang="zh-CN" altLang="en-US" sz="1400" b="0" i="0" u="none" strike="noStrike" baseline="0">
              <a:solidFill>
                <a:srgbClr val="000000"/>
              </a:solidFill>
              <a:latin typeface="宋体" panose="02010600030101010101" charset="-122"/>
              <a:ea typeface="宋体" panose="02010600030101010101" charset="-122"/>
            </a:endParaRPr>
          </a:p>
        </c:rich>
      </c:tx>
      <c:layout>
        <c:manualLayout>
          <c:xMode val="edge"/>
          <c:yMode val="edge"/>
          <c:x val="0.185879113813943"/>
          <c:y val="0.033240997229917"/>
        </c:manualLayout>
      </c:layout>
      <c:overlay val="0"/>
      <c:spPr>
        <a:noFill/>
        <a:ln w="25400">
          <a:noFill/>
        </a:ln>
      </c:spPr>
    </c:title>
    <c:autoTitleDeleted val="0"/>
    <c:plotArea>
      <c:layout>
        <c:manualLayout>
          <c:layoutTarget val="inner"/>
          <c:xMode val="edge"/>
          <c:yMode val="edge"/>
          <c:x val="0.0763689298119836"/>
          <c:y val="0.202216339995699"/>
          <c:w val="0.585014820823873"/>
          <c:h val="0.667590930670733"/>
        </c:manualLayout>
      </c:layout>
      <c:barChart>
        <c:barDir val="col"/>
        <c:grouping val="clustered"/>
        <c:varyColors val="0"/>
        <c:ser>
          <c:idx val="0"/>
          <c:order val="0"/>
          <c:tx>
            <c:strRef>
              <c:f>Sheet1!$A$85</c:f>
              <c:strCache>
                <c:ptCount val="1"/>
                <c:pt idx="0">
                  <c:v>一般公共预算财政拨款支出</c:v>
                </c:pt>
              </c:strCache>
            </c:strRef>
          </c:tx>
          <c:spPr>
            <a:solidFill>
              <a:srgbClr val="9999FF"/>
            </a:solidFill>
            <a:ln w="12700">
              <a:solidFill>
                <a:srgbClr val="000000"/>
              </a:solidFill>
              <a:prstDash val="solid"/>
            </a:ln>
          </c:spPr>
          <c:invertIfNegative val="0"/>
          <c:dLbls>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Sheet1!$B$84:$C$84</c:f>
              <c:numCache>
                <c:formatCode>General</c:formatCode>
                <c:ptCount val="2"/>
                <c:pt idx="0">
                  <c:v>2021</c:v>
                </c:pt>
                <c:pt idx="1">
                  <c:v>2022</c:v>
                </c:pt>
              </c:numCache>
            </c:numRef>
          </c:cat>
          <c:val>
            <c:numRef>
              <c:f>Sheet1!$B$85:$C$85</c:f>
              <c:numCache>
                <c:formatCode>General</c:formatCode>
                <c:ptCount val="2"/>
                <c:pt idx="0">
                  <c:v>686.62</c:v>
                </c:pt>
                <c:pt idx="1">
                  <c:v>924.65</c:v>
                </c:pt>
              </c:numCache>
            </c:numRef>
          </c:val>
        </c:ser>
        <c:dLbls>
          <c:showLegendKey val="0"/>
          <c:showVal val="1"/>
          <c:showCatName val="0"/>
          <c:showSerName val="0"/>
          <c:showPercent val="0"/>
          <c:showBubbleSize val="0"/>
        </c:dLbls>
        <c:gapWidth val="150"/>
        <c:axId val="238464000"/>
        <c:axId val="259736320"/>
      </c:barChart>
      <c:catAx>
        <c:axId val="238464000"/>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59736320"/>
        <c:crosses val="autoZero"/>
        <c:auto val="1"/>
        <c:lblAlgn val="ctr"/>
        <c:lblOffset val="100"/>
        <c:tickLblSkip val="1"/>
        <c:noMultiLvlLbl val="0"/>
      </c:catAx>
      <c:valAx>
        <c:axId val="259736320"/>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38464000"/>
        <c:crosses val="autoZero"/>
        <c:crossBetween val="between"/>
      </c:valAx>
      <c:spPr>
        <a:solidFill>
          <a:srgbClr val="C0C0C0"/>
        </a:solidFill>
        <a:ln w="12700">
          <a:solidFill>
            <a:srgbClr val="808080"/>
          </a:solidFill>
          <a:prstDash val="solid"/>
        </a:ln>
      </c:spPr>
    </c:plotArea>
    <c:legend>
      <c:legendPos val="r"/>
      <c:layout>
        <c:manualLayout>
          <c:xMode val="edge"/>
          <c:yMode val="edge"/>
          <c:x val="0.677233883228577"/>
          <c:y val="0.506925789400979"/>
          <c:w val="0.311239344361494"/>
          <c:h val="0.0609418282548476"/>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3175" cap="flat" cmpd="sng" algn="ctr">
      <a:solidFill>
        <a:srgbClr val="000000"/>
      </a:solid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425" b="0" i="0" u="none" strike="noStrike" baseline="0">
                <a:solidFill>
                  <a:srgbClr val="000000"/>
                </a:solidFill>
                <a:latin typeface="宋体" panose="02010600030101010101" charset="-122"/>
                <a:ea typeface="宋体" panose="02010600030101010101" charset="-122"/>
              </a:rPr>
              <a:t>图</a:t>
            </a:r>
            <a:r>
              <a:rPr lang="en-US" altLang="zh-CN" sz="1425" b="0" i="0" u="none" strike="noStrike" baseline="0">
                <a:solidFill>
                  <a:srgbClr val="000000"/>
                </a:solidFill>
                <a:latin typeface="宋体" panose="02010600030101010101" charset="-122"/>
                <a:ea typeface="宋体" panose="02010600030101010101" charset="-122"/>
              </a:rPr>
              <a:t>6    </a:t>
            </a:r>
            <a:r>
              <a:rPr lang="zh-CN" altLang="en-US" sz="1425" b="0" i="0" u="none" strike="noStrike" baseline="0">
                <a:solidFill>
                  <a:srgbClr val="000000"/>
                </a:solidFill>
                <a:latin typeface="宋体" panose="02010600030101010101" charset="-122"/>
                <a:ea typeface="宋体" panose="02010600030101010101" charset="-122"/>
              </a:rPr>
              <a:t>一般公共预算财政拨款支出决算结构</a:t>
            </a:r>
            <a:endParaRPr lang="zh-CN" altLang="en-US" sz="1425" b="0" i="0" u="none" strike="noStrike" baseline="0">
              <a:solidFill>
                <a:srgbClr val="000000"/>
              </a:solidFill>
              <a:latin typeface="宋体" panose="02010600030101010101" charset="-122"/>
              <a:ea typeface="宋体" panose="02010600030101010101" charset="-122"/>
            </a:endParaRPr>
          </a:p>
        </c:rich>
      </c:tx>
      <c:layout>
        <c:manualLayout>
          <c:xMode val="edge"/>
          <c:yMode val="edge"/>
          <c:x val="0.23562412342216"/>
          <c:y val="0.0289855072463768"/>
        </c:manualLayout>
      </c:layout>
      <c:overlay val="0"/>
      <c:spPr>
        <a:noFill/>
        <a:ln w="25400">
          <a:noFill/>
        </a:ln>
      </c:spPr>
    </c:title>
    <c:autoTitleDeleted val="0"/>
    <c:plotArea>
      <c:layout>
        <c:manualLayout>
          <c:layoutTarget val="inner"/>
          <c:xMode val="edge"/>
          <c:yMode val="edge"/>
          <c:x val="0.255259467040673"/>
          <c:y val="0.372671560946317"/>
          <c:w val="0.246844319775597"/>
          <c:h val="0.364389970703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numFmt formatCode="0.00%" sourceLinked="0"/>
            <c:spPr>
              <a:noFill/>
              <a:ln w="25400">
                <a:noFill/>
              </a:ln>
              <a:effectLst/>
            </c:spPr>
            <c:txPr>
              <a:bodyPr rot="0" spcFirstLastPara="0" vertOverflow="ellipsis" vert="horz" wrap="square" lIns="38100" tIns="19050" rIns="38100" bIns="19050" anchor="ctr" anchorCtr="1"/>
              <a:lstStyle/>
              <a:p>
                <a:pPr>
                  <a:defRPr lang="zh-CN" sz="10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Sheet1!$A$110:$A$115</c:f>
              <c:strCache>
                <c:ptCount val="6"/>
                <c:pt idx="0">
                  <c:v>一般公共服务支出</c:v>
                </c:pt>
                <c:pt idx="1">
                  <c:v>卫生健康支出</c:v>
                </c:pt>
                <c:pt idx="2">
                  <c:v>社会保障和就业支出</c:v>
                </c:pt>
                <c:pt idx="3">
                  <c:v>农林水支出</c:v>
                </c:pt>
                <c:pt idx="4">
                  <c:v>住房保障支出</c:v>
                </c:pt>
                <c:pt idx="5">
                  <c:v>节能环保支出</c:v>
                </c:pt>
              </c:strCache>
            </c:strRef>
          </c:cat>
          <c:val>
            <c:numRef>
              <c:f>Sheet1!$B$110:$B$115</c:f>
              <c:numCache>
                <c:formatCode>General</c:formatCode>
                <c:ptCount val="6"/>
                <c:pt idx="0">
                  <c:v>517.07</c:v>
                </c:pt>
                <c:pt idx="1">
                  <c:v>38.62</c:v>
                </c:pt>
                <c:pt idx="2">
                  <c:v>35.32</c:v>
                </c:pt>
                <c:pt idx="3">
                  <c:v>200</c:v>
                </c:pt>
                <c:pt idx="4">
                  <c:v>37.54</c:v>
                </c:pt>
                <c:pt idx="5">
                  <c:v>96.1</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delete val="1"/>
          </c:dLbls>
          <c:cat>
            <c:strRef>
              <c:f>Sheet1!$A$110:$A$115</c:f>
              <c:strCache>
                <c:ptCount val="6"/>
                <c:pt idx="0">
                  <c:v>一般公共服务支出</c:v>
                </c:pt>
                <c:pt idx="1">
                  <c:v>卫生健康支出</c:v>
                </c:pt>
                <c:pt idx="2">
                  <c:v>社会保障和就业支出</c:v>
                </c:pt>
                <c:pt idx="3">
                  <c:v>农林水支出</c:v>
                </c:pt>
                <c:pt idx="4">
                  <c:v>住房保障支出</c:v>
                </c:pt>
                <c:pt idx="5">
                  <c:v>节能环保支出</c:v>
                </c:pt>
              </c:strCache>
            </c:strRef>
          </c:cat>
          <c:val>
            <c:numRef>
              <c:f>Sheet1!$C$110:$C$115</c:f>
              <c:numCache>
                <c:formatCode>0%</c:formatCode>
                <c:ptCount val="6"/>
                <c:pt idx="0">
                  <c:v>0.559</c:v>
                </c:pt>
                <c:pt idx="1" c:formatCode="0.00%">
                  <c:v>0.042</c:v>
                </c:pt>
                <c:pt idx="2" c:formatCode="0.00%">
                  <c:v>0.038</c:v>
                </c:pt>
                <c:pt idx="3" c:formatCode="0.00%">
                  <c:v>0.316000000000001</c:v>
                </c:pt>
                <c:pt idx="4" c:formatCode="0.00%">
                  <c:v>0.041</c:v>
                </c:pt>
                <c:pt idx="5" c:formatCode="0.00%">
                  <c:v>0.104</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53155680224407"/>
          <c:y val="0.424431511278482"/>
          <c:w val="0.23562412342216"/>
          <c:h val="0.262940393320403"/>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solid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400" b="0" i="0" u="none" strike="noStrike" baseline="0">
                <a:solidFill>
                  <a:srgbClr val="000000"/>
                </a:solidFill>
                <a:latin typeface="宋体" panose="02010600030101010101" charset="-122"/>
                <a:ea typeface="宋体" panose="02010600030101010101" charset="-122"/>
              </a:rPr>
              <a:t>图</a:t>
            </a:r>
            <a:r>
              <a:rPr lang="en-US" altLang="zh-CN" sz="1400" b="0" i="0" u="none" strike="noStrike" baseline="0">
                <a:solidFill>
                  <a:srgbClr val="000000"/>
                </a:solidFill>
                <a:latin typeface="宋体" panose="02010600030101010101" charset="-122"/>
                <a:ea typeface="宋体" panose="02010600030101010101" charset="-122"/>
              </a:rPr>
              <a:t>7   “</a:t>
            </a:r>
            <a:r>
              <a:rPr lang="zh-CN" altLang="en-US" sz="1400" b="0" i="0" u="none" strike="noStrike" baseline="0">
                <a:solidFill>
                  <a:srgbClr val="000000"/>
                </a:solidFill>
                <a:latin typeface="宋体" panose="02010600030101010101" charset="-122"/>
                <a:ea typeface="宋体" panose="02010600030101010101" charset="-122"/>
              </a:rPr>
              <a:t>三公”经费财政拨款支出结构</a:t>
            </a:r>
            <a:endParaRPr lang="zh-CN" altLang="en-US" sz="1400" b="0" i="0" u="none" strike="noStrike" baseline="0">
              <a:solidFill>
                <a:srgbClr val="000000"/>
              </a:solidFill>
              <a:latin typeface="宋体" panose="02010600030101010101" charset="-122"/>
              <a:ea typeface="宋体" panose="02010600030101010101" charset="-122"/>
            </a:endParaRPr>
          </a:p>
        </c:rich>
      </c:tx>
      <c:layout>
        <c:manualLayout>
          <c:xMode val="edge"/>
          <c:yMode val="edge"/>
          <c:x val="0.262247989894635"/>
          <c:y val="0.0332409972299171"/>
        </c:manualLayout>
      </c:layout>
      <c:overlay val="0"/>
      <c:spPr>
        <a:noFill/>
        <a:ln w="25400">
          <a:noFill/>
        </a:ln>
      </c:spPr>
    </c:title>
    <c:autoTitleDeleted val="0"/>
    <c:plotArea>
      <c:layout>
        <c:manualLayout>
          <c:layoutTarget val="inner"/>
          <c:xMode val="edge"/>
          <c:yMode val="edge"/>
          <c:x val="0.244956944679947"/>
          <c:y val="0.404432679991398"/>
          <c:w val="0.168588014867964"/>
          <c:h val="0.324100161362973"/>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numFmt formatCode="0%" sourceLinked="0"/>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Sheet1!$B$140:$B$142</c:f>
              <c:strCache>
                <c:ptCount val="3"/>
                <c:pt idx="0">
                  <c:v>因公出国（境）费支出</c:v>
                </c:pt>
                <c:pt idx="1">
                  <c:v>公务用车购置及运行维护费支出</c:v>
                </c:pt>
                <c:pt idx="2">
                  <c:v>公务接待费支出</c:v>
                </c:pt>
              </c:strCache>
            </c:strRef>
          </c:cat>
          <c:val>
            <c:numRef>
              <c:f>Sheet1!$C$140:$C$142</c:f>
              <c:numCache>
                <c:formatCode>General</c:formatCode>
                <c:ptCount val="3"/>
                <c:pt idx="0">
                  <c:v>0</c:v>
                </c:pt>
                <c:pt idx="1">
                  <c:v>0</c:v>
                </c:pt>
                <c:pt idx="2">
                  <c:v>0.13</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elete val="1"/>
          </c:dLbls>
          <c:cat>
            <c:strRef>
              <c:f>Sheet1!$B$140:$B$142</c:f>
              <c:strCache>
                <c:ptCount val="3"/>
                <c:pt idx="0">
                  <c:v>因公出国（境）费支出</c:v>
                </c:pt>
                <c:pt idx="1">
                  <c:v>公务用车购置及运行维护费支出</c:v>
                </c:pt>
                <c:pt idx="2">
                  <c:v>公务接待费支出</c:v>
                </c:pt>
              </c:strCache>
            </c:strRef>
          </c:cat>
          <c:val>
            <c:numRef>
              <c:f>Sheet1!$D$140:$D$142</c:f>
              <c:numCache>
                <c:formatCode>General</c:formatCode>
                <c:ptCount val="3"/>
                <c:pt idx="0">
                  <c:v>0</c:v>
                </c:pt>
                <c:pt idx="2" c:formatCode="0%">
                  <c:v>1</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54179128185347"/>
          <c:y val="0.404432714608735"/>
          <c:w val="0.334294250682644"/>
          <c:h val="0.326870387738931"/>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solid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C8DE5-AF1E-4CBF-95ED-5FEC14C473E8}">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63</Pages>
  <Words>3294</Words>
  <Characters>18782</Characters>
  <Lines>156</Lines>
  <Paragraphs>44</Paragraphs>
  <TotalTime>1254</TotalTime>
  <ScaleCrop>false</ScaleCrop>
  <LinksUpToDate>false</LinksUpToDate>
  <CharactersWithSpaces>22032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2023-10-11T02:25:00Z</dcterms:created>
  <dc:creator>曹颖</dc:creator>
  <cp:lastModifiedBy>梁桂萍</cp:lastModifiedBy>
  <cp:lastPrinted>2023-10-26T04:20:00Z</cp:lastPrinted>
  <dcterms:modified xsi:type="dcterms:W3CDTF">2024-10-24T03:39:07Z</dcterms:modified>
  <dc:title>四川省***</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02DAE8E0F221489FA7CEAED8CC4DEB88_12</vt:lpwstr>
  </property>
</Properties>
</file>