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7193"/>
      <w:bookmarkStart w:id="1" w:name="_Toc15396475"/>
      <w:bookmarkStart w:id="2" w:name="_Toc15378441"/>
      <w:bookmarkStart w:id="3" w:name="_Toc15396597"/>
      <w:bookmarkStart w:id="4" w:name="_Toc15377425"/>
      <w:bookmarkStart w:id="5" w:name="_Toc15306267"/>
      <w:bookmarkStart w:id="265" w:name="_GoBack"/>
      <w:bookmarkEnd w:id="265"/>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hint="eastAsia" w:ascii="黑体" w:hAnsi="黑体" w:eastAsia="黑体" w:cs="黑体"/>
          <w:sz w:val="72"/>
          <w:szCs w:val="72"/>
        </w:rPr>
      </w:pPr>
    </w:p>
    <w:p>
      <w:pPr>
        <w:adjustRightInd w:val="0"/>
        <w:snapToGrid w:val="0"/>
        <w:spacing w:line="360" w:lineRule="auto"/>
        <w:jc w:val="center"/>
        <w:outlineLvl w:val="0"/>
        <w:rPr>
          <w:rFonts w:hint="eastAsia" w:ascii="黑体" w:hAnsi="黑体" w:eastAsia="黑体" w:cs="黑体"/>
          <w:sz w:val="72"/>
          <w:szCs w:val="72"/>
        </w:rPr>
      </w:pPr>
      <w:bookmarkStart w:id="6" w:name="_Toc28514"/>
      <w:r>
        <w:rPr>
          <w:rFonts w:hint="eastAsia" w:ascii="黑体" w:hAnsi="黑体" w:eastAsia="黑体" w:cs="黑体"/>
          <w:sz w:val="72"/>
          <w:szCs w:val="72"/>
        </w:rPr>
        <w:t>2021年度</w:t>
      </w:r>
      <w:bookmarkEnd w:id="0"/>
      <w:bookmarkEnd w:id="1"/>
      <w:bookmarkEnd w:id="2"/>
      <w:bookmarkEnd w:id="3"/>
      <w:bookmarkEnd w:id="4"/>
      <w:bookmarkEnd w:id="6"/>
    </w:p>
    <w:bookmarkEnd w:id="5"/>
    <w:p>
      <w:pPr>
        <w:adjustRightInd w:val="0"/>
        <w:snapToGrid w:val="0"/>
        <w:spacing w:line="360" w:lineRule="auto"/>
        <w:jc w:val="center"/>
        <w:outlineLvl w:val="0"/>
        <w:rPr>
          <w:rFonts w:hint="eastAsia" w:ascii="黑体" w:hAnsi="黑体" w:eastAsia="黑体" w:cs="黑体"/>
          <w:sz w:val="72"/>
          <w:szCs w:val="72"/>
        </w:rPr>
      </w:pPr>
      <w:bookmarkStart w:id="7" w:name="_Toc15396598"/>
      <w:bookmarkStart w:id="8" w:name="_Toc15378442"/>
      <w:bookmarkStart w:id="9" w:name="_Toc27116"/>
      <w:bookmarkStart w:id="10" w:name="_Toc15377194"/>
      <w:bookmarkStart w:id="11" w:name="_Toc15396476"/>
      <w:bookmarkStart w:id="12" w:name="_Toc15377426"/>
      <w:bookmarkStart w:id="13" w:name="_Toc15306268"/>
      <w:r>
        <w:rPr>
          <w:rFonts w:hint="eastAsia" w:ascii="黑体" w:hAnsi="黑体" w:eastAsia="黑体" w:cs="黑体"/>
          <w:sz w:val="72"/>
          <w:szCs w:val="72"/>
        </w:rPr>
        <w:t>盐边县红果彝族乡人民政府部门决算</w:t>
      </w:r>
      <w:bookmarkEnd w:id="7"/>
      <w:bookmarkEnd w:id="8"/>
      <w:bookmarkEnd w:id="9"/>
      <w:bookmarkEnd w:id="10"/>
      <w:bookmarkEnd w:id="11"/>
      <w:bookmarkEnd w:id="12"/>
      <w:bookmarkEnd w:id="13"/>
    </w:p>
    <w:p>
      <w:pPr>
        <w:widowControl/>
        <w:jc w:val="center"/>
        <w:rPr>
          <w:rFonts w:ascii="方正小标宋简体" w:hAnsi="宋体" w:eastAsia="方正小标宋简体"/>
          <w:sz w:val="72"/>
          <w:szCs w:val="72"/>
        </w:rPr>
      </w:pPr>
    </w:p>
    <w:p>
      <w:pPr>
        <w:widowControl/>
        <w:jc w:val="center"/>
        <w:rPr>
          <w:rFonts w:ascii="方正小标宋简体" w:hAnsi="宋体" w:eastAsia="方正小标宋简体"/>
          <w:sz w:val="72"/>
          <w:szCs w:val="72"/>
        </w:rPr>
      </w:pPr>
    </w:p>
    <w:p>
      <w:pPr>
        <w:widowControl/>
        <w:jc w:val="center"/>
        <w:rPr>
          <w:rFonts w:ascii="方正小标宋简体" w:hAnsi="宋体" w:eastAsia="方正小标宋简体"/>
          <w:sz w:val="72"/>
          <w:szCs w:val="72"/>
        </w:rPr>
      </w:pPr>
    </w:p>
    <w:p>
      <w:pPr>
        <w:widowControl/>
        <w:jc w:val="center"/>
        <w:rPr>
          <w:rFonts w:hint="eastAsia" w:ascii="黑体" w:hAnsi="黑体" w:eastAsia="黑体"/>
          <w:sz w:val="48"/>
          <w:szCs w:val="48"/>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pStyle w:val="14"/>
        <w:adjustRightInd w:val="0"/>
        <w:snapToGrid w:val="0"/>
        <w:spacing w:before="0" w:line="440" w:lineRule="exact"/>
        <w:jc w:val="left"/>
        <w:rPr>
          <w:sz w:val="24"/>
        </w:rPr>
      </w:pPr>
    </w:p>
    <w:sdt>
      <w:sdtPr>
        <w:rPr>
          <w:rFonts w:ascii="宋体" w:hAnsi="宋体" w:eastAsia="宋体" w:cs="Times New Roman"/>
          <w:kern w:val="2"/>
          <w:sz w:val="21"/>
          <w:szCs w:val="24"/>
          <w:lang w:val="en-US" w:eastAsia="zh-CN" w:bidi="ar-SA"/>
        </w:rPr>
        <w:id w:val="147462371"/>
        <w:docPartObj>
          <w:docPartGallery w:val="Table of Contents"/>
          <w:docPartUnique/>
        </w:docPartObj>
      </w:sdtPr>
      <w:sdtEndPr>
        <w:rPr>
          <w:rFonts w:ascii="Calibri" w:hAnsi="Calibri" w:eastAsia="宋体" w:cs="Times New Roman"/>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sz w:val="48"/>
              <w:szCs w:val="48"/>
            </w:rPr>
          </w:pPr>
          <w:bookmarkStart w:id="14" w:name="_Toc553_WPSOffice_Type2"/>
          <w:r>
            <w:rPr>
              <w:rFonts w:hint="eastAsia" w:ascii="黑体" w:hAnsi="黑体" w:eastAsia="黑体" w:cs="黑体"/>
              <w:sz w:val="48"/>
              <w:szCs w:val="48"/>
            </w:rPr>
            <w:t>目录</w:t>
          </w:r>
        </w:p>
        <w:p>
          <w:pPr>
            <w:pStyle w:val="2"/>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公开时间：2022年XX月XX日</w:t>
          </w:r>
        </w:p>
        <w:p>
          <w:pPr>
            <w:pStyle w:val="37"/>
            <w:tabs>
              <w:tab w:val="right" w:leader="dot" w:pos="830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_Toc16830_WPSOffice_Level1 </w:instrText>
          </w:r>
          <w:r>
            <w:rPr>
              <w:rFonts w:hint="eastAsia" w:ascii="仿宋" w:hAnsi="仿宋" w:eastAsia="仿宋" w:cs="仿宋"/>
              <w:b w:val="0"/>
              <w:bCs w:val="0"/>
              <w:sz w:val="24"/>
              <w:szCs w:val="24"/>
            </w:rPr>
            <w:fldChar w:fldCharType="separate"/>
          </w:r>
          <w:sdt>
            <w:sdtPr>
              <w:rPr>
                <w:rFonts w:hint="eastAsia" w:ascii="仿宋" w:hAnsi="仿宋" w:eastAsia="仿宋" w:cs="仿宋"/>
                <w:b w:val="0"/>
                <w:bCs w:val="0"/>
                <w:kern w:val="2"/>
                <w:sz w:val="24"/>
                <w:szCs w:val="24"/>
                <w:lang w:val="en-US" w:eastAsia="zh-CN" w:bidi="ar-SA"/>
              </w:rPr>
              <w:id w:val="147462371"/>
              <w:placeholder>
                <w:docPart w:val="{ec9dbf86-4688-4ea7-a56f-a4826145de0a}"/>
              </w:placeholder>
            </w:sdtPr>
            <w:sdtEndPr>
              <w:rPr>
                <w:rFonts w:hint="eastAsia" w:ascii="仿宋" w:hAnsi="仿宋" w:eastAsia="仿宋" w:cs="仿宋"/>
                <w:b w:val="0"/>
                <w:bCs w:val="0"/>
                <w:kern w:val="2"/>
                <w:sz w:val="24"/>
                <w:szCs w:val="24"/>
                <w:lang w:val="en-US" w:eastAsia="zh-CN" w:bidi="ar-SA"/>
              </w:rPr>
            </w:sdtEndPr>
            <w:sdtContent>
              <w:r>
                <w:rPr>
                  <w:rFonts w:hint="eastAsia" w:ascii="仿宋" w:hAnsi="仿宋" w:eastAsia="仿宋" w:cs="仿宋"/>
                  <w:b w:val="0"/>
                  <w:bCs w:val="0"/>
                  <w:sz w:val="24"/>
                  <w:szCs w:val="24"/>
                </w:rPr>
                <w:t>第一部分 部门概况</w:t>
              </w:r>
            </w:sdtContent>
          </w:sdt>
          <w:r>
            <w:rPr>
              <w:rFonts w:hint="eastAsia" w:ascii="仿宋" w:hAnsi="仿宋" w:eastAsia="仿宋" w:cs="仿宋"/>
              <w:b w:val="0"/>
              <w:bCs w:val="0"/>
              <w:sz w:val="24"/>
              <w:szCs w:val="24"/>
            </w:rPr>
            <w:tab/>
          </w:r>
          <w:bookmarkStart w:id="15" w:name="_Toc16830_WPSOffice_Level1Page"/>
          <w:r>
            <w:rPr>
              <w:rFonts w:hint="eastAsia" w:ascii="仿宋" w:hAnsi="仿宋" w:eastAsia="仿宋" w:cs="仿宋"/>
              <w:b w:val="0"/>
              <w:bCs w:val="0"/>
              <w:sz w:val="24"/>
              <w:szCs w:val="24"/>
            </w:rPr>
            <w:t>1</w:t>
          </w:r>
          <w:bookmarkEnd w:id="15"/>
          <w:r>
            <w:rPr>
              <w:rFonts w:hint="eastAsia" w:ascii="仿宋" w:hAnsi="仿宋" w:eastAsia="仿宋" w:cs="仿宋"/>
              <w:b w:val="0"/>
              <w:bCs w:val="0"/>
              <w:sz w:val="24"/>
              <w:szCs w:val="24"/>
            </w:rPr>
            <w:fldChar w:fldCharType="end"/>
          </w:r>
        </w:p>
        <w:p>
          <w:pPr>
            <w:pStyle w:val="3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_Toc553_WPSOffice_Level2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2371"/>
              <w:placeholder>
                <w:docPart w:val="{bdf15c61-6a34-4171-87fc-1ecc597e8b16}"/>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一、基本职能及主要工作</w:t>
              </w:r>
            </w:sdtContent>
          </w:sdt>
          <w:r>
            <w:rPr>
              <w:rFonts w:hint="eastAsia" w:ascii="宋体" w:hAnsi="宋体" w:eastAsia="宋体" w:cs="宋体"/>
              <w:sz w:val="24"/>
              <w:szCs w:val="24"/>
            </w:rPr>
            <w:tab/>
          </w:r>
          <w:bookmarkStart w:id="16" w:name="_Toc553_WPSOffice_Level2Page"/>
          <w:r>
            <w:rPr>
              <w:rFonts w:hint="eastAsia" w:ascii="宋体" w:hAnsi="宋体" w:eastAsia="宋体" w:cs="宋体"/>
              <w:sz w:val="24"/>
              <w:szCs w:val="24"/>
            </w:rPr>
            <w:t>1</w:t>
          </w:r>
          <w:bookmarkEnd w:id="16"/>
          <w:r>
            <w:rPr>
              <w:rFonts w:hint="eastAsia" w:ascii="宋体" w:hAnsi="宋体" w:eastAsia="宋体" w:cs="宋体"/>
              <w:sz w:val="24"/>
              <w:szCs w:val="24"/>
            </w:rPr>
            <w:fldChar w:fldCharType="end"/>
          </w:r>
        </w:p>
        <w:p>
          <w:pPr>
            <w:pStyle w:val="38"/>
            <w:tabs>
              <w:tab w:val="right" w:leader="dot" w:pos="8306"/>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_Toc22294_WPSOffice_Level2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2371"/>
              <w:placeholder>
                <w:docPart w:val="{ba76f1c0-b5c8-4e99-8a8c-6ee72ce2204b}"/>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二、机构设置</w:t>
              </w:r>
            </w:sdtContent>
          </w:sdt>
          <w:r>
            <w:rPr>
              <w:rFonts w:hint="eastAsia" w:ascii="宋体" w:hAnsi="宋体" w:eastAsia="宋体" w:cs="宋体"/>
              <w:sz w:val="24"/>
              <w:szCs w:val="24"/>
            </w:rPr>
            <w:tab/>
          </w:r>
          <w:bookmarkStart w:id="17" w:name="_Toc22294_WPSOffice_Level2Page"/>
          <w:r>
            <w:rPr>
              <w:rFonts w:hint="eastAsia" w:ascii="宋体" w:hAnsi="宋体" w:eastAsia="宋体" w:cs="宋体"/>
              <w:sz w:val="24"/>
              <w:szCs w:val="24"/>
            </w:rPr>
            <w:t>4</w:t>
          </w:r>
          <w:bookmarkEnd w:id="17"/>
          <w:r>
            <w:rPr>
              <w:rFonts w:hint="eastAsia" w:ascii="宋体" w:hAnsi="宋体" w:eastAsia="宋体" w:cs="宋体"/>
              <w:sz w:val="24"/>
              <w:szCs w:val="24"/>
            </w:rPr>
            <w:fldChar w:fldCharType="end"/>
          </w:r>
        </w:p>
        <w:p>
          <w:pPr>
            <w:pStyle w:val="37"/>
            <w:tabs>
              <w:tab w:val="right" w:leader="dot" w:pos="830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_Toc553_WPSOffice_Level1 </w:instrText>
          </w:r>
          <w:r>
            <w:rPr>
              <w:rFonts w:hint="eastAsia" w:ascii="仿宋" w:hAnsi="仿宋" w:eastAsia="仿宋" w:cs="仿宋"/>
              <w:b w:val="0"/>
              <w:bCs w:val="0"/>
              <w:sz w:val="24"/>
              <w:szCs w:val="24"/>
            </w:rPr>
            <w:fldChar w:fldCharType="separate"/>
          </w:r>
          <w:sdt>
            <w:sdtPr>
              <w:rPr>
                <w:rFonts w:hint="eastAsia" w:ascii="仿宋" w:hAnsi="仿宋" w:eastAsia="仿宋" w:cs="仿宋"/>
                <w:b w:val="0"/>
                <w:bCs w:val="0"/>
                <w:kern w:val="2"/>
                <w:sz w:val="24"/>
                <w:szCs w:val="24"/>
                <w:lang w:val="en-US" w:eastAsia="zh-CN" w:bidi="ar-SA"/>
              </w:rPr>
              <w:id w:val="147462371"/>
              <w:placeholder>
                <w:docPart w:val="{0b951ec4-f926-4e2f-b15f-30a74e2def25}"/>
              </w:placeholder>
            </w:sdtPr>
            <w:sdtEndPr>
              <w:rPr>
                <w:rFonts w:hint="eastAsia" w:ascii="仿宋" w:hAnsi="仿宋" w:eastAsia="仿宋" w:cs="仿宋"/>
                <w:b w:val="0"/>
                <w:bCs w:val="0"/>
                <w:kern w:val="2"/>
                <w:sz w:val="24"/>
                <w:szCs w:val="24"/>
                <w:lang w:val="en-US" w:eastAsia="zh-CN" w:bidi="ar-SA"/>
              </w:rPr>
            </w:sdtEndPr>
            <w:sdtContent>
              <w:r>
                <w:rPr>
                  <w:rFonts w:hint="eastAsia" w:ascii="仿宋" w:hAnsi="仿宋" w:eastAsia="仿宋" w:cs="仿宋"/>
                  <w:b w:val="0"/>
                  <w:bCs w:val="0"/>
                  <w:sz w:val="24"/>
                  <w:szCs w:val="24"/>
                </w:rPr>
                <w:t>第二部分 2021年度部门决算情况说明</w:t>
              </w:r>
            </w:sdtContent>
          </w:sdt>
          <w:r>
            <w:rPr>
              <w:rFonts w:hint="eastAsia" w:ascii="仿宋" w:hAnsi="仿宋" w:eastAsia="仿宋" w:cs="仿宋"/>
              <w:b w:val="0"/>
              <w:bCs w:val="0"/>
              <w:sz w:val="24"/>
              <w:szCs w:val="24"/>
            </w:rPr>
            <w:tab/>
          </w:r>
          <w:bookmarkStart w:id="18" w:name="_Toc553_WPSOffice_Level1Page"/>
          <w:r>
            <w:rPr>
              <w:rFonts w:hint="eastAsia" w:ascii="仿宋" w:hAnsi="仿宋" w:eastAsia="仿宋" w:cs="仿宋"/>
              <w:b w:val="0"/>
              <w:bCs w:val="0"/>
              <w:sz w:val="24"/>
              <w:szCs w:val="24"/>
            </w:rPr>
            <w:t>5</w:t>
          </w:r>
          <w:bookmarkEnd w:id="18"/>
          <w:r>
            <w:rPr>
              <w:rFonts w:hint="eastAsia" w:ascii="仿宋" w:hAnsi="仿宋" w:eastAsia="仿宋" w:cs="仿宋"/>
              <w:b w:val="0"/>
              <w:bCs w:val="0"/>
              <w:sz w:val="24"/>
              <w:szCs w:val="24"/>
            </w:rPr>
            <w:fldChar w:fldCharType="end"/>
          </w:r>
        </w:p>
        <w:p>
          <w:pPr>
            <w:pStyle w:val="3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_Toc22596_WPSOffice_Level2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2371"/>
              <w:placeholder>
                <w:docPart w:val="{17bc3b49-b4b4-4a13-8cac-d39c100c646d}"/>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一、 收入支出决算总体情况说明</w:t>
              </w:r>
            </w:sdtContent>
          </w:sdt>
          <w:r>
            <w:rPr>
              <w:rFonts w:hint="eastAsia" w:ascii="宋体" w:hAnsi="宋体" w:eastAsia="宋体" w:cs="宋体"/>
              <w:sz w:val="24"/>
              <w:szCs w:val="24"/>
            </w:rPr>
            <w:tab/>
          </w:r>
          <w:bookmarkStart w:id="19" w:name="_Toc22596_WPSOffice_Level2Page"/>
          <w:r>
            <w:rPr>
              <w:rFonts w:hint="eastAsia" w:ascii="宋体" w:hAnsi="宋体" w:eastAsia="宋体" w:cs="宋体"/>
              <w:sz w:val="24"/>
              <w:szCs w:val="24"/>
            </w:rPr>
            <w:t>5</w:t>
          </w:r>
          <w:bookmarkEnd w:id="19"/>
          <w:r>
            <w:rPr>
              <w:rFonts w:hint="eastAsia" w:ascii="宋体" w:hAnsi="宋体" w:eastAsia="宋体" w:cs="宋体"/>
              <w:sz w:val="24"/>
              <w:szCs w:val="24"/>
            </w:rPr>
            <w:fldChar w:fldCharType="end"/>
          </w:r>
        </w:p>
        <w:p>
          <w:pPr>
            <w:pStyle w:val="3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_Toc8780_WPSOffice_Level2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2371"/>
              <w:placeholder>
                <w:docPart w:val="{bf748bf8-b564-4163-b1ba-94d960d7f81c}"/>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二、 收入决算情况说明</w:t>
              </w:r>
            </w:sdtContent>
          </w:sdt>
          <w:r>
            <w:rPr>
              <w:rFonts w:hint="eastAsia" w:ascii="宋体" w:hAnsi="宋体" w:eastAsia="宋体" w:cs="宋体"/>
              <w:sz w:val="24"/>
              <w:szCs w:val="24"/>
            </w:rPr>
            <w:tab/>
          </w:r>
          <w:bookmarkStart w:id="20" w:name="_Toc8780_WPSOffice_Level2Page"/>
          <w:r>
            <w:rPr>
              <w:rFonts w:hint="eastAsia" w:ascii="宋体" w:hAnsi="宋体" w:eastAsia="宋体" w:cs="宋体"/>
              <w:sz w:val="24"/>
              <w:szCs w:val="24"/>
            </w:rPr>
            <w:t>6</w:t>
          </w:r>
          <w:bookmarkEnd w:id="20"/>
          <w:r>
            <w:rPr>
              <w:rFonts w:hint="eastAsia" w:ascii="宋体" w:hAnsi="宋体" w:eastAsia="宋体" w:cs="宋体"/>
              <w:sz w:val="24"/>
              <w:szCs w:val="24"/>
            </w:rPr>
            <w:fldChar w:fldCharType="end"/>
          </w:r>
        </w:p>
        <w:p>
          <w:pPr>
            <w:pStyle w:val="3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_Toc13101_WPSOffice_Level2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2371"/>
              <w:placeholder>
                <w:docPart w:val="{46d26f88-6989-4753-9642-4f5d30eb6e04}"/>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三、 支出决算情况说明</w:t>
              </w:r>
            </w:sdtContent>
          </w:sdt>
          <w:r>
            <w:rPr>
              <w:rFonts w:hint="eastAsia" w:ascii="宋体" w:hAnsi="宋体" w:eastAsia="宋体" w:cs="宋体"/>
              <w:sz w:val="24"/>
              <w:szCs w:val="24"/>
            </w:rPr>
            <w:tab/>
          </w:r>
          <w:bookmarkStart w:id="21" w:name="_Toc13101_WPSOffice_Level2Page"/>
          <w:r>
            <w:rPr>
              <w:rFonts w:hint="eastAsia" w:ascii="宋体" w:hAnsi="宋体" w:eastAsia="宋体" w:cs="宋体"/>
              <w:sz w:val="24"/>
              <w:szCs w:val="24"/>
            </w:rPr>
            <w:t>6</w:t>
          </w:r>
          <w:bookmarkEnd w:id="21"/>
          <w:r>
            <w:rPr>
              <w:rFonts w:hint="eastAsia" w:ascii="宋体" w:hAnsi="宋体" w:eastAsia="宋体" w:cs="宋体"/>
              <w:sz w:val="24"/>
              <w:szCs w:val="24"/>
            </w:rPr>
            <w:fldChar w:fldCharType="end"/>
          </w:r>
        </w:p>
        <w:p>
          <w:pPr>
            <w:pStyle w:val="3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_Toc27789_WPSOffice_Level2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2371"/>
              <w:placeholder>
                <w:docPart w:val="{097c2f73-cca9-40c6-9d18-9491d58d9a25}"/>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四、财政拨款收入支出决算总体情况说明</w:t>
              </w:r>
            </w:sdtContent>
          </w:sdt>
          <w:r>
            <w:rPr>
              <w:rFonts w:hint="eastAsia" w:ascii="宋体" w:hAnsi="宋体" w:eastAsia="宋体" w:cs="宋体"/>
              <w:sz w:val="24"/>
              <w:szCs w:val="24"/>
            </w:rPr>
            <w:tab/>
          </w:r>
          <w:bookmarkStart w:id="22" w:name="_Toc27789_WPSOffice_Level2Page"/>
          <w:r>
            <w:rPr>
              <w:rFonts w:hint="eastAsia" w:ascii="宋体" w:hAnsi="宋体" w:eastAsia="宋体" w:cs="宋体"/>
              <w:sz w:val="24"/>
              <w:szCs w:val="24"/>
            </w:rPr>
            <w:t>7</w:t>
          </w:r>
          <w:bookmarkEnd w:id="22"/>
          <w:r>
            <w:rPr>
              <w:rFonts w:hint="eastAsia" w:ascii="宋体" w:hAnsi="宋体" w:eastAsia="宋体" w:cs="宋体"/>
              <w:sz w:val="24"/>
              <w:szCs w:val="24"/>
            </w:rPr>
            <w:fldChar w:fldCharType="end"/>
          </w:r>
        </w:p>
        <w:p>
          <w:pPr>
            <w:pStyle w:val="3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_Toc4499_WPSOffice_Level2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2371"/>
              <w:placeholder>
                <w:docPart w:val="{3e07ace1-8e8f-4096-86cf-d5357148e07c}"/>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五、一般公共预算财政拨款支出决算情况说明</w:t>
              </w:r>
            </w:sdtContent>
          </w:sdt>
          <w:r>
            <w:rPr>
              <w:rFonts w:hint="eastAsia" w:ascii="宋体" w:hAnsi="宋体" w:eastAsia="宋体" w:cs="宋体"/>
              <w:sz w:val="24"/>
              <w:szCs w:val="24"/>
            </w:rPr>
            <w:tab/>
          </w:r>
          <w:bookmarkStart w:id="23" w:name="_Toc4499_WPSOffice_Level2Page"/>
          <w:r>
            <w:rPr>
              <w:rFonts w:hint="eastAsia" w:ascii="宋体" w:hAnsi="宋体" w:eastAsia="宋体" w:cs="宋体"/>
              <w:sz w:val="24"/>
              <w:szCs w:val="24"/>
            </w:rPr>
            <w:t>8</w:t>
          </w:r>
          <w:bookmarkEnd w:id="23"/>
          <w:r>
            <w:rPr>
              <w:rFonts w:hint="eastAsia" w:ascii="宋体" w:hAnsi="宋体" w:eastAsia="宋体" w:cs="宋体"/>
              <w:sz w:val="24"/>
              <w:szCs w:val="24"/>
            </w:rPr>
            <w:fldChar w:fldCharType="end"/>
          </w:r>
        </w:p>
        <w:p>
          <w:pPr>
            <w:pStyle w:val="3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_Toc12162_WPSOffice_Level2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2371"/>
              <w:placeholder>
                <w:docPart w:val="{b39c1424-5928-4d08-bfea-52e67264d1dd}"/>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六、一般公共预算财政拨款基本支出决算情况说明</w:t>
              </w:r>
            </w:sdtContent>
          </w:sdt>
          <w:r>
            <w:rPr>
              <w:rFonts w:hint="eastAsia" w:ascii="宋体" w:hAnsi="宋体" w:eastAsia="宋体" w:cs="宋体"/>
              <w:sz w:val="24"/>
              <w:szCs w:val="24"/>
            </w:rPr>
            <w:tab/>
          </w:r>
          <w:bookmarkStart w:id="24" w:name="_Toc12162_WPSOffice_Level2Page"/>
          <w:r>
            <w:rPr>
              <w:rFonts w:hint="eastAsia" w:ascii="宋体" w:hAnsi="宋体" w:eastAsia="宋体" w:cs="宋体"/>
              <w:sz w:val="24"/>
              <w:szCs w:val="24"/>
            </w:rPr>
            <w:t>15</w:t>
          </w:r>
          <w:bookmarkEnd w:id="24"/>
          <w:r>
            <w:rPr>
              <w:rFonts w:hint="eastAsia" w:ascii="宋体" w:hAnsi="宋体" w:eastAsia="宋体" w:cs="宋体"/>
              <w:sz w:val="24"/>
              <w:szCs w:val="24"/>
            </w:rPr>
            <w:fldChar w:fldCharType="end"/>
          </w:r>
        </w:p>
        <w:p>
          <w:pPr>
            <w:pStyle w:val="3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_Toc28004_WPSOffice_Level2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2371"/>
              <w:placeholder>
                <w:docPart w:val="{d4f1a971-ef46-46bf-a783-7e1d8f7e5aab}"/>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七、“三公”经费财政拨款支出决算情况说明</w:t>
              </w:r>
            </w:sdtContent>
          </w:sdt>
          <w:r>
            <w:rPr>
              <w:rFonts w:hint="eastAsia" w:ascii="宋体" w:hAnsi="宋体" w:eastAsia="宋体" w:cs="宋体"/>
              <w:sz w:val="24"/>
              <w:szCs w:val="24"/>
            </w:rPr>
            <w:tab/>
          </w:r>
          <w:bookmarkStart w:id="25" w:name="_Toc28004_WPSOffice_Level2Page"/>
          <w:r>
            <w:rPr>
              <w:rFonts w:hint="eastAsia" w:ascii="宋体" w:hAnsi="宋体" w:eastAsia="宋体" w:cs="宋体"/>
              <w:sz w:val="24"/>
              <w:szCs w:val="24"/>
            </w:rPr>
            <w:t>16</w:t>
          </w:r>
          <w:bookmarkEnd w:id="25"/>
          <w:r>
            <w:rPr>
              <w:rFonts w:hint="eastAsia" w:ascii="宋体" w:hAnsi="宋体" w:eastAsia="宋体" w:cs="宋体"/>
              <w:sz w:val="24"/>
              <w:szCs w:val="24"/>
            </w:rPr>
            <w:fldChar w:fldCharType="end"/>
          </w:r>
        </w:p>
        <w:p>
          <w:pPr>
            <w:pStyle w:val="3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_Toc28829_WPSOffice_Level2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2371"/>
              <w:placeholder>
                <w:docPart w:val="{68392972-d203-4be8-a30a-62da2ea483dc}"/>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八、政府性基金预算支出决算情况说明</w:t>
              </w:r>
            </w:sdtContent>
          </w:sdt>
          <w:r>
            <w:rPr>
              <w:rFonts w:hint="eastAsia" w:ascii="宋体" w:hAnsi="宋体" w:eastAsia="宋体" w:cs="宋体"/>
              <w:sz w:val="24"/>
              <w:szCs w:val="24"/>
            </w:rPr>
            <w:tab/>
          </w:r>
          <w:bookmarkStart w:id="26" w:name="_Toc28829_WPSOffice_Level2Page"/>
          <w:r>
            <w:rPr>
              <w:rFonts w:hint="eastAsia" w:ascii="宋体" w:hAnsi="宋体" w:eastAsia="宋体" w:cs="宋体"/>
              <w:sz w:val="24"/>
              <w:szCs w:val="24"/>
            </w:rPr>
            <w:t>18</w:t>
          </w:r>
          <w:bookmarkEnd w:id="26"/>
          <w:r>
            <w:rPr>
              <w:rFonts w:hint="eastAsia" w:ascii="宋体" w:hAnsi="宋体" w:eastAsia="宋体" w:cs="宋体"/>
              <w:sz w:val="24"/>
              <w:szCs w:val="24"/>
            </w:rPr>
            <w:fldChar w:fldCharType="end"/>
          </w:r>
        </w:p>
        <w:p>
          <w:pPr>
            <w:pStyle w:val="3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_Toc25733_WPSOffice_Level2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2371"/>
              <w:placeholder>
                <w:docPart w:val="{7b86e859-0a4c-43c9-9f49-bfdbd9d3982e}"/>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九、 国有资本经营预算支出决算情况说明</w:t>
              </w:r>
            </w:sdtContent>
          </w:sdt>
          <w:r>
            <w:rPr>
              <w:rFonts w:hint="eastAsia" w:ascii="宋体" w:hAnsi="宋体" w:eastAsia="宋体" w:cs="宋体"/>
              <w:sz w:val="24"/>
              <w:szCs w:val="24"/>
            </w:rPr>
            <w:tab/>
          </w:r>
          <w:bookmarkStart w:id="27" w:name="_Toc25733_WPSOffice_Level2Page"/>
          <w:r>
            <w:rPr>
              <w:rFonts w:hint="eastAsia" w:ascii="宋体" w:hAnsi="宋体" w:eastAsia="宋体" w:cs="宋体"/>
              <w:sz w:val="24"/>
              <w:szCs w:val="24"/>
            </w:rPr>
            <w:t>18</w:t>
          </w:r>
          <w:bookmarkEnd w:id="27"/>
          <w:r>
            <w:rPr>
              <w:rFonts w:hint="eastAsia" w:ascii="宋体" w:hAnsi="宋体" w:eastAsia="宋体" w:cs="宋体"/>
              <w:sz w:val="24"/>
              <w:szCs w:val="24"/>
            </w:rPr>
            <w:fldChar w:fldCharType="end"/>
          </w:r>
        </w:p>
        <w:p>
          <w:pPr>
            <w:pStyle w:val="38"/>
            <w:tabs>
              <w:tab w:val="right" w:leader="dot" w:pos="8306"/>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_Toc13190_WPSOffice_Level2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2371"/>
              <w:placeholder>
                <w:docPart w:val="{9c9bbce3-98eb-461d-9c51-c9cfad160c0e}"/>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十、 其他重要事项的情况说明</w:t>
              </w:r>
            </w:sdtContent>
          </w:sdt>
          <w:r>
            <w:rPr>
              <w:rFonts w:hint="eastAsia" w:ascii="宋体" w:hAnsi="宋体" w:eastAsia="宋体" w:cs="宋体"/>
              <w:sz w:val="24"/>
              <w:szCs w:val="24"/>
            </w:rPr>
            <w:tab/>
          </w:r>
          <w:bookmarkStart w:id="28" w:name="_Toc13190_WPSOffice_Level2Page"/>
          <w:r>
            <w:rPr>
              <w:rFonts w:hint="eastAsia" w:ascii="宋体" w:hAnsi="宋体" w:eastAsia="宋体" w:cs="宋体"/>
              <w:sz w:val="24"/>
              <w:szCs w:val="24"/>
            </w:rPr>
            <w:t>18</w:t>
          </w:r>
          <w:bookmarkEnd w:id="28"/>
          <w:r>
            <w:rPr>
              <w:rFonts w:hint="eastAsia" w:ascii="宋体" w:hAnsi="宋体" w:eastAsia="宋体" w:cs="宋体"/>
              <w:sz w:val="24"/>
              <w:szCs w:val="24"/>
            </w:rPr>
            <w:fldChar w:fldCharType="end"/>
          </w:r>
        </w:p>
        <w:p>
          <w:pPr>
            <w:pStyle w:val="37"/>
            <w:tabs>
              <w:tab w:val="right" w:leader="dot" w:pos="830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_Toc22294_WPSOffice_Level1 </w:instrText>
          </w:r>
          <w:r>
            <w:rPr>
              <w:rFonts w:hint="eastAsia" w:ascii="仿宋" w:hAnsi="仿宋" w:eastAsia="仿宋" w:cs="仿宋"/>
              <w:b w:val="0"/>
              <w:bCs w:val="0"/>
              <w:sz w:val="24"/>
              <w:szCs w:val="24"/>
            </w:rPr>
            <w:fldChar w:fldCharType="separate"/>
          </w:r>
          <w:sdt>
            <w:sdtPr>
              <w:rPr>
                <w:rFonts w:hint="eastAsia" w:ascii="仿宋" w:hAnsi="仿宋" w:eastAsia="仿宋" w:cs="仿宋"/>
                <w:b w:val="0"/>
                <w:bCs w:val="0"/>
                <w:kern w:val="2"/>
                <w:sz w:val="24"/>
                <w:szCs w:val="24"/>
                <w:lang w:val="en-US" w:eastAsia="zh-CN" w:bidi="ar-SA"/>
              </w:rPr>
              <w:id w:val="147462371"/>
              <w:placeholder>
                <w:docPart w:val="{6cab573c-acfc-4866-83e1-5f1f524d9a88}"/>
              </w:placeholder>
            </w:sdtPr>
            <w:sdtEndPr>
              <w:rPr>
                <w:rFonts w:hint="eastAsia" w:ascii="仿宋" w:hAnsi="仿宋" w:eastAsia="仿宋" w:cs="仿宋"/>
                <w:b w:val="0"/>
                <w:bCs w:val="0"/>
                <w:kern w:val="2"/>
                <w:sz w:val="24"/>
                <w:szCs w:val="24"/>
                <w:lang w:val="en-US" w:eastAsia="zh-CN" w:bidi="ar-SA"/>
              </w:rPr>
            </w:sdtEndPr>
            <w:sdtContent>
              <w:r>
                <w:rPr>
                  <w:rFonts w:hint="eastAsia" w:ascii="仿宋" w:hAnsi="仿宋" w:eastAsia="仿宋" w:cs="仿宋"/>
                  <w:b w:val="0"/>
                  <w:bCs w:val="0"/>
                  <w:sz w:val="24"/>
                  <w:szCs w:val="24"/>
                </w:rPr>
                <w:t>第三部分 名词解释</w:t>
              </w:r>
            </w:sdtContent>
          </w:sdt>
          <w:r>
            <w:rPr>
              <w:rFonts w:hint="eastAsia" w:ascii="仿宋" w:hAnsi="仿宋" w:eastAsia="仿宋" w:cs="仿宋"/>
              <w:b w:val="0"/>
              <w:bCs w:val="0"/>
              <w:sz w:val="24"/>
              <w:szCs w:val="24"/>
            </w:rPr>
            <w:tab/>
          </w:r>
          <w:bookmarkStart w:id="29" w:name="_Toc22294_WPSOffice_Level1Page"/>
          <w:r>
            <w:rPr>
              <w:rFonts w:hint="eastAsia" w:ascii="仿宋" w:hAnsi="仿宋" w:eastAsia="仿宋" w:cs="仿宋"/>
              <w:b w:val="0"/>
              <w:bCs w:val="0"/>
              <w:sz w:val="24"/>
              <w:szCs w:val="24"/>
            </w:rPr>
            <w:t>20</w:t>
          </w:r>
          <w:bookmarkEnd w:id="29"/>
          <w:r>
            <w:rPr>
              <w:rFonts w:hint="eastAsia" w:ascii="仿宋" w:hAnsi="仿宋" w:eastAsia="仿宋" w:cs="仿宋"/>
              <w:b w:val="0"/>
              <w:bCs w:val="0"/>
              <w:sz w:val="24"/>
              <w:szCs w:val="24"/>
            </w:rPr>
            <w:fldChar w:fldCharType="end"/>
          </w:r>
        </w:p>
        <w:p>
          <w:pPr>
            <w:pStyle w:val="37"/>
            <w:tabs>
              <w:tab w:val="right" w:leader="dot" w:pos="8306"/>
            </w:tabs>
            <w:rPr>
              <w:rFonts w:hint="eastAsia" w:ascii="仿宋" w:hAnsi="仿宋" w:eastAsia="仿宋" w:cs="仿宋"/>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_Toc22596_WPSOffice_Level1 </w:instrText>
          </w:r>
          <w:r>
            <w:rPr>
              <w:rFonts w:hint="eastAsia" w:ascii="仿宋" w:hAnsi="仿宋" w:eastAsia="仿宋" w:cs="仿宋"/>
              <w:b w:val="0"/>
              <w:bCs w:val="0"/>
              <w:sz w:val="24"/>
              <w:szCs w:val="24"/>
            </w:rPr>
            <w:fldChar w:fldCharType="separate"/>
          </w:r>
          <w:sdt>
            <w:sdtPr>
              <w:rPr>
                <w:rFonts w:hint="eastAsia" w:ascii="仿宋" w:hAnsi="仿宋" w:eastAsia="仿宋" w:cs="仿宋"/>
                <w:b w:val="0"/>
                <w:bCs w:val="0"/>
                <w:kern w:val="2"/>
                <w:sz w:val="24"/>
                <w:szCs w:val="24"/>
                <w:lang w:val="en-US" w:eastAsia="zh-CN" w:bidi="ar-SA"/>
              </w:rPr>
              <w:id w:val="147462371"/>
              <w:placeholder>
                <w:docPart w:val="{b8b3d5d9-11a5-422a-a596-49d7df728247}"/>
              </w:placeholder>
            </w:sdtPr>
            <w:sdtEndPr>
              <w:rPr>
                <w:rFonts w:hint="eastAsia" w:ascii="仿宋" w:hAnsi="仿宋" w:eastAsia="仿宋" w:cs="仿宋"/>
                <w:b w:val="0"/>
                <w:bCs w:val="0"/>
                <w:kern w:val="2"/>
                <w:sz w:val="24"/>
                <w:szCs w:val="24"/>
                <w:lang w:val="en-US" w:eastAsia="zh-CN" w:bidi="ar-SA"/>
              </w:rPr>
            </w:sdtEndPr>
            <w:sdtContent>
              <w:r>
                <w:rPr>
                  <w:rFonts w:hint="eastAsia" w:ascii="仿宋" w:hAnsi="仿宋" w:eastAsia="仿宋" w:cs="仿宋"/>
                  <w:b w:val="0"/>
                  <w:bCs w:val="0"/>
                  <w:sz w:val="24"/>
                  <w:szCs w:val="24"/>
                </w:rPr>
                <w:t>第四部分 附件</w:t>
              </w:r>
            </w:sdtContent>
          </w:sdt>
          <w:r>
            <w:rPr>
              <w:rFonts w:hint="eastAsia" w:ascii="仿宋" w:hAnsi="仿宋" w:eastAsia="仿宋" w:cs="仿宋"/>
              <w:b w:val="0"/>
              <w:bCs w:val="0"/>
              <w:sz w:val="24"/>
              <w:szCs w:val="24"/>
            </w:rPr>
            <w:tab/>
          </w:r>
          <w:bookmarkStart w:id="30" w:name="_Toc22596_WPSOffice_Level1Page"/>
          <w:r>
            <w:rPr>
              <w:rFonts w:hint="eastAsia" w:ascii="仿宋" w:hAnsi="仿宋" w:eastAsia="仿宋" w:cs="仿宋"/>
              <w:b w:val="0"/>
              <w:bCs w:val="0"/>
              <w:sz w:val="24"/>
              <w:szCs w:val="24"/>
            </w:rPr>
            <w:t>28</w:t>
          </w:r>
          <w:bookmarkEnd w:id="30"/>
          <w:r>
            <w:rPr>
              <w:rFonts w:hint="eastAsia" w:ascii="仿宋" w:hAnsi="仿宋" w:eastAsia="仿宋" w:cs="仿宋"/>
              <w:b w:val="0"/>
              <w:bCs w:val="0"/>
              <w:sz w:val="24"/>
              <w:szCs w:val="24"/>
            </w:rPr>
            <w:fldChar w:fldCharType="end"/>
          </w:r>
        </w:p>
        <w:p>
          <w:pPr>
            <w:pStyle w:val="37"/>
            <w:tabs>
              <w:tab w:val="right" w:leader="dot" w:pos="8306"/>
            </w:tabs>
            <w:rPr>
              <w:rFonts w:hint="eastAsia" w:ascii="仿宋" w:hAnsi="仿宋" w:eastAsia="仿宋" w:cs="仿宋"/>
              <w:b w:val="0"/>
              <w:bCs w:val="0"/>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\l _Toc8780_WPSOffice_Level1 </w:instrText>
          </w:r>
          <w:r>
            <w:rPr>
              <w:rFonts w:hint="eastAsia" w:ascii="仿宋" w:hAnsi="仿宋" w:eastAsia="仿宋" w:cs="仿宋"/>
              <w:b w:val="0"/>
              <w:bCs w:val="0"/>
              <w:sz w:val="24"/>
              <w:szCs w:val="24"/>
            </w:rPr>
            <w:fldChar w:fldCharType="separate"/>
          </w:r>
          <w:sdt>
            <w:sdtPr>
              <w:rPr>
                <w:rFonts w:hint="eastAsia" w:ascii="仿宋" w:hAnsi="仿宋" w:eastAsia="仿宋" w:cs="仿宋"/>
                <w:b w:val="0"/>
                <w:bCs w:val="0"/>
                <w:kern w:val="2"/>
                <w:sz w:val="24"/>
                <w:szCs w:val="24"/>
                <w:lang w:val="en-US" w:eastAsia="zh-CN" w:bidi="ar-SA"/>
              </w:rPr>
              <w:id w:val="147462371"/>
              <w:placeholder>
                <w:docPart w:val="{7aa8fa89-20d3-41de-b6b0-21e0e7a35c21}"/>
              </w:placeholder>
            </w:sdtPr>
            <w:sdtEndPr>
              <w:rPr>
                <w:rFonts w:hint="eastAsia" w:ascii="仿宋" w:hAnsi="仿宋" w:eastAsia="仿宋" w:cs="仿宋"/>
                <w:b w:val="0"/>
                <w:bCs w:val="0"/>
                <w:kern w:val="2"/>
                <w:sz w:val="24"/>
                <w:szCs w:val="24"/>
                <w:lang w:val="en-US" w:eastAsia="zh-CN" w:bidi="ar-SA"/>
              </w:rPr>
            </w:sdtEndPr>
            <w:sdtContent>
              <w:r>
                <w:rPr>
                  <w:rFonts w:hint="eastAsia" w:ascii="仿宋" w:hAnsi="仿宋" w:eastAsia="仿宋" w:cs="仿宋"/>
                  <w:b w:val="0"/>
                  <w:bCs w:val="0"/>
                  <w:sz w:val="24"/>
                  <w:szCs w:val="24"/>
                </w:rPr>
                <w:t>第五部分 附表</w:t>
              </w:r>
            </w:sdtContent>
          </w:sdt>
          <w:r>
            <w:rPr>
              <w:rFonts w:hint="eastAsia" w:ascii="仿宋" w:hAnsi="仿宋" w:eastAsia="仿宋" w:cs="仿宋"/>
              <w:b w:val="0"/>
              <w:bCs w:val="0"/>
              <w:sz w:val="24"/>
              <w:szCs w:val="24"/>
            </w:rPr>
            <w:tab/>
          </w:r>
          <w:bookmarkStart w:id="31" w:name="_Toc8780_WPSOffice_Level1Page"/>
          <w:r>
            <w:rPr>
              <w:rFonts w:hint="eastAsia" w:ascii="仿宋" w:hAnsi="仿宋" w:eastAsia="仿宋" w:cs="仿宋"/>
              <w:b w:val="0"/>
              <w:bCs w:val="0"/>
              <w:sz w:val="24"/>
              <w:szCs w:val="24"/>
            </w:rPr>
            <w:t>60</w:t>
          </w:r>
          <w:bookmarkEnd w:id="31"/>
          <w:r>
            <w:rPr>
              <w:rFonts w:hint="eastAsia" w:ascii="仿宋" w:hAnsi="仿宋" w:eastAsia="仿宋" w:cs="仿宋"/>
              <w:b w:val="0"/>
              <w:bCs w:val="0"/>
              <w:sz w:val="24"/>
              <w:szCs w:val="24"/>
            </w:rPr>
            <w:fldChar w:fldCharType="end"/>
          </w:r>
        </w:p>
        <w:p>
          <w:pPr>
            <w:pStyle w:val="3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_Toc6250_WPSOffice_Level2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2371"/>
              <w:placeholder>
                <w:docPart w:val="{4b27ee74-19f3-4006-b5e6-1e9609900048}"/>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一、收入支出决算总表</w:t>
              </w:r>
            </w:sdtContent>
          </w:sdt>
          <w:r>
            <w:rPr>
              <w:rFonts w:hint="eastAsia" w:ascii="宋体" w:hAnsi="宋体" w:eastAsia="宋体" w:cs="宋体"/>
              <w:sz w:val="24"/>
              <w:szCs w:val="24"/>
            </w:rPr>
            <w:tab/>
          </w:r>
          <w:bookmarkStart w:id="32" w:name="_Toc6250_WPSOffice_Level2Page"/>
          <w:r>
            <w:rPr>
              <w:rFonts w:hint="eastAsia" w:ascii="宋体" w:hAnsi="宋体" w:eastAsia="宋体" w:cs="宋体"/>
              <w:sz w:val="24"/>
              <w:szCs w:val="24"/>
            </w:rPr>
            <w:t>60</w:t>
          </w:r>
          <w:bookmarkEnd w:id="32"/>
          <w:r>
            <w:rPr>
              <w:rFonts w:hint="eastAsia" w:ascii="宋体" w:hAnsi="宋体" w:eastAsia="宋体" w:cs="宋体"/>
              <w:sz w:val="24"/>
              <w:szCs w:val="24"/>
            </w:rPr>
            <w:fldChar w:fldCharType="end"/>
          </w:r>
        </w:p>
        <w:p>
          <w:pPr>
            <w:pStyle w:val="3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_Toc1447_WPSOffice_Level2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2371"/>
              <w:placeholder>
                <w:docPart w:val="{0cbc0ca7-37d1-4b30-b8eb-7b01f363ef8d}"/>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二、收入决算表</w:t>
              </w:r>
            </w:sdtContent>
          </w:sdt>
          <w:r>
            <w:rPr>
              <w:rFonts w:hint="eastAsia" w:ascii="宋体" w:hAnsi="宋体" w:eastAsia="宋体" w:cs="宋体"/>
              <w:sz w:val="24"/>
              <w:szCs w:val="24"/>
            </w:rPr>
            <w:tab/>
          </w:r>
          <w:bookmarkStart w:id="33" w:name="_Toc1447_WPSOffice_Level2Page"/>
          <w:r>
            <w:rPr>
              <w:rFonts w:hint="eastAsia" w:ascii="宋体" w:hAnsi="宋体" w:eastAsia="宋体" w:cs="宋体"/>
              <w:sz w:val="24"/>
              <w:szCs w:val="24"/>
            </w:rPr>
            <w:t>60</w:t>
          </w:r>
          <w:bookmarkEnd w:id="33"/>
          <w:r>
            <w:rPr>
              <w:rFonts w:hint="eastAsia" w:ascii="宋体" w:hAnsi="宋体" w:eastAsia="宋体" w:cs="宋体"/>
              <w:sz w:val="24"/>
              <w:szCs w:val="24"/>
            </w:rPr>
            <w:fldChar w:fldCharType="end"/>
          </w:r>
        </w:p>
        <w:p>
          <w:pPr>
            <w:pStyle w:val="3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_Toc6535_WPSOffice_Level2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2371"/>
              <w:placeholder>
                <w:docPart w:val="{8deebbf9-40fb-4bc4-aec2-876ea50d659e}"/>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三、支出决算表</w:t>
              </w:r>
            </w:sdtContent>
          </w:sdt>
          <w:r>
            <w:rPr>
              <w:rFonts w:hint="eastAsia" w:ascii="宋体" w:hAnsi="宋体" w:eastAsia="宋体" w:cs="宋体"/>
              <w:sz w:val="24"/>
              <w:szCs w:val="24"/>
            </w:rPr>
            <w:tab/>
          </w:r>
          <w:bookmarkStart w:id="34" w:name="_Toc6535_WPSOffice_Level2Page"/>
          <w:r>
            <w:rPr>
              <w:rFonts w:hint="eastAsia" w:ascii="宋体" w:hAnsi="宋体" w:eastAsia="宋体" w:cs="宋体"/>
              <w:sz w:val="24"/>
              <w:szCs w:val="24"/>
            </w:rPr>
            <w:t>60</w:t>
          </w:r>
          <w:bookmarkEnd w:id="34"/>
          <w:r>
            <w:rPr>
              <w:rFonts w:hint="eastAsia" w:ascii="宋体" w:hAnsi="宋体" w:eastAsia="宋体" w:cs="宋体"/>
              <w:sz w:val="24"/>
              <w:szCs w:val="24"/>
            </w:rPr>
            <w:fldChar w:fldCharType="end"/>
          </w:r>
        </w:p>
        <w:p>
          <w:pPr>
            <w:pStyle w:val="3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_Toc21714_WPSOffice_Level2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2371"/>
              <w:placeholder>
                <w:docPart w:val="{3fd83cd8-712e-4a0e-80ec-0e1665478966}"/>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四、财政拨款收入支出决算总表</w:t>
              </w:r>
            </w:sdtContent>
          </w:sdt>
          <w:r>
            <w:rPr>
              <w:rFonts w:hint="eastAsia" w:ascii="宋体" w:hAnsi="宋体" w:eastAsia="宋体" w:cs="宋体"/>
              <w:sz w:val="24"/>
              <w:szCs w:val="24"/>
            </w:rPr>
            <w:tab/>
          </w:r>
          <w:bookmarkStart w:id="35" w:name="_Toc21714_WPSOffice_Level2Page"/>
          <w:r>
            <w:rPr>
              <w:rFonts w:hint="eastAsia" w:ascii="宋体" w:hAnsi="宋体" w:eastAsia="宋体" w:cs="宋体"/>
              <w:sz w:val="24"/>
              <w:szCs w:val="24"/>
            </w:rPr>
            <w:t>60</w:t>
          </w:r>
          <w:bookmarkEnd w:id="35"/>
          <w:r>
            <w:rPr>
              <w:rFonts w:hint="eastAsia" w:ascii="宋体" w:hAnsi="宋体" w:eastAsia="宋体" w:cs="宋体"/>
              <w:sz w:val="24"/>
              <w:szCs w:val="24"/>
            </w:rPr>
            <w:fldChar w:fldCharType="end"/>
          </w:r>
        </w:p>
        <w:p>
          <w:pPr>
            <w:pStyle w:val="3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_Toc24862_WPSOffice_Level2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2371"/>
              <w:placeholder>
                <w:docPart w:val="{412211d3-1d0e-4b4c-9b05-d0a66a78bfdb}"/>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五、财政拨款支出决算明细表</w:t>
              </w:r>
            </w:sdtContent>
          </w:sdt>
          <w:r>
            <w:rPr>
              <w:rFonts w:hint="eastAsia" w:ascii="宋体" w:hAnsi="宋体" w:eastAsia="宋体" w:cs="宋体"/>
              <w:sz w:val="24"/>
              <w:szCs w:val="24"/>
            </w:rPr>
            <w:tab/>
          </w:r>
          <w:bookmarkStart w:id="36" w:name="_Toc24862_WPSOffice_Level2Page"/>
          <w:r>
            <w:rPr>
              <w:rFonts w:hint="eastAsia" w:ascii="宋体" w:hAnsi="宋体" w:eastAsia="宋体" w:cs="宋体"/>
              <w:sz w:val="24"/>
              <w:szCs w:val="24"/>
            </w:rPr>
            <w:t>60</w:t>
          </w:r>
          <w:bookmarkEnd w:id="36"/>
          <w:r>
            <w:rPr>
              <w:rFonts w:hint="eastAsia" w:ascii="宋体" w:hAnsi="宋体" w:eastAsia="宋体" w:cs="宋体"/>
              <w:sz w:val="24"/>
              <w:szCs w:val="24"/>
            </w:rPr>
            <w:fldChar w:fldCharType="end"/>
          </w:r>
        </w:p>
        <w:p>
          <w:pPr>
            <w:pStyle w:val="3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_Toc22757_WPSOffice_Level2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2371"/>
              <w:placeholder>
                <w:docPart w:val="{a70cfbb9-ba63-483b-9db9-c6399e9aee49}"/>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六、一般公共预算财政拨款支出决算表</w:t>
              </w:r>
            </w:sdtContent>
          </w:sdt>
          <w:r>
            <w:rPr>
              <w:rFonts w:hint="eastAsia" w:ascii="宋体" w:hAnsi="宋体" w:eastAsia="宋体" w:cs="宋体"/>
              <w:sz w:val="24"/>
              <w:szCs w:val="24"/>
            </w:rPr>
            <w:tab/>
          </w:r>
          <w:bookmarkStart w:id="37" w:name="_Toc22757_WPSOffice_Level2Page"/>
          <w:r>
            <w:rPr>
              <w:rFonts w:hint="eastAsia" w:ascii="宋体" w:hAnsi="宋体" w:eastAsia="宋体" w:cs="宋体"/>
              <w:sz w:val="24"/>
              <w:szCs w:val="24"/>
            </w:rPr>
            <w:t>60</w:t>
          </w:r>
          <w:bookmarkEnd w:id="37"/>
          <w:r>
            <w:rPr>
              <w:rFonts w:hint="eastAsia" w:ascii="宋体" w:hAnsi="宋体" w:eastAsia="宋体" w:cs="宋体"/>
              <w:sz w:val="24"/>
              <w:szCs w:val="24"/>
            </w:rPr>
            <w:fldChar w:fldCharType="end"/>
          </w:r>
        </w:p>
        <w:p>
          <w:pPr>
            <w:pStyle w:val="3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_Toc22011_WPSOffice_Level2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2371"/>
              <w:placeholder>
                <w:docPart w:val="{fd8155c7-8b19-48d7-b036-9f13ae460bf9}"/>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七、一般公共预算财政拨款支出决算明细表</w:t>
              </w:r>
            </w:sdtContent>
          </w:sdt>
          <w:r>
            <w:rPr>
              <w:rFonts w:hint="eastAsia" w:ascii="宋体" w:hAnsi="宋体" w:eastAsia="宋体" w:cs="宋体"/>
              <w:sz w:val="24"/>
              <w:szCs w:val="24"/>
            </w:rPr>
            <w:tab/>
          </w:r>
          <w:bookmarkStart w:id="38" w:name="_Toc22011_WPSOffice_Level2Page"/>
          <w:r>
            <w:rPr>
              <w:rFonts w:hint="eastAsia" w:ascii="宋体" w:hAnsi="宋体" w:eastAsia="宋体" w:cs="宋体"/>
              <w:sz w:val="24"/>
              <w:szCs w:val="24"/>
            </w:rPr>
            <w:t>60</w:t>
          </w:r>
          <w:bookmarkEnd w:id="38"/>
          <w:r>
            <w:rPr>
              <w:rFonts w:hint="eastAsia" w:ascii="宋体" w:hAnsi="宋体" w:eastAsia="宋体" w:cs="宋体"/>
              <w:sz w:val="24"/>
              <w:szCs w:val="24"/>
            </w:rPr>
            <w:fldChar w:fldCharType="end"/>
          </w:r>
        </w:p>
        <w:p>
          <w:pPr>
            <w:pStyle w:val="3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_Toc16932_WPSOffice_Level2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2371"/>
              <w:placeholder>
                <w:docPart w:val="{f45c91b1-cf54-43f2-a014-e879a751176c}"/>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八、一般公共预算财政拨款基本支出决算表</w:t>
              </w:r>
            </w:sdtContent>
          </w:sdt>
          <w:r>
            <w:rPr>
              <w:rFonts w:hint="eastAsia" w:ascii="宋体" w:hAnsi="宋体" w:eastAsia="宋体" w:cs="宋体"/>
              <w:sz w:val="24"/>
              <w:szCs w:val="24"/>
            </w:rPr>
            <w:tab/>
          </w:r>
          <w:bookmarkStart w:id="39" w:name="_Toc16932_WPSOffice_Level2Page"/>
          <w:r>
            <w:rPr>
              <w:rFonts w:hint="eastAsia" w:ascii="宋体" w:hAnsi="宋体" w:eastAsia="宋体" w:cs="宋体"/>
              <w:sz w:val="24"/>
              <w:szCs w:val="24"/>
            </w:rPr>
            <w:t>60</w:t>
          </w:r>
          <w:bookmarkEnd w:id="39"/>
          <w:r>
            <w:rPr>
              <w:rFonts w:hint="eastAsia" w:ascii="宋体" w:hAnsi="宋体" w:eastAsia="宋体" w:cs="宋体"/>
              <w:sz w:val="24"/>
              <w:szCs w:val="24"/>
            </w:rPr>
            <w:fldChar w:fldCharType="end"/>
          </w:r>
        </w:p>
        <w:p>
          <w:pPr>
            <w:pStyle w:val="3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_Toc24922_WPSOffice_Level2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2371"/>
              <w:placeholder>
                <w:docPart w:val="{e0a3ebf2-5874-4511-9ce5-0437ebce6407}"/>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九、一般公共预算财政拨款项目支出决算表</w:t>
              </w:r>
            </w:sdtContent>
          </w:sdt>
          <w:r>
            <w:rPr>
              <w:rFonts w:hint="eastAsia" w:ascii="宋体" w:hAnsi="宋体" w:eastAsia="宋体" w:cs="宋体"/>
              <w:sz w:val="24"/>
              <w:szCs w:val="24"/>
            </w:rPr>
            <w:tab/>
          </w:r>
          <w:bookmarkStart w:id="40" w:name="_Toc24922_WPSOffice_Level2Page"/>
          <w:r>
            <w:rPr>
              <w:rFonts w:hint="eastAsia" w:ascii="宋体" w:hAnsi="宋体" w:eastAsia="宋体" w:cs="宋体"/>
              <w:sz w:val="24"/>
              <w:szCs w:val="24"/>
            </w:rPr>
            <w:t>60</w:t>
          </w:r>
          <w:bookmarkEnd w:id="40"/>
          <w:r>
            <w:rPr>
              <w:rFonts w:hint="eastAsia" w:ascii="宋体" w:hAnsi="宋体" w:eastAsia="宋体" w:cs="宋体"/>
              <w:sz w:val="24"/>
              <w:szCs w:val="24"/>
            </w:rPr>
            <w:fldChar w:fldCharType="end"/>
          </w:r>
        </w:p>
        <w:p>
          <w:pPr>
            <w:pStyle w:val="3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_Toc28377_WPSOffice_Level2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2371"/>
              <w:placeholder>
                <w:docPart w:val="{aebb7c26-68d8-495c-a49c-9eb3e49e6dbb}"/>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十、一般公共预算财政拨款“三公”经费支出决算表</w:t>
              </w:r>
            </w:sdtContent>
          </w:sdt>
          <w:r>
            <w:rPr>
              <w:rFonts w:hint="eastAsia" w:ascii="宋体" w:hAnsi="宋体" w:eastAsia="宋体" w:cs="宋体"/>
              <w:sz w:val="24"/>
              <w:szCs w:val="24"/>
            </w:rPr>
            <w:tab/>
          </w:r>
          <w:bookmarkStart w:id="41" w:name="_Toc28377_WPSOffice_Level2Page"/>
          <w:r>
            <w:rPr>
              <w:rFonts w:hint="eastAsia" w:ascii="宋体" w:hAnsi="宋体" w:eastAsia="宋体" w:cs="宋体"/>
              <w:sz w:val="24"/>
              <w:szCs w:val="24"/>
            </w:rPr>
            <w:t>60</w:t>
          </w:r>
          <w:bookmarkEnd w:id="41"/>
          <w:r>
            <w:rPr>
              <w:rFonts w:hint="eastAsia" w:ascii="宋体" w:hAnsi="宋体" w:eastAsia="宋体" w:cs="宋体"/>
              <w:sz w:val="24"/>
              <w:szCs w:val="24"/>
            </w:rPr>
            <w:fldChar w:fldCharType="end"/>
          </w:r>
        </w:p>
        <w:p>
          <w:pPr>
            <w:pStyle w:val="3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_Toc617_WPSOffice_Level2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2371"/>
              <w:placeholder>
                <w:docPart w:val="{dacbb3d3-927f-4186-a74e-8a6cbbb7428d}"/>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十一、政府性基金预算财政拨款收入支出决算表</w:t>
              </w:r>
            </w:sdtContent>
          </w:sdt>
          <w:r>
            <w:rPr>
              <w:rFonts w:hint="eastAsia" w:ascii="宋体" w:hAnsi="宋体" w:eastAsia="宋体" w:cs="宋体"/>
              <w:sz w:val="24"/>
              <w:szCs w:val="24"/>
            </w:rPr>
            <w:tab/>
          </w:r>
          <w:bookmarkStart w:id="42" w:name="_Toc617_WPSOffice_Level2Page"/>
          <w:r>
            <w:rPr>
              <w:rFonts w:hint="eastAsia" w:ascii="宋体" w:hAnsi="宋体" w:eastAsia="宋体" w:cs="宋体"/>
              <w:sz w:val="24"/>
              <w:szCs w:val="24"/>
            </w:rPr>
            <w:t>60</w:t>
          </w:r>
          <w:bookmarkEnd w:id="42"/>
          <w:r>
            <w:rPr>
              <w:rFonts w:hint="eastAsia" w:ascii="宋体" w:hAnsi="宋体" w:eastAsia="宋体" w:cs="宋体"/>
              <w:sz w:val="24"/>
              <w:szCs w:val="24"/>
            </w:rPr>
            <w:fldChar w:fldCharType="end"/>
          </w:r>
        </w:p>
        <w:p>
          <w:pPr>
            <w:pStyle w:val="3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_Toc23359_WPSOffice_Level2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2371"/>
              <w:placeholder>
                <w:docPart w:val="{6b2a9d74-7484-4f8e-96b5-6575cc06cbc6}"/>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十二、政府性基金预算财政拨款“三公”经费支出决算表</w:t>
              </w:r>
            </w:sdtContent>
          </w:sdt>
          <w:r>
            <w:rPr>
              <w:rFonts w:hint="eastAsia" w:ascii="宋体" w:hAnsi="宋体" w:eastAsia="宋体" w:cs="宋体"/>
              <w:sz w:val="24"/>
              <w:szCs w:val="24"/>
            </w:rPr>
            <w:tab/>
          </w:r>
          <w:bookmarkStart w:id="43" w:name="_Toc23359_WPSOffice_Level2Page"/>
          <w:r>
            <w:rPr>
              <w:rFonts w:hint="eastAsia" w:ascii="宋体" w:hAnsi="宋体" w:eastAsia="宋体" w:cs="宋体"/>
              <w:sz w:val="24"/>
              <w:szCs w:val="24"/>
            </w:rPr>
            <w:t>60</w:t>
          </w:r>
          <w:bookmarkEnd w:id="43"/>
          <w:r>
            <w:rPr>
              <w:rFonts w:hint="eastAsia" w:ascii="宋体" w:hAnsi="宋体" w:eastAsia="宋体" w:cs="宋体"/>
              <w:sz w:val="24"/>
              <w:szCs w:val="24"/>
            </w:rPr>
            <w:fldChar w:fldCharType="end"/>
          </w:r>
        </w:p>
        <w:p>
          <w:pPr>
            <w:pStyle w:val="38"/>
            <w:tabs>
              <w:tab w:val="right" w:leader="dot" w:pos="8306"/>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_Toc32540_WPSOffice_Level2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2371"/>
              <w:placeholder>
                <w:docPart w:val="{c59f7f15-9b2e-4b5a-b163-a71058e8824c}"/>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十三、国有资本经营预算财政拨款收入支出决算表</w:t>
              </w:r>
            </w:sdtContent>
          </w:sdt>
          <w:r>
            <w:rPr>
              <w:rFonts w:hint="eastAsia" w:ascii="宋体" w:hAnsi="宋体" w:eastAsia="宋体" w:cs="宋体"/>
              <w:sz w:val="24"/>
              <w:szCs w:val="24"/>
            </w:rPr>
            <w:tab/>
          </w:r>
          <w:bookmarkStart w:id="44" w:name="_Toc32540_WPSOffice_Level2Page"/>
          <w:r>
            <w:rPr>
              <w:rFonts w:hint="eastAsia" w:ascii="宋体" w:hAnsi="宋体" w:eastAsia="宋体" w:cs="宋体"/>
              <w:sz w:val="24"/>
              <w:szCs w:val="24"/>
            </w:rPr>
            <w:t>60</w:t>
          </w:r>
          <w:bookmarkEnd w:id="44"/>
          <w:r>
            <w:rPr>
              <w:rFonts w:hint="eastAsia" w:ascii="宋体" w:hAnsi="宋体" w:eastAsia="宋体" w:cs="宋体"/>
              <w:sz w:val="24"/>
              <w:szCs w:val="24"/>
            </w:rPr>
            <w:fldChar w:fldCharType="end"/>
          </w:r>
        </w:p>
        <w:p>
          <w:pPr>
            <w:pStyle w:val="38"/>
            <w:tabs>
              <w:tab w:val="right" w:leader="dot" w:pos="8306"/>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_Toc3478_WPSOffice_Level2 </w:instrText>
          </w:r>
          <w:r>
            <w:rPr>
              <w:rFonts w:hint="eastAsia" w:ascii="宋体" w:hAnsi="宋体" w:eastAsia="宋体" w:cs="宋体"/>
              <w:sz w:val="24"/>
              <w:szCs w:val="24"/>
            </w:rPr>
            <w:fldChar w:fldCharType="separate"/>
          </w:r>
          <w:sdt>
            <w:sdtPr>
              <w:rPr>
                <w:rFonts w:hint="eastAsia" w:ascii="宋体" w:hAnsi="宋体" w:eastAsia="宋体" w:cs="宋体"/>
                <w:kern w:val="2"/>
                <w:sz w:val="24"/>
                <w:szCs w:val="24"/>
                <w:lang w:val="en-US" w:eastAsia="zh-CN" w:bidi="ar-SA"/>
              </w:rPr>
              <w:id w:val="147462371"/>
              <w:placeholder>
                <w:docPart w:val="{5689da90-2e26-483e-8164-4eedd0a106ff}"/>
              </w:placeholder>
            </w:sdtPr>
            <w:sdtEndPr>
              <w:rPr>
                <w:rFonts w:hint="eastAsia" w:ascii="宋体" w:hAnsi="宋体" w:eastAsia="宋体" w:cs="宋体"/>
                <w:kern w:val="2"/>
                <w:sz w:val="24"/>
                <w:szCs w:val="24"/>
                <w:lang w:val="en-US" w:eastAsia="zh-CN" w:bidi="ar-SA"/>
              </w:rPr>
            </w:sdtEndPr>
            <w:sdtContent>
              <w:r>
                <w:rPr>
                  <w:rFonts w:hint="eastAsia" w:ascii="宋体" w:hAnsi="宋体" w:eastAsia="宋体" w:cs="宋体"/>
                  <w:sz w:val="24"/>
                  <w:szCs w:val="24"/>
                </w:rPr>
                <w:t>十四、国有资本经营预算财政拨款支出决算表</w:t>
              </w:r>
            </w:sdtContent>
          </w:sdt>
          <w:r>
            <w:rPr>
              <w:rFonts w:hint="eastAsia" w:ascii="宋体" w:hAnsi="宋体" w:eastAsia="宋体" w:cs="宋体"/>
              <w:sz w:val="24"/>
              <w:szCs w:val="24"/>
            </w:rPr>
            <w:tab/>
          </w:r>
          <w:bookmarkStart w:id="45" w:name="_Toc3478_WPSOffice_Level2Page"/>
          <w:r>
            <w:rPr>
              <w:rFonts w:hint="eastAsia" w:ascii="宋体" w:hAnsi="宋体" w:eastAsia="宋体" w:cs="宋体"/>
              <w:sz w:val="24"/>
              <w:szCs w:val="24"/>
            </w:rPr>
            <w:t>60</w:t>
          </w:r>
          <w:bookmarkEnd w:id="45"/>
          <w:r>
            <w:rPr>
              <w:rFonts w:hint="eastAsia" w:ascii="宋体" w:hAnsi="宋体" w:eastAsia="宋体" w:cs="宋体"/>
              <w:sz w:val="24"/>
              <w:szCs w:val="24"/>
            </w:rPr>
            <w:fldChar w:fldCharType="end"/>
          </w:r>
          <w:bookmarkEnd w:id="14"/>
        </w:p>
      </w:sdtContent>
    </w:sdt>
    <w:p>
      <w:pPr>
        <w:rPr>
          <w:rFonts w:hint="eastAsia" w:asciiTheme="minorEastAsia" w:hAnsiTheme="minorEastAsia" w:eastAsiaTheme="minorEastAsia" w:cstheme="minorEastAsia"/>
          <w:sz w:val="24"/>
          <w:szCs w:val="24"/>
        </w:rPr>
      </w:pPr>
    </w:p>
    <w:p>
      <w:pPr>
        <w:pStyle w:val="2"/>
        <w:rPr>
          <w:sz w:val="24"/>
        </w:rPr>
      </w:pPr>
    </w:p>
    <w:p>
      <w:pPr>
        <w:rPr>
          <w:sz w:val="24"/>
        </w:rPr>
      </w:pPr>
    </w:p>
    <w:p>
      <w:pPr>
        <w:pStyle w:val="2"/>
        <w:rPr>
          <w:sz w:val="24"/>
        </w:rPr>
      </w:pPr>
    </w:p>
    <w:p>
      <w:pPr>
        <w:rPr>
          <w:sz w:val="24"/>
        </w:rPr>
      </w:pPr>
    </w:p>
    <w:p>
      <w:pPr>
        <w:pStyle w:val="4"/>
        <w:jc w:val="center"/>
        <w:outlineLvl w:val="0"/>
        <w:rPr>
          <w:rFonts w:hint="eastAsia" w:ascii="黑体" w:hAnsi="黑体" w:eastAsia="黑体"/>
          <w:b w:val="0"/>
        </w:rPr>
        <w:sectPr>
          <w:footerReference r:id="rId5" w:type="default"/>
          <w:pgSz w:w="11906" w:h="16838"/>
          <w:pgMar w:top="1440" w:right="1800" w:bottom="1440" w:left="1800" w:header="851" w:footer="992" w:gutter="0"/>
          <w:pgNumType w:start="1"/>
          <w:cols w:space="425" w:num="1"/>
          <w:docGrid w:type="lines" w:linePitch="312" w:charSpace="0"/>
        </w:sectPr>
      </w:pPr>
      <w:bookmarkStart w:id="46" w:name="_Toc11522"/>
      <w:bookmarkStart w:id="47" w:name="_Toc15377196"/>
      <w:bookmarkStart w:id="48" w:name="_Toc15396599"/>
    </w:p>
    <w:p>
      <w:pPr>
        <w:pStyle w:val="4"/>
        <w:jc w:val="center"/>
        <w:outlineLvl w:val="0"/>
        <w:rPr>
          <w:rStyle w:val="29"/>
          <w:rFonts w:ascii="黑体" w:hAnsi="黑体" w:eastAsia="黑体"/>
          <w:b/>
          <w:bCs w:val="0"/>
        </w:rPr>
      </w:pPr>
      <w:bookmarkStart w:id="49" w:name="_Toc16830_WPSOffice_Level1"/>
      <w:r>
        <w:rPr>
          <w:rFonts w:hint="eastAsia" w:ascii="黑体" w:hAnsi="黑体" w:eastAsia="黑体"/>
          <w:b w:val="0"/>
        </w:rPr>
        <w:t xml:space="preserve">第一部分 </w:t>
      </w:r>
      <w:r>
        <w:rPr>
          <w:rStyle w:val="29"/>
          <w:rFonts w:hint="eastAsia" w:ascii="黑体" w:hAnsi="黑体" w:eastAsia="黑体"/>
          <w:b w:val="0"/>
          <w:bCs w:val="0"/>
        </w:rPr>
        <w:t>部门概况</w:t>
      </w:r>
      <w:bookmarkEnd w:id="46"/>
      <w:bookmarkEnd w:id="47"/>
      <w:bookmarkEnd w:id="48"/>
      <w:bookmarkEnd w:id="49"/>
    </w:p>
    <w:p>
      <w:pPr>
        <w:widowControl/>
        <w:jc w:val="left"/>
        <w:rPr>
          <w:rFonts w:ascii="黑体" w:eastAsia="黑体"/>
          <w:sz w:val="32"/>
          <w:szCs w:val="32"/>
        </w:rPr>
      </w:pPr>
    </w:p>
    <w:p>
      <w:pPr>
        <w:pStyle w:val="5"/>
        <w:outlineLvl w:val="1"/>
        <w:rPr>
          <w:rStyle w:val="30"/>
          <w:rFonts w:ascii="仿宋" w:hAnsi="仿宋" w:eastAsia="仿宋"/>
          <w:b w:val="0"/>
          <w:bCs w:val="0"/>
        </w:rPr>
      </w:pPr>
      <w:bookmarkStart w:id="50" w:name="_Toc15377197"/>
      <w:bookmarkStart w:id="51" w:name="_Toc553_WPSOffice_Level2"/>
      <w:bookmarkStart w:id="52" w:name="_Toc9749"/>
      <w:bookmarkStart w:id="53" w:name="_Toc15396600"/>
      <w:r>
        <w:rPr>
          <w:rFonts w:hint="eastAsia" w:ascii="黑体" w:hAnsi="黑体" w:eastAsia="黑体"/>
          <w:b w:val="0"/>
        </w:rPr>
        <w:t>一、基</w:t>
      </w:r>
      <w:r>
        <w:rPr>
          <w:rStyle w:val="30"/>
          <w:rFonts w:hint="eastAsia" w:ascii="黑体" w:hAnsi="黑体" w:eastAsia="黑体"/>
          <w:b w:val="0"/>
          <w:bCs w:val="0"/>
        </w:rPr>
        <w:t>本职能及主要工作</w:t>
      </w:r>
      <w:bookmarkEnd w:id="50"/>
      <w:bookmarkEnd w:id="51"/>
      <w:bookmarkEnd w:id="52"/>
      <w:bookmarkEnd w:id="53"/>
    </w:p>
    <w:p>
      <w:pPr>
        <w:pStyle w:val="8"/>
        <w:adjustRightInd w:val="0"/>
        <w:snapToGrid w:val="0"/>
        <w:spacing w:before="93" w:line="600" w:lineRule="exact"/>
        <w:ind w:firstLine="672" w:firstLineChars="210"/>
        <w:outlineLvl w:val="2"/>
        <w:rPr>
          <w:rFonts w:ascii="仿宋" w:hAnsi="仿宋" w:eastAsia="仿宋"/>
          <w:b w:val="0"/>
          <w:bCs/>
          <w:sz w:val="32"/>
          <w:szCs w:val="32"/>
        </w:rPr>
      </w:pPr>
      <w:bookmarkStart w:id="54" w:name="_Toc15378445"/>
      <w:bookmarkStart w:id="55" w:name="_Toc15377198"/>
      <w:r>
        <w:rPr>
          <w:rFonts w:hint="eastAsia" w:ascii="仿宋" w:hAnsi="仿宋" w:eastAsia="仿宋"/>
          <w:b w:val="0"/>
          <w:bCs/>
          <w:sz w:val="32"/>
          <w:szCs w:val="32"/>
        </w:rPr>
        <w:t>（一）主要职能。</w:t>
      </w:r>
      <w:bookmarkEnd w:id="54"/>
      <w:bookmarkEnd w:id="55"/>
    </w:p>
    <w:p>
      <w:pPr>
        <w:ind w:firstLine="800" w:firstLineChars="250"/>
        <w:rPr>
          <w:rFonts w:ascii="仿宋" w:hAnsi="仿宋" w:eastAsia="仿宋"/>
          <w:sz w:val="32"/>
          <w:szCs w:val="32"/>
        </w:rPr>
      </w:pPr>
      <w:r>
        <w:rPr>
          <w:rFonts w:ascii="仿宋" w:hAnsi="仿宋" w:eastAsia="仿宋"/>
          <w:sz w:val="32"/>
          <w:szCs w:val="32"/>
        </w:rPr>
        <w:t>1.贯彻执行党和国家的各项方针、政策、法律、法规，以及上级行政机关和</w:t>
      </w:r>
      <w:r>
        <w:rPr>
          <w:rFonts w:hint="eastAsia" w:ascii="仿宋" w:hAnsi="仿宋" w:eastAsia="仿宋"/>
          <w:sz w:val="32"/>
          <w:szCs w:val="32"/>
        </w:rPr>
        <w:t>乡</w:t>
      </w:r>
      <w:r>
        <w:rPr>
          <w:rFonts w:ascii="仿宋" w:hAnsi="仿宋" w:eastAsia="仿宋"/>
          <w:sz w:val="32"/>
          <w:szCs w:val="32"/>
        </w:rPr>
        <w:t>党委、</w:t>
      </w:r>
      <w:r>
        <w:rPr>
          <w:rFonts w:hint="eastAsia" w:ascii="仿宋" w:hAnsi="仿宋" w:eastAsia="仿宋"/>
          <w:sz w:val="32"/>
          <w:szCs w:val="32"/>
        </w:rPr>
        <w:t>乡</w:t>
      </w:r>
      <w:r>
        <w:rPr>
          <w:rFonts w:ascii="仿宋" w:hAnsi="仿宋" w:eastAsia="仿宋"/>
          <w:sz w:val="32"/>
          <w:szCs w:val="32"/>
        </w:rPr>
        <w:t>人代会的决定、决议。2.制定并执行本行政区域内经济和社会发展规划、计划。3.负责乡村振兴、新农村建设和推进城乡一体化的组织和实施。4.负责辖区经济、文化、教育、科学、卫生健康、民政、社会保障、民族宗教、村镇建设、司法、退役军人、扶贫、信访、安全、统计等行政管理和服务工作。</w:t>
      </w:r>
    </w:p>
    <w:p>
      <w:pPr>
        <w:pStyle w:val="8"/>
        <w:adjustRightInd w:val="0"/>
        <w:snapToGrid w:val="0"/>
        <w:spacing w:before="93" w:line="600" w:lineRule="exact"/>
        <w:ind w:firstLine="672" w:firstLineChars="210"/>
        <w:outlineLvl w:val="2"/>
        <w:rPr>
          <w:rFonts w:ascii="仿宋" w:hAnsi="仿宋" w:eastAsia="仿宋"/>
          <w:b w:val="0"/>
          <w:bCs/>
          <w:sz w:val="32"/>
          <w:szCs w:val="32"/>
        </w:rPr>
      </w:pPr>
      <w:bookmarkStart w:id="56" w:name="_Toc15377199"/>
      <w:bookmarkStart w:id="57" w:name="_Toc15378446"/>
      <w:r>
        <w:rPr>
          <w:rFonts w:hint="eastAsia" w:ascii="仿宋" w:hAnsi="仿宋" w:eastAsia="仿宋"/>
          <w:b w:val="0"/>
          <w:bCs/>
          <w:sz w:val="32"/>
          <w:szCs w:val="32"/>
        </w:rPr>
        <w:t>（二）</w:t>
      </w:r>
      <w:r>
        <w:rPr>
          <w:rFonts w:ascii="仿宋" w:hAnsi="仿宋" w:eastAsia="仿宋"/>
          <w:b w:val="0"/>
          <w:bCs/>
          <w:sz w:val="32"/>
          <w:szCs w:val="32"/>
        </w:rPr>
        <w:t>20</w:t>
      </w:r>
      <w:r>
        <w:rPr>
          <w:rFonts w:hint="eastAsia" w:ascii="仿宋" w:hAnsi="仿宋" w:eastAsia="仿宋"/>
          <w:b w:val="0"/>
          <w:bCs/>
          <w:sz w:val="32"/>
          <w:szCs w:val="32"/>
        </w:rPr>
        <w:t>21年重点工作完成情况。</w:t>
      </w:r>
      <w:bookmarkEnd w:id="56"/>
      <w:bookmarkEnd w:id="57"/>
    </w:p>
    <w:p>
      <w:pPr>
        <w:pStyle w:val="8"/>
        <w:spacing w:before="93" w:line="560" w:lineRule="exact"/>
        <w:ind w:firstLine="640" w:firstLineChars="200"/>
        <w:rPr>
          <w:rFonts w:hint="eastAsia" w:ascii="仿宋" w:hAnsi="仿宋" w:eastAsia="仿宋" w:cs="仿宋"/>
          <w:color w:val="000000"/>
          <w:sz w:val="32"/>
          <w:szCs w:val="32"/>
        </w:rPr>
      </w:pPr>
      <w:bookmarkStart w:id="58" w:name="_Toc15377200"/>
      <w:bookmarkStart w:id="59" w:name="_Toc15396601"/>
      <w:r>
        <w:rPr>
          <w:rFonts w:hint="eastAsia" w:ascii="仿宋" w:hAnsi="仿宋" w:eastAsia="仿宋" w:cs="仿宋"/>
          <w:sz w:val="32"/>
          <w:szCs w:val="32"/>
        </w:rPr>
        <w:t>攻坚克难，凝心聚力谋发展。</w:t>
      </w:r>
      <w:r>
        <w:rPr>
          <w:rFonts w:hint="eastAsia" w:ascii="仿宋" w:hAnsi="仿宋" w:eastAsia="仿宋" w:cs="仿宋"/>
          <w:color w:val="000000"/>
          <w:kern w:val="2"/>
          <w:sz w:val="32"/>
          <w:szCs w:val="32"/>
        </w:rPr>
        <w:t>2021年，全乡完成地区生产总值（GDP）3.51亿元，同比增长7.6%。其中第一产业增加值完成1.9亿元，同比增长7.6%，第二产业增加值完成0.74亿元，同比增长6.7%，第三产业增加值完成0.87万元，同比增长9.8%，农民人均可支配收入达到1.89万元，同比增长9.25%。固定资产投资和项目入库、森林草原防灭火、疫情防控、安全生产、环保、重大项目推进等重要工作在全县考核排名均名列前茅。</w:t>
      </w:r>
    </w:p>
    <w:p>
      <w:pPr>
        <w:pStyle w:val="8"/>
        <w:spacing w:before="93" w:line="560" w:lineRule="exact"/>
        <w:ind w:firstLine="640" w:firstLineChars="200"/>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巩固拓展脱贫</w:t>
      </w:r>
      <w:r>
        <w:rPr>
          <w:rFonts w:hint="eastAsia" w:ascii="仿宋" w:hAnsi="仿宋" w:eastAsia="仿宋" w:cs="仿宋"/>
          <w:color w:val="000000"/>
          <w:kern w:val="2"/>
          <w:sz w:val="32"/>
          <w:szCs w:val="32"/>
          <w:lang w:val="en-US" w:eastAsia="zh-CN"/>
        </w:rPr>
        <w:t>攻坚</w:t>
      </w:r>
      <w:r>
        <w:rPr>
          <w:rFonts w:hint="eastAsia" w:ascii="仿宋" w:hAnsi="仿宋" w:eastAsia="仿宋" w:cs="仿宋"/>
          <w:color w:val="000000"/>
          <w:kern w:val="2"/>
          <w:sz w:val="32"/>
          <w:szCs w:val="32"/>
        </w:rPr>
        <w:t>成果，乡村振兴更加出彩。持续推进基础设施建设，完成8条产业路修建、1条河堤建设，巩固脱贫攻坚成果，夯实百姓群众致富基础。重视新型农业经营主体培育，极力打造农业产业示范基地，通过“支部+公司+农户”的合作方式，扩大有机蔬菜种植规模。组建成立龙头企业2家，农民专业合作组织26个，形成了以油桃、芒果、核桃、蔬菜为主的基地化建设模式。积极争取市级扶持资金30万元，中省扶持资金200万元，储备青花椒烘烤厂、农资销售、芒果加工出售等项目6个，集体经济项目储备率达到100%。</w:t>
      </w:r>
    </w:p>
    <w:p>
      <w:pPr>
        <w:pStyle w:val="8"/>
        <w:spacing w:before="93" w:line="560" w:lineRule="exact"/>
        <w:ind w:firstLine="640" w:firstLineChars="200"/>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抓重点、攻难点，发展基础不断夯实。</w:t>
      </w:r>
      <w:r>
        <w:rPr>
          <w:rFonts w:hint="cs" w:ascii="仿宋" w:hAnsi="仿宋" w:eastAsia="仿宋" w:cs="仿宋"/>
          <w:color w:val="000000"/>
          <w:kern w:val="2"/>
          <w:sz w:val="32"/>
          <w:szCs w:val="32"/>
        </w:rPr>
        <w:t>重点项目建设持续发力</w:t>
      </w:r>
      <w:r>
        <w:rPr>
          <w:rFonts w:hint="eastAsia" w:ascii="仿宋" w:hAnsi="仿宋" w:eastAsia="仿宋" w:cs="仿宋"/>
          <w:color w:val="000000"/>
          <w:kern w:val="2"/>
          <w:sz w:val="32"/>
          <w:szCs w:val="32"/>
        </w:rPr>
        <w:t>，发布2期搬迁公告，涉及444户，已全部完成搬迁封房和拆迁工作。7个配套基础设施项目有序推进：自来水厂项目已竣工验收并完成审计；二号道已竣工并完成预验收和通车；一号道路已进场施工；还建商品房1#楼完成五层梁板模板支设，3#楼完成五层梁板浇筑；社区服务中心已完成三层砖砌体；医疗卫生服务中心与还建房同步建设；剩余基础设施配套项目按照既定目标任务有序推进。</w:t>
      </w:r>
    </w:p>
    <w:p>
      <w:pPr>
        <w:pStyle w:val="8"/>
        <w:spacing w:before="93" w:line="560" w:lineRule="exact"/>
        <w:ind w:firstLine="640" w:firstLineChars="200"/>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固成果、稳衔接，全面推进乡村振兴。现代农业亮点纷呈。着力打造万亩芒果基地、千亩油桃基地、百家养殖大户，进一步发展壮大芒果、畜牧业、绿色蔬菜等特色农业产业。建设三滩村、红果村、花地村1.5万亩标准化、规模化芒果基地、2.5万亩核桃基地，花地村、梁子田村油桃、李子基地5千亩。新增家庭农场29家，获得县级示范家庭农场5户，市级示范家庭农场3户。工业企业整顿转型。以煤矿企业产能升级为契机，积极履行属地政府职能，引导企业克服政策、资源、疫情等困难影响，保留工业企业8家，6个煤炭企业8口矿井、小型发电站1家、非煤矿山1家，产能升级后年产煤能力达210余万吨。康养产业提速添彩。凭借二滩库区沿线的区位优势，加快产业结构的战略性调整，因地制宜打造三产增收方案。成功打造旅游、休闲、避暑、品特色美食为一体的三滩傈僳酒家、乡滩阳光酒店等康养旅游酒店，2021年累计接待游客约1.5万余人。三滩村傈僳族非物质文化遗产传习中心成功申报6项傈僳族非物质文化遗产，其中傈僳族婚礼为省级非遗，傈僳族非物质文化遗产传习中心挂牌为“攀枝花三线博物馆分馆”，红果彝族乡被命名为“四川省民间文化艺术之乡”。</w:t>
      </w:r>
    </w:p>
    <w:p>
      <w:pPr>
        <w:pStyle w:val="8"/>
        <w:spacing w:before="93" w:line="560" w:lineRule="exact"/>
        <w:ind w:firstLine="640" w:firstLineChars="200"/>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防疫情、抓整改，切实扛起政治责任,坚决打赢疫情防控攻坚战。</w:t>
      </w:r>
      <w:r>
        <w:rPr>
          <w:rFonts w:hint="cs" w:ascii="仿宋" w:hAnsi="仿宋" w:eastAsia="仿宋" w:cs="仿宋"/>
          <w:color w:val="000000"/>
          <w:kern w:val="2"/>
          <w:sz w:val="32"/>
          <w:szCs w:val="32"/>
        </w:rPr>
        <w:t>坚持人民至上、生命至上，按照</w:t>
      </w:r>
      <w:r>
        <w:rPr>
          <w:rFonts w:hint="eastAsia" w:ascii="仿宋" w:hAnsi="仿宋" w:eastAsia="仿宋" w:cs="仿宋"/>
          <w:color w:val="000000"/>
          <w:kern w:val="2"/>
          <w:sz w:val="32"/>
          <w:szCs w:val="32"/>
        </w:rPr>
        <w:t>“</w:t>
      </w:r>
      <w:r>
        <w:rPr>
          <w:rFonts w:hint="cs" w:ascii="仿宋" w:hAnsi="仿宋" w:eastAsia="仿宋" w:cs="仿宋"/>
          <w:color w:val="000000"/>
          <w:kern w:val="2"/>
          <w:sz w:val="32"/>
          <w:szCs w:val="32"/>
        </w:rPr>
        <w:t>外防输入、内防反弹</w:t>
      </w:r>
      <w:r>
        <w:rPr>
          <w:rFonts w:hint="eastAsia" w:ascii="仿宋" w:hAnsi="仿宋" w:eastAsia="仿宋" w:cs="仿宋"/>
          <w:color w:val="000000"/>
          <w:kern w:val="2"/>
          <w:sz w:val="32"/>
          <w:szCs w:val="32"/>
        </w:rPr>
        <w:t>”</w:t>
      </w:r>
      <w:r>
        <w:rPr>
          <w:rFonts w:hint="cs" w:ascii="仿宋" w:hAnsi="仿宋" w:eastAsia="仿宋" w:cs="仿宋"/>
          <w:color w:val="000000"/>
          <w:kern w:val="2"/>
          <w:sz w:val="32"/>
          <w:szCs w:val="32"/>
        </w:rPr>
        <w:t>防控策略，</w:t>
      </w:r>
      <w:r>
        <w:rPr>
          <w:rFonts w:hint="eastAsia" w:ascii="仿宋" w:hAnsi="仿宋" w:eastAsia="仿宋" w:cs="仿宋"/>
          <w:color w:val="000000"/>
          <w:kern w:val="2"/>
          <w:sz w:val="32"/>
          <w:szCs w:val="32"/>
        </w:rPr>
        <w:t>严守群众生命财产安全，“双防”工作实现双胜利。打赢森林防火“翻身战”。深入贯彻学习省市县关于森林草原防灭火指示精神，切实提高政治站位，加强思想认识。利用村村响、小喇叭等多形式、多渠道、多语种进行宣传，丰富了宣传形式，营造了浓厚氛围。确立了265个2778户联保体，进一步压紧压实“四级包保”“十户联防”责任，对重点人群实行了乡机关干部包户制度，不断健全联防责任体系。一年来，全乡各级干部职工走村入户、蹲点守卡、排查风险，彻夜奋战，成功打赢了森林草原防灭火翻身战，取得了森林草原防灭火“零火灾”的优异成绩。打好疫情防控“持久战”。常态化开展疫情防控工作，通过按户张贴疫情防控明白卡，村村响广播等大力宣传疫情防控知识，大力提倡“喜事缓办、白事简办、宴会不办”，切实提高了群众自我防护意识。全覆盖摸排市外返盐人员，针对中高风险地区返乡人员，严格落实疫情防控措施，确保防控措施不漏一户，不掉一人。加快疫苗接种，截至目前，接种第一剂疫苗7467剂，第二剂7110剂，加强针1053剂，全面提升全乡人民免疫能力，保持了全乡无现症病例成果。</w:t>
      </w:r>
    </w:p>
    <w:p>
      <w:pPr>
        <w:pStyle w:val="8"/>
        <w:spacing w:before="93" w:line="560" w:lineRule="exact"/>
        <w:ind w:firstLine="640" w:firstLineChars="200"/>
        <w:rPr>
          <w:rFonts w:hint="eastAsia" w:ascii="仿宋" w:hAnsi="仿宋" w:eastAsia="仿宋" w:cs="仿宋"/>
          <w:color w:val="000000"/>
          <w:kern w:val="2"/>
          <w:sz w:val="32"/>
          <w:szCs w:val="32"/>
        </w:rPr>
      </w:pPr>
      <w:r>
        <w:rPr>
          <w:rFonts w:hint="eastAsia" w:ascii="仿宋" w:hAnsi="仿宋" w:eastAsia="仿宋" w:cs="仿宋"/>
          <w:color w:val="000000"/>
          <w:kern w:val="2"/>
          <w:sz w:val="32"/>
          <w:szCs w:val="32"/>
        </w:rPr>
        <w:t>强保障、惠民生，“幸福”指数不断增强。坚持以人为本，民生福祉不断增进。落实民政救济和社会保障政策，纳入农村低保438户992人，城市低保共计15户15人，发放低保资金375.6972万元，纳入五保户29人，发放五保生活款24.1320万元。落实科教卫生各项政策，完善乡宣文中心活动阵地功能，满足广大群众的文化需求。安装户户通和天地网200余户，检修设备95余套。落实计生奖励扶助72人、享受特别扶助（独生子女死亡伤残）对象7人、享受特别扶助（其他）88人、独生子女父母享受政策奖励31人。不断提升人民群众幸福感、获得感。</w:t>
      </w:r>
    </w:p>
    <w:p>
      <w:pPr>
        <w:pStyle w:val="5"/>
        <w:rPr>
          <w:rStyle w:val="30"/>
          <w:b w:val="0"/>
          <w:bCs w:val="0"/>
        </w:rPr>
      </w:pPr>
      <w:bookmarkStart w:id="60" w:name="_Toc22294_WPSOffice_Level2"/>
      <w:bookmarkStart w:id="61" w:name="_Toc9358"/>
      <w:r>
        <w:rPr>
          <w:rFonts w:hint="eastAsia" w:ascii="黑体" w:eastAsia="黑体"/>
          <w:b w:val="0"/>
        </w:rPr>
        <w:t>二、</w:t>
      </w:r>
      <w:r>
        <w:rPr>
          <w:rFonts w:hint="eastAsia" w:ascii="黑体" w:hAnsi="黑体" w:eastAsia="黑体"/>
          <w:b w:val="0"/>
        </w:rPr>
        <w:t>机</w:t>
      </w:r>
      <w:r>
        <w:rPr>
          <w:rStyle w:val="30"/>
          <w:rFonts w:hint="eastAsia" w:ascii="黑体" w:hAnsi="黑体" w:eastAsia="黑体"/>
          <w:b w:val="0"/>
          <w:bCs w:val="0"/>
        </w:rPr>
        <w:t>构设置</w:t>
      </w:r>
      <w:bookmarkEnd w:id="58"/>
      <w:bookmarkEnd w:id="59"/>
      <w:bookmarkEnd w:id="60"/>
      <w:bookmarkEnd w:id="61"/>
    </w:p>
    <w:p>
      <w:pPr>
        <w:ind w:firstLine="800" w:firstLineChars="250"/>
        <w:rPr>
          <w:rFonts w:ascii="仿宋" w:hAnsi="仿宋" w:eastAsia="仿宋"/>
          <w:sz w:val="32"/>
          <w:szCs w:val="32"/>
        </w:rPr>
      </w:pPr>
      <w:r>
        <w:rPr>
          <w:rFonts w:hint="eastAsia" w:ascii="仿宋" w:hAnsi="仿宋" w:eastAsia="仿宋"/>
          <w:sz w:val="32"/>
          <w:szCs w:val="32"/>
        </w:rPr>
        <w:t>红果彝族乡下属二级单位4个，其中行政单位0个，参照公务员法管理的事业单位0个，其他事业单位4个。</w:t>
      </w:r>
    </w:p>
    <w:p>
      <w:pPr>
        <w:pStyle w:val="8"/>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纳入红果彝族乡2021年度部门决算编制范围的二级预算单位包括：</w:t>
      </w:r>
    </w:p>
    <w:p>
      <w:pPr>
        <w:pStyle w:val="8"/>
        <w:numPr>
          <w:ilvl w:val="0"/>
          <w:numId w:val="1"/>
        </w:numPr>
        <w:adjustRightInd w:val="0"/>
        <w:snapToGrid w:val="0"/>
        <w:spacing w:before="93" w:line="600" w:lineRule="exact"/>
        <w:outlineLvl w:val="2"/>
        <w:rPr>
          <w:rFonts w:ascii="仿宋" w:hAnsi="仿宋" w:eastAsia="仿宋"/>
          <w:sz w:val="32"/>
          <w:szCs w:val="32"/>
        </w:rPr>
      </w:pPr>
      <w:bookmarkStart w:id="62" w:name="_Toc15378449"/>
      <w:bookmarkStart w:id="63" w:name="_Toc15306276"/>
      <w:bookmarkStart w:id="64" w:name="_Toc15377433"/>
      <w:bookmarkStart w:id="65" w:name="_Toc15377202"/>
      <w:r>
        <w:rPr>
          <w:rFonts w:hint="eastAsia" w:ascii="仿宋" w:hAnsi="仿宋" w:eastAsia="仿宋"/>
          <w:sz w:val="32"/>
          <w:szCs w:val="32"/>
        </w:rPr>
        <w:t>红果彝族乡便民服务中心</w:t>
      </w:r>
      <w:bookmarkEnd w:id="62"/>
      <w:bookmarkEnd w:id="63"/>
      <w:bookmarkEnd w:id="64"/>
      <w:bookmarkEnd w:id="65"/>
    </w:p>
    <w:p>
      <w:pPr>
        <w:pStyle w:val="8"/>
        <w:numPr>
          <w:ilvl w:val="0"/>
          <w:numId w:val="1"/>
        </w:numPr>
        <w:adjustRightInd w:val="0"/>
        <w:snapToGrid w:val="0"/>
        <w:spacing w:before="93" w:line="600" w:lineRule="exact"/>
        <w:rPr>
          <w:rFonts w:ascii="仿宋" w:hAnsi="仿宋" w:eastAsia="仿宋"/>
          <w:sz w:val="32"/>
          <w:szCs w:val="32"/>
        </w:rPr>
      </w:pPr>
      <w:r>
        <w:rPr>
          <w:rFonts w:hint="eastAsia" w:ascii="仿宋" w:hAnsi="仿宋" w:eastAsia="仿宋"/>
          <w:sz w:val="32"/>
          <w:szCs w:val="32"/>
        </w:rPr>
        <w:t>红果彝族乡农业农村服务中心</w:t>
      </w:r>
    </w:p>
    <w:p>
      <w:pPr>
        <w:pStyle w:val="8"/>
        <w:numPr>
          <w:ilvl w:val="0"/>
          <w:numId w:val="1"/>
        </w:numPr>
        <w:adjustRightInd w:val="0"/>
        <w:snapToGrid w:val="0"/>
        <w:spacing w:before="93" w:line="600" w:lineRule="exact"/>
        <w:rPr>
          <w:rFonts w:ascii="仿宋" w:hAnsi="仿宋" w:eastAsia="仿宋"/>
          <w:sz w:val="32"/>
          <w:szCs w:val="32"/>
        </w:rPr>
      </w:pPr>
      <w:r>
        <w:rPr>
          <w:rFonts w:hint="eastAsia" w:ascii="仿宋" w:hAnsi="仿宋" w:eastAsia="仿宋"/>
          <w:sz w:val="32"/>
          <w:szCs w:val="32"/>
        </w:rPr>
        <w:t>红果彝族乡村镇建设服务中心</w:t>
      </w:r>
    </w:p>
    <w:p>
      <w:pPr>
        <w:pStyle w:val="8"/>
        <w:numPr>
          <w:ilvl w:val="0"/>
          <w:numId w:val="1"/>
        </w:numPr>
        <w:adjustRightInd w:val="0"/>
        <w:snapToGrid w:val="0"/>
        <w:spacing w:before="93" w:line="600" w:lineRule="exact"/>
        <w:rPr>
          <w:rStyle w:val="29"/>
          <w:rFonts w:ascii="仿宋" w:hAnsi="仿宋" w:eastAsia="仿宋"/>
          <w:b w:val="0"/>
          <w:bCs w:val="0"/>
          <w:kern w:val="0"/>
          <w:sz w:val="32"/>
          <w:szCs w:val="32"/>
        </w:rPr>
      </w:pPr>
      <w:r>
        <w:rPr>
          <w:rFonts w:hint="eastAsia" w:ascii="仿宋" w:hAnsi="仿宋" w:eastAsia="仿宋"/>
          <w:sz w:val="32"/>
          <w:szCs w:val="32"/>
        </w:rPr>
        <w:t>红果彝族乡宣传文化旅游服务中心</w:t>
      </w:r>
      <w:bookmarkStart w:id="66" w:name="_Toc15396602"/>
      <w:bookmarkStart w:id="67" w:name="_Toc15377204"/>
    </w:p>
    <w:p>
      <w:pPr>
        <w:pStyle w:val="8"/>
        <w:adjustRightInd w:val="0"/>
        <w:snapToGrid w:val="0"/>
        <w:spacing w:before="93" w:line="600" w:lineRule="exact"/>
        <w:ind w:firstLine="440" w:firstLineChars="100"/>
        <w:outlineLvl w:val="0"/>
        <w:rPr>
          <w:rStyle w:val="29"/>
          <w:rFonts w:ascii="黑体" w:hAnsi="黑体" w:eastAsia="黑体"/>
          <w:b w:val="0"/>
        </w:rPr>
      </w:pPr>
      <w:bookmarkStart w:id="68" w:name="_Toc6649"/>
      <w:bookmarkStart w:id="69" w:name="_Toc553_WPSOffice_Level1"/>
      <w:r>
        <w:rPr>
          <w:rStyle w:val="29"/>
          <w:rFonts w:hint="eastAsia" w:ascii="黑体" w:hAnsi="黑体" w:eastAsia="黑体"/>
          <w:b w:val="0"/>
        </w:rPr>
        <w:t>第二部分 2021年度部门决算情况说明</w:t>
      </w:r>
      <w:bookmarkEnd w:id="66"/>
      <w:bookmarkEnd w:id="67"/>
      <w:bookmarkEnd w:id="68"/>
      <w:bookmarkEnd w:id="69"/>
    </w:p>
    <w:p/>
    <w:p>
      <w:pPr>
        <w:pStyle w:val="28"/>
        <w:numPr>
          <w:ilvl w:val="0"/>
          <w:numId w:val="2"/>
        </w:numPr>
        <w:spacing w:line="600" w:lineRule="exact"/>
        <w:ind w:firstLineChars="0"/>
        <w:outlineLvl w:val="1"/>
        <w:rPr>
          <w:rStyle w:val="30"/>
          <w:rFonts w:ascii="黑体" w:hAnsi="黑体" w:eastAsia="黑体"/>
          <w:b w:val="0"/>
        </w:rPr>
      </w:pPr>
      <w:bookmarkStart w:id="70" w:name="_Toc22596_WPSOffice_Level2"/>
      <w:bookmarkStart w:id="71" w:name="_Toc15396603"/>
      <w:bookmarkStart w:id="72" w:name="_Toc7523"/>
      <w:bookmarkStart w:id="73" w:name="_Toc15377205"/>
      <w:r>
        <w:rPr>
          <w:rFonts w:hint="eastAsia" w:ascii="黑体" w:hAnsi="黑体" w:eastAsia="黑体"/>
          <w:sz w:val="32"/>
          <w:szCs w:val="32"/>
        </w:rPr>
        <w:t>收</w:t>
      </w:r>
      <w:r>
        <w:rPr>
          <w:rStyle w:val="30"/>
          <w:rFonts w:hint="eastAsia" w:ascii="黑体" w:hAnsi="黑体" w:eastAsia="黑体"/>
          <w:b w:val="0"/>
        </w:rPr>
        <w:t>入支出决算总体情况说明</w:t>
      </w:r>
      <w:bookmarkEnd w:id="70"/>
      <w:bookmarkEnd w:id="71"/>
      <w:bookmarkEnd w:id="72"/>
      <w:bookmarkEnd w:id="73"/>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2021年度收入总计1657.46万元、支出总计1775.31万元。与2020年相比，收入减少43.59万元，支出增加56.33万元，收入减少2.56%，支出增长3.27</w:t>
      </w:r>
      <w:r>
        <w:rPr>
          <w:rFonts w:ascii="仿宋" w:hAnsi="仿宋" w:eastAsia="仿宋"/>
          <w:sz w:val="32"/>
          <w:szCs w:val="32"/>
        </w:rPr>
        <w:t>%</w:t>
      </w:r>
      <w:r>
        <w:rPr>
          <w:rFonts w:hint="eastAsia" w:ascii="仿宋" w:hAnsi="仿宋" w:eastAsia="仿宋"/>
          <w:sz w:val="32"/>
          <w:szCs w:val="32"/>
        </w:rPr>
        <w:t>。主要变动原因是：项目资金变动。</w:t>
      </w:r>
    </w:p>
    <w:p>
      <w:pPr>
        <w:spacing w:line="600" w:lineRule="exact"/>
        <w:ind w:firstLine="640" w:firstLineChars="200"/>
        <w:rPr>
          <w:rFonts w:ascii="仿宋" w:hAnsi="仿宋" w:eastAsia="仿宋"/>
          <w:sz w:val="32"/>
          <w:szCs w:val="32"/>
        </w:rPr>
      </w:pPr>
    </w:p>
    <w:p>
      <w:r>
        <w:drawing>
          <wp:inline distT="0" distB="0" distL="0" distR="0">
            <wp:extent cx="4903470" cy="2753360"/>
            <wp:effectExtent l="19050" t="0" r="11238" b="8417"/>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pStyle w:val="20"/>
      </w:pPr>
    </w:p>
    <w:p/>
    <w:p>
      <w:pPr>
        <w:pStyle w:val="28"/>
        <w:numPr>
          <w:ilvl w:val="0"/>
          <w:numId w:val="2"/>
        </w:numPr>
        <w:spacing w:line="600" w:lineRule="exact"/>
        <w:ind w:firstLineChars="0"/>
        <w:outlineLvl w:val="1"/>
        <w:rPr>
          <w:rStyle w:val="30"/>
          <w:rFonts w:ascii="黑体" w:hAnsi="黑体" w:eastAsia="黑体"/>
          <w:b w:val="0"/>
        </w:rPr>
      </w:pPr>
      <w:bookmarkStart w:id="74" w:name="_Toc1435"/>
      <w:bookmarkStart w:id="75" w:name="_Toc15396604"/>
      <w:bookmarkStart w:id="76" w:name="_Toc15377206"/>
      <w:bookmarkStart w:id="77" w:name="_Toc8780_WPSOffice_Level2"/>
      <w:r>
        <w:rPr>
          <w:rFonts w:hint="eastAsia" w:ascii="黑体" w:hAnsi="黑体" w:eastAsia="黑体"/>
          <w:sz w:val="32"/>
          <w:szCs w:val="32"/>
        </w:rPr>
        <w:t>收</w:t>
      </w:r>
      <w:r>
        <w:rPr>
          <w:rStyle w:val="30"/>
          <w:rFonts w:hint="eastAsia" w:ascii="黑体" w:hAnsi="黑体" w:eastAsia="黑体"/>
          <w:b w:val="0"/>
        </w:rPr>
        <w:t>入决算情况说明</w:t>
      </w:r>
      <w:bookmarkEnd w:id="74"/>
      <w:bookmarkEnd w:id="75"/>
      <w:bookmarkEnd w:id="76"/>
      <w:bookmarkEnd w:id="77"/>
    </w:p>
    <w:p>
      <w:pPr>
        <w:spacing w:line="600" w:lineRule="exact"/>
        <w:ind w:firstLine="640" w:firstLineChars="200"/>
        <w:outlineLvl w:val="1"/>
        <w:rPr>
          <w:rFonts w:ascii="仿宋" w:hAnsi="仿宋" w:eastAsia="仿宋"/>
          <w:sz w:val="32"/>
          <w:szCs w:val="32"/>
        </w:rPr>
      </w:pPr>
      <w:bookmarkStart w:id="78" w:name="_Toc23871"/>
      <w:r>
        <w:rPr>
          <w:rFonts w:ascii="仿宋" w:hAnsi="仿宋" w:eastAsia="仿宋"/>
          <w:sz w:val="32"/>
          <w:szCs w:val="32"/>
        </w:rPr>
        <w:t>20</w:t>
      </w:r>
      <w:r>
        <w:rPr>
          <w:rFonts w:hint="eastAsia" w:ascii="仿宋" w:hAnsi="仿宋" w:eastAsia="仿宋"/>
          <w:sz w:val="32"/>
          <w:szCs w:val="32"/>
        </w:rPr>
        <w:t>21年本年收入合计1657.46万元，其中：一般公共预算财政拨款收入1532.16万元，占92.4</w:t>
      </w:r>
      <w:r>
        <w:rPr>
          <w:rFonts w:ascii="仿宋" w:hAnsi="仿宋" w:eastAsia="仿宋"/>
          <w:sz w:val="32"/>
          <w:szCs w:val="32"/>
        </w:rPr>
        <w:t>%</w:t>
      </w:r>
      <w:r>
        <w:rPr>
          <w:rFonts w:hint="eastAsia" w:ascii="仿宋" w:hAnsi="仿宋" w:eastAsia="仿宋"/>
          <w:sz w:val="32"/>
          <w:szCs w:val="32"/>
        </w:rPr>
        <w:t>；政府性基金预算财政拨款收入125.3万元，占7.6</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color w:val="000000" w:themeColor="text1"/>
          <w:sz w:val="32"/>
          <w:szCs w:val="32"/>
          <w14:textFill>
            <w14:solidFill>
              <w14:schemeClr w14:val="tx1"/>
            </w14:solidFill>
          </w14:textFill>
        </w:rPr>
        <w:t>0</w:t>
      </w:r>
      <w:r>
        <w:rPr>
          <w:rFonts w:hint="eastAsia" w:ascii="仿宋" w:hAnsi="仿宋" w:eastAsia="仿宋"/>
          <w:sz w:val="32"/>
          <w:szCs w:val="32"/>
        </w:rPr>
        <w:t>万元，占0</w:t>
      </w:r>
      <w:r>
        <w:rPr>
          <w:rFonts w:ascii="仿宋" w:hAnsi="仿宋" w:eastAsia="仿宋"/>
          <w:sz w:val="32"/>
          <w:szCs w:val="32"/>
        </w:rPr>
        <w:t>%</w:t>
      </w:r>
      <w:r>
        <w:rPr>
          <w:rFonts w:hint="eastAsia" w:ascii="仿宋" w:hAnsi="仿宋" w:eastAsia="仿宋"/>
          <w:sz w:val="32"/>
          <w:szCs w:val="32"/>
        </w:rPr>
        <w:t>。</w:t>
      </w:r>
      <w:bookmarkEnd w:id="78"/>
    </w:p>
    <w:p>
      <w:pPr>
        <w:spacing w:line="600" w:lineRule="exact"/>
        <w:ind w:firstLine="640" w:firstLineChars="200"/>
        <w:outlineLvl w:val="1"/>
        <w:rPr>
          <w:rFonts w:ascii="仿宋" w:hAnsi="仿宋" w:eastAsia="仿宋"/>
          <w:sz w:val="32"/>
          <w:szCs w:val="32"/>
        </w:rPr>
      </w:pPr>
    </w:p>
    <w:p>
      <w:pPr>
        <w:pStyle w:val="20"/>
        <w:rPr>
          <w:rFonts w:ascii="仿宋" w:hAnsi="仿宋" w:eastAsia="仿宋"/>
          <w:color w:val="auto"/>
          <w:sz w:val="32"/>
          <w:szCs w:val="32"/>
        </w:rPr>
      </w:pPr>
      <w:r>
        <w:rPr>
          <w:rFonts w:ascii="仿宋" w:hAnsi="仿宋" w:eastAsia="仿宋"/>
          <w:sz w:val="32"/>
          <w:szCs w:val="32"/>
        </w:rPr>
        <w:drawing>
          <wp:inline distT="0" distB="0" distL="0" distR="0">
            <wp:extent cx="5038090" cy="2849245"/>
            <wp:effectExtent l="19050" t="0" r="9539" b="7974"/>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0"/>
        <w:rPr>
          <w:rFonts w:eastAsiaTheme="minorEastAsia"/>
        </w:rPr>
      </w:pPr>
    </w:p>
    <w:p>
      <w:pPr>
        <w:spacing w:line="600" w:lineRule="exact"/>
        <w:ind w:firstLine="1280" w:firstLineChars="400"/>
        <w:rPr>
          <w:rFonts w:ascii="仿宋" w:hAnsi="仿宋" w:eastAsia="仿宋"/>
          <w:sz w:val="32"/>
          <w:szCs w:val="32"/>
        </w:rPr>
      </w:pPr>
      <w:r>
        <w:rPr>
          <w:rFonts w:hint="eastAsia" w:ascii="仿宋" w:hAnsi="仿宋" w:eastAsia="仿宋"/>
          <w:sz w:val="32"/>
          <w:szCs w:val="32"/>
        </w:rPr>
        <w:t>（图2：收入决算结构图）（饼状图）</w:t>
      </w:r>
    </w:p>
    <w:p>
      <w:pPr>
        <w:pStyle w:val="28"/>
        <w:numPr>
          <w:ilvl w:val="0"/>
          <w:numId w:val="2"/>
        </w:numPr>
        <w:spacing w:line="600" w:lineRule="exact"/>
        <w:ind w:firstLineChars="0"/>
        <w:outlineLvl w:val="1"/>
        <w:rPr>
          <w:rStyle w:val="30"/>
          <w:rFonts w:ascii="黑体" w:hAnsi="黑体" w:eastAsia="黑体"/>
          <w:b w:val="0"/>
        </w:rPr>
      </w:pPr>
      <w:bookmarkStart w:id="79" w:name="_Toc15396605"/>
      <w:bookmarkStart w:id="80" w:name="_Toc15377207"/>
      <w:bookmarkStart w:id="81" w:name="_Toc11866"/>
      <w:bookmarkStart w:id="82" w:name="_Toc13101_WPSOffice_Level2"/>
      <w:r>
        <w:rPr>
          <w:rFonts w:hint="eastAsia" w:ascii="黑体" w:hAnsi="黑体" w:eastAsia="黑体"/>
          <w:sz w:val="32"/>
          <w:szCs w:val="32"/>
        </w:rPr>
        <w:t>支</w:t>
      </w:r>
      <w:r>
        <w:rPr>
          <w:rStyle w:val="30"/>
          <w:rFonts w:hint="eastAsia" w:ascii="黑体" w:hAnsi="黑体" w:eastAsia="黑体"/>
          <w:b w:val="0"/>
        </w:rPr>
        <w:t>出决算情况说明</w:t>
      </w:r>
      <w:bookmarkEnd w:id="79"/>
      <w:bookmarkEnd w:id="80"/>
      <w:bookmarkEnd w:id="81"/>
      <w:bookmarkEnd w:id="82"/>
    </w:p>
    <w:p>
      <w:pPr>
        <w:spacing w:line="600" w:lineRule="exact"/>
        <w:ind w:firstLine="640" w:firstLineChars="200"/>
        <w:outlineLvl w:val="1"/>
        <w:rPr>
          <w:rFonts w:ascii="仿宋" w:hAnsi="仿宋" w:eastAsia="仿宋"/>
          <w:sz w:val="32"/>
          <w:szCs w:val="32"/>
        </w:rPr>
      </w:pPr>
      <w:bookmarkStart w:id="83" w:name="_Toc22564"/>
      <w:r>
        <w:rPr>
          <w:rFonts w:ascii="仿宋" w:hAnsi="仿宋" w:eastAsia="仿宋"/>
          <w:sz w:val="32"/>
          <w:szCs w:val="32"/>
        </w:rPr>
        <w:t>20</w:t>
      </w:r>
      <w:r>
        <w:rPr>
          <w:rFonts w:hint="eastAsia" w:ascii="仿宋" w:hAnsi="仿宋" w:eastAsia="仿宋"/>
          <w:sz w:val="32"/>
          <w:szCs w:val="32"/>
        </w:rPr>
        <w:t>21年本年支出合计1775.31万元，其中：基本支出</w:t>
      </w:r>
      <w:r>
        <w:rPr>
          <w:rFonts w:hint="eastAsia" w:ascii="仿宋" w:hAnsi="仿宋" w:eastAsia="仿宋"/>
          <w:color w:val="000000" w:themeColor="text1"/>
          <w:sz w:val="32"/>
          <w:szCs w:val="32"/>
          <w14:textFill>
            <w14:solidFill>
              <w14:schemeClr w14:val="tx1"/>
            </w14:solidFill>
          </w14:textFill>
        </w:rPr>
        <w:t>1015.4</w:t>
      </w:r>
      <w:r>
        <w:rPr>
          <w:rFonts w:hint="eastAsia" w:ascii="仿宋" w:hAnsi="仿宋" w:eastAsia="仿宋"/>
          <w:sz w:val="32"/>
          <w:szCs w:val="32"/>
        </w:rPr>
        <w:t>万元，占57.2</w:t>
      </w:r>
      <w:r>
        <w:rPr>
          <w:rFonts w:ascii="仿宋" w:hAnsi="仿宋" w:eastAsia="仿宋"/>
          <w:sz w:val="32"/>
          <w:szCs w:val="32"/>
        </w:rPr>
        <w:t>%</w:t>
      </w:r>
      <w:r>
        <w:rPr>
          <w:rFonts w:hint="eastAsia" w:ascii="仿宋" w:hAnsi="仿宋" w:eastAsia="仿宋"/>
          <w:sz w:val="32"/>
          <w:szCs w:val="32"/>
        </w:rPr>
        <w:t>；项目支出759.91万元，占42.8</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bookmarkEnd w:id="83"/>
    </w:p>
    <w:p>
      <w:pPr>
        <w:pStyle w:val="2"/>
      </w:pPr>
    </w:p>
    <w:p>
      <w:pPr>
        <w:rPr>
          <w:rFonts w:hint="eastAsia" w:ascii="仿宋" w:hAnsi="仿宋" w:eastAsia="仿宋" w:cs="仿宋"/>
          <w:sz w:val="32"/>
          <w:szCs w:val="32"/>
        </w:rPr>
      </w:pPr>
      <w:r>
        <w:rPr>
          <w:rFonts w:hint="eastAsia" w:ascii="仿宋" w:hAnsi="仿宋" w:eastAsia="仿宋" w:cs="仿宋"/>
          <w:sz w:val="32"/>
          <w:szCs w:val="32"/>
        </w:rPr>
        <w:drawing>
          <wp:inline distT="0" distB="0" distL="0" distR="0">
            <wp:extent cx="5132070" cy="2710815"/>
            <wp:effectExtent l="19050" t="0" r="11001"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960" w:firstLineChars="300"/>
        <w:rPr>
          <w:rFonts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outlineLvl w:val="1"/>
        <w:rPr>
          <w:rStyle w:val="30"/>
          <w:rFonts w:ascii="黑体" w:hAnsi="黑体" w:eastAsia="黑体"/>
          <w:b w:val="0"/>
        </w:rPr>
      </w:pPr>
      <w:bookmarkStart w:id="84" w:name="_Toc15396606"/>
      <w:bookmarkStart w:id="85" w:name="_Toc15377208"/>
      <w:bookmarkStart w:id="86" w:name="_Toc21481"/>
      <w:bookmarkStart w:id="87" w:name="_Toc27789_WPSOffice_Level2"/>
      <w:r>
        <w:rPr>
          <w:rFonts w:hint="eastAsia" w:ascii="黑体" w:hAnsi="黑体" w:eastAsia="黑体"/>
          <w:sz w:val="32"/>
          <w:szCs w:val="32"/>
        </w:rPr>
        <w:t>四、财</w:t>
      </w:r>
      <w:r>
        <w:rPr>
          <w:rStyle w:val="30"/>
          <w:rFonts w:hint="eastAsia" w:ascii="黑体" w:hAnsi="黑体" w:eastAsia="黑体"/>
          <w:b w:val="0"/>
        </w:rPr>
        <w:t>政拨款收入支出决算总体情况说明</w:t>
      </w:r>
      <w:bookmarkEnd w:id="84"/>
      <w:bookmarkEnd w:id="85"/>
      <w:bookmarkEnd w:id="86"/>
      <w:bookmarkEnd w:id="87"/>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21年财政拨款收入总计1657.46万元、支出总计1775.31万元。与2020年相比，收入减少43.59万元，支出增加56.33万元，收入减少2.56%，支出增长3.27</w:t>
      </w:r>
      <w:r>
        <w:rPr>
          <w:rFonts w:ascii="仿宋" w:hAnsi="仿宋" w:eastAsia="仿宋"/>
          <w:sz w:val="32"/>
          <w:szCs w:val="32"/>
        </w:rPr>
        <w:t>%</w:t>
      </w:r>
      <w:r>
        <w:rPr>
          <w:rFonts w:hint="eastAsia" w:ascii="仿宋" w:hAnsi="仿宋" w:eastAsia="仿宋"/>
          <w:sz w:val="32"/>
          <w:szCs w:val="32"/>
        </w:rPr>
        <w:t>。主要变动原因是：项目资金变动。</w:t>
      </w:r>
    </w:p>
    <w:p>
      <w:pPr>
        <w:rPr>
          <w:rFonts w:ascii="仿宋" w:hAnsi="仿宋" w:eastAsia="仿宋"/>
          <w:sz w:val="32"/>
          <w:szCs w:val="32"/>
        </w:rPr>
      </w:pPr>
      <w:r>
        <w:rPr>
          <w:rFonts w:hint="eastAsia" w:ascii="仿宋" w:hAnsi="仿宋" w:eastAsia="仿宋"/>
          <w:sz w:val="32"/>
          <w:szCs w:val="32"/>
        </w:rPr>
        <w:drawing>
          <wp:inline distT="0" distB="0" distL="0" distR="0">
            <wp:extent cx="5274310" cy="3076575"/>
            <wp:effectExtent l="19050" t="0" r="21590" b="0"/>
            <wp:docPr id="15"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320" w:firstLineChars="100"/>
        <w:rPr>
          <w:rFonts w:ascii="仿宋" w:hAnsi="仿宋" w:eastAsia="仿宋"/>
          <w:b/>
          <w:sz w:val="32"/>
          <w:szCs w:val="32"/>
        </w:rPr>
      </w:pPr>
      <w:r>
        <w:rPr>
          <w:rFonts w:hint="eastAsia" w:ascii="仿宋" w:hAnsi="仿宋" w:eastAsia="仿宋"/>
          <w:sz w:val="32"/>
          <w:szCs w:val="32"/>
        </w:rPr>
        <w:t>（图4：财政拨款收、支决算总计变动情况）（柱状图）</w:t>
      </w:r>
    </w:p>
    <w:p>
      <w:pPr>
        <w:spacing w:line="600" w:lineRule="exact"/>
        <w:ind w:firstLine="640" w:firstLineChars="200"/>
        <w:outlineLvl w:val="1"/>
        <w:rPr>
          <w:rFonts w:ascii="黑体" w:hAnsi="黑体" w:eastAsia="黑体"/>
          <w:sz w:val="32"/>
          <w:szCs w:val="32"/>
        </w:rPr>
      </w:pPr>
      <w:bookmarkStart w:id="88" w:name="_Toc15396607"/>
      <w:bookmarkStart w:id="89" w:name="_Toc15377209"/>
    </w:p>
    <w:p>
      <w:pPr>
        <w:spacing w:line="600" w:lineRule="exact"/>
        <w:ind w:firstLine="640" w:firstLineChars="200"/>
        <w:outlineLvl w:val="1"/>
        <w:rPr>
          <w:rStyle w:val="30"/>
          <w:rFonts w:ascii="黑体" w:hAnsi="黑体" w:eastAsia="黑体"/>
          <w:b w:val="0"/>
        </w:rPr>
      </w:pPr>
      <w:bookmarkStart w:id="90" w:name="_Toc17374"/>
      <w:bookmarkStart w:id="91" w:name="_Toc4499_WPSOffice_Level2"/>
      <w:r>
        <w:rPr>
          <w:rFonts w:hint="eastAsia" w:ascii="黑体" w:hAnsi="黑体" w:eastAsia="黑体"/>
          <w:sz w:val="32"/>
          <w:szCs w:val="32"/>
        </w:rPr>
        <w:t>五、</w:t>
      </w:r>
      <w:r>
        <w:rPr>
          <w:rFonts w:hint="eastAsia" w:ascii="黑体" w:hAnsi="黑体" w:eastAsia="黑体"/>
          <w:b/>
          <w:sz w:val="32"/>
          <w:szCs w:val="32"/>
        </w:rPr>
        <w:t>一</w:t>
      </w:r>
      <w:r>
        <w:rPr>
          <w:rStyle w:val="30"/>
          <w:rFonts w:hint="eastAsia" w:ascii="黑体" w:hAnsi="黑体" w:eastAsia="黑体"/>
          <w:b w:val="0"/>
        </w:rPr>
        <w:t>般公共预算财政拨款支出决算情况说明</w:t>
      </w:r>
      <w:bookmarkEnd w:id="88"/>
      <w:bookmarkEnd w:id="89"/>
      <w:bookmarkEnd w:id="90"/>
      <w:bookmarkEnd w:id="91"/>
    </w:p>
    <w:p>
      <w:pPr>
        <w:spacing w:line="600" w:lineRule="exact"/>
        <w:ind w:firstLine="643" w:firstLineChars="200"/>
        <w:outlineLvl w:val="2"/>
        <w:rPr>
          <w:rFonts w:ascii="仿宋" w:hAnsi="仿宋" w:eastAsia="仿宋"/>
          <w:b/>
          <w:sz w:val="32"/>
          <w:szCs w:val="32"/>
        </w:rPr>
      </w:pPr>
      <w:bookmarkStart w:id="92" w:name="_Toc15377210"/>
      <w:r>
        <w:rPr>
          <w:rFonts w:hint="eastAsia" w:ascii="仿宋" w:hAnsi="仿宋" w:eastAsia="仿宋"/>
          <w:b/>
          <w:sz w:val="32"/>
          <w:szCs w:val="32"/>
        </w:rPr>
        <w:t>（一）一般公共预算财政拨款支出决算总体情况</w:t>
      </w:r>
      <w:bookmarkEnd w:id="92"/>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21年一般公共预算财政拨款支出1650.01万元，占本年支出合计的92.9</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20年相比，一般公共预算财政拨款支出增加285.51万元，增长20.9</w:t>
      </w:r>
      <w:r>
        <w:rPr>
          <w:rFonts w:ascii="仿宋" w:hAnsi="仿宋" w:eastAsia="仿宋"/>
          <w:sz w:val="32"/>
          <w:szCs w:val="32"/>
        </w:rPr>
        <w:t>%</w:t>
      </w:r>
      <w:r>
        <w:rPr>
          <w:rFonts w:hint="eastAsia" w:ascii="仿宋" w:hAnsi="仿宋" w:eastAsia="仿宋"/>
          <w:sz w:val="32"/>
          <w:szCs w:val="32"/>
        </w:rPr>
        <w:t>。主要变动原因是：本年人员增多、项目支出增加。</w:t>
      </w: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pStyle w:val="2"/>
      </w:pPr>
      <w:r>
        <w:rPr>
          <w:rFonts w:hint="eastAsia"/>
        </w:rPr>
        <w:drawing>
          <wp:inline distT="0" distB="0" distL="0" distR="0">
            <wp:extent cx="5041900" cy="3072765"/>
            <wp:effectExtent l="19050" t="0" r="25252" b="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pPr>
    </w:p>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pStyle w:val="2"/>
      </w:pPr>
    </w:p>
    <w:p/>
    <w:p>
      <w:pPr>
        <w:pStyle w:val="2"/>
      </w:pPr>
    </w:p>
    <w:p>
      <w:pPr>
        <w:spacing w:line="600" w:lineRule="exact"/>
        <w:ind w:firstLine="643" w:firstLineChars="200"/>
        <w:outlineLvl w:val="2"/>
        <w:rPr>
          <w:rFonts w:ascii="仿宋" w:hAnsi="仿宋" w:eastAsia="仿宋"/>
          <w:b/>
          <w:sz w:val="32"/>
          <w:szCs w:val="32"/>
        </w:rPr>
      </w:pPr>
      <w:bookmarkStart w:id="93" w:name="_Toc15377211"/>
      <w:r>
        <w:rPr>
          <w:rFonts w:hint="eastAsia" w:ascii="仿宋" w:hAnsi="仿宋" w:eastAsia="仿宋"/>
          <w:b/>
          <w:sz w:val="32"/>
          <w:szCs w:val="32"/>
        </w:rPr>
        <w:t>（二）一般公共预算财政拨款支出决算结构情况</w:t>
      </w:r>
      <w:bookmarkEnd w:id="9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21年一般公共预算财政拨款支出1650.04万元，主要用于以下方面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支出525.59万元，占31.8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w:t>
      </w:r>
      <w:r>
        <w:rPr>
          <w:rFonts w:hint="eastAsia" w:ascii="仿宋" w:hAnsi="仿宋" w:eastAsia="仿宋"/>
          <w:sz w:val="32"/>
          <w:szCs w:val="32"/>
        </w:rPr>
        <w:t>支出38.52万元，占2.3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w:t>
      </w:r>
      <w:r>
        <w:rPr>
          <w:rFonts w:hint="eastAsia" w:ascii="仿宋" w:hAnsi="仿宋" w:eastAsia="仿宋"/>
          <w:color w:val="000000" w:themeColor="text1"/>
          <w:sz w:val="32"/>
          <w:szCs w:val="32"/>
          <w14:textFill>
            <w14:solidFill>
              <w14:schemeClr w14:val="tx1"/>
            </w14:solidFill>
          </w14:textFill>
        </w:rPr>
        <w:t>出247.77万元，占15</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卫生健康（类）</w:t>
      </w:r>
      <w:r>
        <w:rPr>
          <w:rFonts w:hint="eastAsia" w:ascii="仿宋" w:hAnsi="仿宋" w:eastAsia="仿宋"/>
          <w:color w:val="000000" w:themeColor="text1"/>
          <w:sz w:val="32"/>
          <w:szCs w:val="32"/>
          <w14:textFill>
            <w14:solidFill>
              <w14:schemeClr w14:val="tx1"/>
            </w14:solidFill>
          </w14:textFill>
        </w:rPr>
        <w:t>支出46.77万元，占2.8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节能环保（类）</w:t>
      </w:r>
      <w:r>
        <w:rPr>
          <w:rFonts w:hint="eastAsia" w:ascii="仿宋" w:hAnsi="仿宋" w:eastAsia="仿宋"/>
          <w:color w:val="000000" w:themeColor="text1"/>
          <w:sz w:val="32"/>
          <w:szCs w:val="32"/>
          <w14:textFill>
            <w14:solidFill>
              <w14:schemeClr w14:val="tx1"/>
            </w14:solidFill>
          </w14:textFill>
        </w:rPr>
        <w:t>支出2.62万元，占0.15%；</w:t>
      </w:r>
      <w:r>
        <w:rPr>
          <w:rFonts w:hint="eastAsia" w:ascii="仿宋" w:hAnsi="仿宋" w:eastAsia="仿宋"/>
          <w:b/>
          <w:color w:val="000000" w:themeColor="text1"/>
          <w:sz w:val="32"/>
          <w:szCs w:val="32"/>
          <w14:textFill>
            <w14:solidFill>
              <w14:schemeClr w14:val="tx1"/>
            </w14:solidFill>
          </w14:textFill>
        </w:rPr>
        <w:t>城乡社区（类）</w:t>
      </w:r>
      <w:r>
        <w:rPr>
          <w:rFonts w:hint="eastAsia" w:ascii="仿宋" w:hAnsi="仿宋" w:eastAsia="仿宋"/>
          <w:color w:val="000000" w:themeColor="text1"/>
          <w:sz w:val="32"/>
          <w:szCs w:val="32"/>
          <w14:textFill>
            <w14:solidFill>
              <w14:schemeClr w14:val="tx1"/>
            </w14:solidFill>
          </w14:textFill>
        </w:rPr>
        <w:t>支出8.22万元，占0.5%；</w:t>
      </w:r>
      <w:r>
        <w:rPr>
          <w:rFonts w:hint="eastAsia" w:ascii="仿宋" w:hAnsi="仿宋" w:eastAsia="仿宋"/>
          <w:b/>
          <w:bCs/>
          <w:color w:val="000000" w:themeColor="text1"/>
          <w:sz w:val="32"/>
          <w:szCs w:val="32"/>
          <w14:textFill>
            <w14:solidFill>
              <w14:schemeClr w14:val="tx1"/>
            </w14:solidFill>
          </w14:textFill>
        </w:rPr>
        <w:t>农林水（类）</w:t>
      </w:r>
      <w:r>
        <w:rPr>
          <w:rFonts w:hint="eastAsia" w:ascii="仿宋" w:hAnsi="仿宋" w:eastAsia="仿宋"/>
          <w:color w:val="000000" w:themeColor="text1"/>
          <w:sz w:val="32"/>
          <w:szCs w:val="32"/>
          <w14:textFill>
            <w14:solidFill>
              <w14:schemeClr w14:val="tx1"/>
            </w14:solidFill>
          </w14:textFill>
        </w:rPr>
        <w:t>支出625.88万元，</w:t>
      </w:r>
      <w:r>
        <w:rPr>
          <w:rFonts w:hint="eastAsia" w:ascii="仿宋" w:hAnsi="仿宋" w:eastAsia="仿宋"/>
          <w:sz w:val="32"/>
          <w:szCs w:val="32"/>
        </w:rPr>
        <w:t>占37.9%；</w:t>
      </w:r>
      <w:r>
        <w:rPr>
          <w:rFonts w:hint="eastAsia" w:ascii="仿宋" w:hAnsi="仿宋" w:eastAsia="仿宋"/>
          <w:b/>
          <w:color w:val="000000" w:themeColor="text1"/>
          <w:sz w:val="32"/>
          <w:szCs w:val="32"/>
          <w14:textFill>
            <w14:solidFill>
              <w14:schemeClr w14:val="tx1"/>
            </w14:solidFill>
          </w14:textFill>
        </w:rPr>
        <w:t>交通运输支出</w:t>
      </w:r>
      <w:r>
        <w:rPr>
          <w:rFonts w:hint="eastAsia" w:ascii="仿宋" w:hAnsi="仿宋" w:eastAsia="仿宋"/>
          <w:sz w:val="32"/>
          <w:szCs w:val="32"/>
        </w:rPr>
        <w:t>3.28万元，占0.2%；</w:t>
      </w:r>
      <w:r>
        <w:rPr>
          <w:rFonts w:hint="eastAsia" w:ascii="仿宋" w:hAnsi="仿宋" w:eastAsia="仿宋"/>
          <w:b/>
          <w:color w:val="000000" w:themeColor="text1"/>
          <w:sz w:val="32"/>
          <w:szCs w:val="32"/>
          <w14:textFill>
            <w14:solidFill>
              <w14:schemeClr w14:val="tx1"/>
            </w14:solidFill>
          </w14:textFill>
        </w:rPr>
        <w:t>自然资源海洋气象等支出</w:t>
      </w:r>
      <w:r>
        <w:rPr>
          <w:rFonts w:hint="eastAsia" w:ascii="仿宋" w:hAnsi="仿宋" w:eastAsia="仿宋"/>
          <w:sz w:val="32"/>
          <w:szCs w:val="32"/>
        </w:rPr>
        <w:t>1.23万元，占0.07%；</w:t>
      </w:r>
      <w:r>
        <w:rPr>
          <w:rFonts w:hint="eastAsia" w:ascii="仿宋" w:hAnsi="仿宋" w:eastAsia="仿宋"/>
          <w:b/>
          <w:bCs/>
          <w:sz w:val="32"/>
          <w:szCs w:val="32"/>
        </w:rPr>
        <w:t>住房保障（类）</w:t>
      </w:r>
      <w:r>
        <w:rPr>
          <w:rFonts w:hint="eastAsia" w:ascii="仿宋" w:hAnsi="仿宋" w:eastAsia="仿宋"/>
          <w:sz w:val="32"/>
          <w:szCs w:val="32"/>
        </w:rPr>
        <w:t>支出75.65万元，占4.58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灾害防治及应急管理（类）</w:t>
      </w:r>
      <w:r>
        <w:rPr>
          <w:rFonts w:hint="eastAsia" w:ascii="仿宋" w:hAnsi="仿宋" w:eastAsia="仿宋"/>
          <w:sz w:val="32"/>
          <w:szCs w:val="32"/>
        </w:rPr>
        <w:t>支出35.62万元，占2.15%。；</w:t>
      </w:r>
      <w:r>
        <w:rPr>
          <w:rFonts w:hint="eastAsia" w:ascii="仿宋" w:hAnsi="仿宋" w:eastAsia="仿宋"/>
          <w:b/>
          <w:bCs/>
          <w:sz w:val="32"/>
          <w:szCs w:val="32"/>
        </w:rPr>
        <w:t>其他支出（类）</w:t>
      </w:r>
      <w:r>
        <w:rPr>
          <w:rFonts w:hint="eastAsia" w:ascii="仿宋" w:hAnsi="仿宋" w:eastAsia="仿宋"/>
          <w:sz w:val="32"/>
          <w:szCs w:val="32"/>
        </w:rPr>
        <w:t>38.81万元，占2.3%。</w:t>
      </w:r>
    </w:p>
    <w:p>
      <w:pPr>
        <w:rPr>
          <w:rFonts w:ascii="仿宋" w:hAnsi="仿宋" w:eastAsia="仿宋"/>
          <w:sz w:val="32"/>
          <w:szCs w:val="32"/>
        </w:rPr>
      </w:pPr>
      <w:r>
        <w:rPr>
          <w:rFonts w:ascii="仿宋" w:hAnsi="仿宋" w:eastAsia="仿宋"/>
          <w:sz w:val="32"/>
          <w:szCs w:val="32"/>
        </w:rPr>
        <w:drawing>
          <wp:inline distT="0" distB="0" distL="0" distR="0">
            <wp:extent cx="5274310" cy="3076575"/>
            <wp:effectExtent l="19050" t="0" r="21590" b="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pStyle w:val="2"/>
        <w:ind w:left="0" w:leftChars="0" w:firstLine="0" w:firstLineChars="0"/>
      </w:pPr>
    </w:p>
    <w:p>
      <w:pPr>
        <w:spacing w:line="600" w:lineRule="exact"/>
        <w:ind w:firstLine="643" w:firstLineChars="200"/>
        <w:outlineLvl w:val="2"/>
        <w:rPr>
          <w:rFonts w:ascii="仿宋" w:hAnsi="仿宋" w:eastAsia="仿宋"/>
          <w:b/>
          <w:sz w:val="32"/>
          <w:szCs w:val="32"/>
        </w:rPr>
      </w:pPr>
      <w:bookmarkStart w:id="94" w:name="_Toc15377212"/>
      <w:r>
        <w:rPr>
          <w:rFonts w:hint="eastAsia" w:ascii="仿宋" w:hAnsi="仿宋" w:eastAsia="仿宋"/>
          <w:b/>
          <w:sz w:val="32"/>
          <w:szCs w:val="32"/>
        </w:rPr>
        <w:t>（三）一般公共预算财政拨款支出决算具体情况</w:t>
      </w:r>
      <w:bookmarkEnd w:id="94"/>
    </w:p>
    <w:p>
      <w:pPr>
        <w:spacing w:line="600" w:lineRule="exact"/>
        <w:ind w:firstLine="643" w:firstLineChars="200"/>
        <w:outlineLvl w:val="2"/>
        <w:rPr>
          <w:rFonts w:ascii="仿宋" w:hAnsi="仿宋" w:eastAsia="仿宋"/>
          <w:sz w:val="32"/>
          <w:szCs w:val="32"/>
        </w:rPr>
      </w:pPr>
      <w:bookmarkStart w:id="95" w:name="_Toc15378460"/>
      <w:bookmarkStart w:id="96" w:name="_Toc15377444"/>
      <w:bookmarkStart w:id="97" w:name="_Toc15377213"/>
      <w:r>
        <w:rPr>
          <w:rFonts w:hint="eastAsia" w:ascii="仿宋" w:hAnsi="仿宋" w:eastAsia="仿宋"/>
          <w:b/>
          <w:sz w:val="32"/>
          <w:szCs w:val="32"/>
        </w:rPr>
        <w:t>2021年一般公共预算支出决算数为1650.01万元</w:t>
      </w:r>
      <w:r>
        <w:rPr>
          <w:rFonts w:hint="eastAsia" w:ascii="仿宋" w:hAnsi="仿宋" w:eastAsia="仿宋"/>
          <w:sz w:val="32"/>
          <w:szCs w:val="32"/>
        </w:rPr>
        <w:t>，</w:t>
      </w:r>
      <w:r>
        <w:rPr>
          <w:rStyle w:val="18"/>
          <w:rFonts w:hint="eastAsia" w:ascii="仿宋" w:hAnsi="仿宋" w:eastAsia="仿宋"/>
          <w:bCs/>
          <w:sz w:val="32"/>
          <w:szCs w:val="32"/>
        </w:rPr>
        <w:t>完成预算100</w:t>
      </w:r>
      <w:r>
        <w:rPr>
          <w:rStyle w:val="18"/>
          <w:rFonts w:ascii="仿宋" w:hAnsi="仿宋" w:eastAsia="仿宋"/>
          <w:bCs/>
          <w:sz w:val="32"/>
          <w:szCs w:val="32"/>
        </w:rPr>
        <w:t>%</w:t>
      </w:r>
      <w:r>
        <w:rPr>
          <w:rStyle w:val="18"/>
          <w:rFonts w:hint="eastAsia" w:ascii="仿宋" w:hAnsi="仿宋" w:eastAsia="仿宋"/>
          <w:bCs/>
          <w:sz w:val="32"/>
          <w:szCs w:val="32"/>
        </w:rPr>
        <w:t>。其中：</w:t>
      </w:r>
      <w:bookmarkEnd w:id="95"/>
      <w:bookmarkEnd w:id="96"/>
      <w:bookmarkEnd w:id="97"/>
    </w:p>
    <w:p>
      <w:p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sz w:val="32"/>
          <w:szCs w:val="32"/>
        </w:rPr>
        <w:t>1.一般公共服务（类）人大事务（款）行政运行（项）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支出决算为18.19万元，完成预算100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2.</w:t>
      </w:r>
      <w:r>
        <w:rPr>
          <w:rStyle w:val="18"/>
          <w:rFonts w:hint="eastAsia" w:ascii="仿宋" w:hAnsi="仿宋" w:eastAsia="仿宋"/>
          <w:bCs/>
          <w:sz w:val="32"/>
          <w:szCs w:val="32"/>
        </w:rPr>
        <w:t>一般公共服务（类）人大事务（款）人大会议（项）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支出决算为4.01万元，完成预算100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sz w:val="32"/>
          <w:szCs w:val="32"/>
        </w:rPr>
        <w:t>3</w:t>
      </w:r>
      <w:r>
        <w:rPr>
          <w:rStyle w:val="18"/>
          <w:rFonts w:ascii="仿宋" w:hAnsi="仿宋" w:eastAsia="仿宋"/>
          <w:bCs/>
          <w:sz w:val="32"/>
          <w:szCs w:val="32"/>
        </w:rPr>
        <w:t>.</w:t>
      </w:r>
      <w:r>
        <w:rPr>
          <w:rStyle w:val="18"/>
          <w:rFonts w:hint="eastAsia" w:ascii="仿宋" w:hAnsi="仿宋" w:eastAsia="仿宋"/>
          <w:bCs/>
          <w:sz w:val="32"/>
          <w:szCs w:val="32"/>
        </w:rPr>
        <w:t>一般公共服务（类）人大事务（款）其他人大事务支出（项）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sz w:val="32"/>
          <w:szCs w:val="32"/>
          <w:lang w:val="en-US" w:eastAsia="zh-CN"/>
        </w:rPr>
        <w:t>4.96</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rPr>
        <w:t>4</w:t>
      </w:r>
      <w:r>
        <w:rPr>
          <w:rStyle w:val="18"/>
          <w:rFonts w:ascii="仿宋" w:hAnsi="仿宋" w:eastAsia="仿宋"/>
          <w:bCs/>
          <w:sz w:val="32"/>
          <w:szCs w:val="32"/>
        </w:rPr>
        <w:t>.</w:t>
      </w:r>
      <w:r>
        <w:rPr>
          <w:rStyle w:val="18"/>
          <w:rFonts w:hint="eastAsia" w:ascii="仿宋" w:hAnsi="仿宋" w:eastAsia="仿宋"/>
          <w:bCs/>
          <w:sz w:val="32"/>
          <w:szCs w:val="32"/>
        </w:rPr>
        <w:t>一般公共服务（类）政府办公厅（室）及相关机构事务（款） 行政运行（项）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支出决算为427.65万元，完成预算100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sz w:val="32"/>
          <w:szCs w:val="32"/>
        </w:rPr>
        <w:t>5</w:t>
      </w:r>
      <w:r>
        <w:rPr>
          <w:rStyle w:val="18"/>
          <w:rFonts w:ascii="仿宋" w:hAnsi="仿宋" w:eastAsia="仿宋"/>
          <w:bCs/>
          <w:sz w:val="32"/>
          <w:szCs w:val="32"/>
        </w:rPr>
        <w:t>.</w:t>
      </w:r>
      <w:r>
        <w:rPr>
          <w:rStyle w:val="18"/>
          <w:rFonts w:hint="eastAsia" w:ascii="仿宋" w:hAnsi="仿宋" w:eastAsia="仿宋"/>
          <w:bCs/>
          <w:sz w:val="32"/>
          <w:szCs w:val="32"/>
        </w:rPr>
        <w:t>一般公共服务（类）政府办公厅（室）及相关机构事务（款）一般行政管理事务（项）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支出决算为6.03万元，完成预算100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Fonts w:ascii="仿宋" w:hAnsi="仿宋" w:eastAsia="仿宋"/>
          <w:bCs/>
          <w:sz w:val="32"/>
          <w:szCs w:val="32"/>
        </w:rPr>
      </w:pPr>
      <w:r>
        <w:rPr>
          <w:rStyle w:val="18"/>
          <w:rFonts w:hint="eastAsia" w:ascii="仿宋" w:hAnsi="仿宋" w:eastAsia="仿宋"/>
          <w:bCs/>
          <w:sz w:val="32"/>
          <w:szCs w:val="32"/>
        </w:rPr>
        <w:t>6.一般公共服务（类）政府办公厅（室）及相关机构事务（款）事业运行（项）：</w:t>
      </w:r>
      <w:r>
        <w:rPr>
          <w:rStyle w:val="18"/>
          <w:rFonts w:hint="eastAsia" w:ascii="仿宋" w:hAnsi="仿宋" w:eastAsia="仿宋"/>
          <w:b w:val="0"/>
          <w:bCs/>
          <w:sz w:val="32"/>
          <w:szCs w:val="32"/>
        </w:rPr>
        <w:t>支出决算12.77万元，完成预算100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sz w:val="32"/>
          <w:szCs w:val="32"/>
        </w:rPr>
        <w:t>7</w:t>
      </w:r>
      <w:r>
        <w:rPr>
          <w:rStyle w:val="18"/>
          <w:rFonts w:ascii="仿宋" w:hAnsi="仿宋" w:eastAsia="仿宋"/>
          <w:bCs/>
          <w:sz w:val="32"/>
          <w:szCs w:val="32"/>
        </w:rPr>
        <w:t>.</w:t>
      </w:r>
      <w:r>
        <w:rPr>
          <w:rStyle w:val="18"/>
          <w:rFonts w:hint="eastAsia" w:ascii="仿宋" w:hAnsi="仿宋" w:eastAsia="仿宋"/>
          <w:bCs/>
          <w:sz w:val="32"/>
          <w:szCs w:val="32"/>
        </w:rPr>
        <w:t>一般公共服务（类）民族事务（款） 其他民族事务支出（项）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支出决算为2万元，完成预算100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 xml:space="preserve">，决算数与预算数持平。  </w:t>
      </w:r>
    </w:p>
    <w:p>
      <w:pPr>
        <w:spacing w:line="600" w:lineRule="exact"/>
        <w:ind w:firstLine="643" w:firstLineChars="200"/>
        <w:rPr>
          <w:rStyle w:val="18"/>
          <w:rFonts w:ascii="仿宋" w:hAnsi="仿宋" w:eastAsia="仿宋"/>
          <w:sz w:val="32"/>
          <w:szCs w:val="32"/>
        </w:rPr>
      </w:pPr>
      <w:r>
        <w:rPr>
          <w:rStyle w:val="18"/>
          <w:rFonts w:hint="eastAsia" w:ascii="仿宋" w:hAnsi="仿宋" w:eastAsia="仿宋"/>
          <w:bCs/>
          <w:sz w:val="32"/>
          <w:szCs w:val="32"/>
        </w:rPr>
        <w:t>8.一般公共服务（类）民族事务（款）民族工作专项（项）：</w:t>
      </w:r>
      <w:r>
        <w:rPr>
          <w:rStyle w:val="18"/>
          <w:rFonts w:hint="eastAsia" w:ascii="仿宋" w:hAnsi="仿宋" w:eastAsia="仿宋"/>
          <w:b w:val="0"/>
          <w:bCs/>
          <w:sz w:val="32"/>
          <w:szCs w:val="32"/>
        </w:rPr>
        <w:t>支出决算为2.64万元，完成预算100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sz w:val="32"/>
          <w:szCs w:val="32"/>
        </w:rPr>
        <w:t>9</w:t>
      </w:r>
      <w:r>
        <w:rPr>
          <w:rStyle w:val="18"/>
          <w:rFonts w:ascii="仿宋" w:hAnsi="仿宋" w:eastAsia="仿宋"/>
          <w:bCs/>
          <w:sz w:val="32"/>
          <w:szCs w:val="32"/>
        </w:rPr>
        <w:t>.</w:t>
      </w:r>
      <w:r>
        <w:rPr>
          <w:rStyle w:val="18"/>
          <w:rFonts w:hint="eastAsia" w:ascii="仿宋" w:hAnsi="仿宋" w:eastAsia="仿宋"/>
          <w:bCs/>
          <w:sz w:val="32"/>
          <w:szCs w:val="32"/>
        </w:rPr>
        <w:t>一般公共服务（类）群众团体事务（款） 行政运行（项）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支出决算为30.26万元，完成预算100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sz w:val="32"/>
          <w:szCs w:val="32"/>
        </w:rPr>
        <w:t>10</w:t>
      </w:r>
      <w:r>
        <w:rPr>
          <w:rStyle w:val="18"/>
          <w:rFonts w:ascii="仿宋" w:hAnsi="仿宋" w:eastAsia="仿宋"/>
          <w:bCs/>
          <w:sz w:val="32"/>
          <w:szCs w:val="32"/>
        </w:rPr>
        <w:t>.</w:t>
      </w:r>
      <w:r>
        <w:rPr>
          <w:rStyle w:val="18"/>
          <w:rFonts w:hint="eastAsia" w:ascii="仿宋" w:hAnsi="仿宋" w:eastAsia="仿宋"/>
          <w:bCs/>
          <w:sz w:val="32"/>
          <w:szCs w:val="32"/>
        </w:rPr>
        <w:t>一般公共服务（类）党委办公厅（室）及相关机构事务（款） 行政运行（项）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支出决算为17.04万元，完成预算100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sz w:val="32"/>
          <w:szCs w:val="32"/>
        </w:rPr>
        <w:t>11</w:t>
      </w:r>
      <w:r>
        <w:rPr>
          <w:rStyle w:val="18"/>
          <w:rFonts w:ascii="仿宋" w:hAnsi="仿宋" w:eastAsia="仿宋"/>
          <w:bCs/>
          <w:sz w:val="32"/>
          <w:szCs w:val="32"/>
        </w:rPr>
        <w:t>.</w:t>
      </w:r>
      <w:r>
        <w:rPr>
          <w:rStyle w:val="18"/>
          <w:rFonts w:hint="eastAsia" w:ascii="仿宋" w:hAnsi="仿宋" w:eastAsia="仿宋"/>
          <w:bCs/>
          <w:sz w:val="32"/>
          <w:szCs w:val="32"/>
        </w:rPr>
        <w:t>文化旅游体育与传媒支出（类）文化和旅游（款） 群众文化（项）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支出决算为21.53万元，完成预算100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sz w:val="32"/>
          <w:szCs w:val="32"/>
        </w:rPr>
        <w:t>12</w:t>
      </w:r>
      <w:r>
        <w:rPr>
          <w:rStyle w:val="18"/>
          <w:rFonts w:ascii="仿宋" w:hAnsi="仿宋" w:eastAsia="仿宋"/>
          <w:bCs/>
          <w:sz w:val="32"/>
          <w:szCs w:val="32"/>
        </w:rPr>
        <w:t>.</w:t>
      </w:r>
      <w:r>
        <w:rPr>
          <w:rStyle w:val="18"/>
          <w:rFonts w:hint="eastAsia" w:ascii="仿宋" w:hAnsi="仿宋" w:eastAsia="仿宋"/>
          <w:bCs/>
          <w:sz w:val="32"/>
          <w:szCs w:val="32"/>
        </w:rPr>
        <w:t>文化旅游体育与传媒支出（类）文化和旅游（款） 其他文化和旅游支出（项）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支出决算为5.39万元，完成预算100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sz w:val="32"/>
          <w:szCs w:val="32"/>
        </w:rPr>
        <w:t>13</w:t>
      </w:r>
      <w:r>
        <w:rPr>
          <w:rStyle w:val="18"/>
          <w:rFonts w:ascii="仿宋" w:hAnsi="仿宋" w:eastAsia="仿宋"/>
          <w:bCs/>
          <w:sz w:val="32"/>
          <w:szCs w:val="32"/>
        </w:rPr>
        <w:t>.</w:t>
      </w:r>
      <w:r>
        <w:rPr>
          <w:rStyle w:val="18"/>
          <w:rFonts w:hint="eastAsia" w:ascii="仿宋" w:hAnsi="仿宋" w:eastAsia="仿宋"/>
          <w:bCs/>
          <w:sz w:val="32"/>
          <w:szCs w:val="32"/>
        </w:rPr>
        <w:t>文化旅游体育与传媒支出（类）其他文化旅游体育与传媒支出（款）其他文化旅游体育与传媒支出（项）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支出决算为11.6万元，完成预算100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sz w:val="32"/>
          <w:szCs w:val="32"/>
        </w:rPr>
        <w:t>14</w:t>
      </w:r>
      <w:r>
        <w:rPr>
          <w:rStyle w:val="18"/>
          <w:rFonts w:ascii="仿宋" w:hAnsi="仿宋" w:eastAsia="仿宋"/>
          <w:bCs/>
          <w:sz w:val="32"/>
          <w:szCs w:val="32"/>
        </w:rPr>
        <w:t>.</w:t>
      </w:r>
      <w:r>
        <w:rPr>
          <w:rStyle w:val="18"/>
          <w:rFonts w:hint="eastAsia" w:ascii="仿宋" w:hAnsi="仿宋" w:eastAsia="仿宋"/>
          <w:bCs/>
          <w:sz w:val="32"/>
          <w:szCs w:val="32"/>
        </w:rPr>
        <w:t>社会保障和就业支出（类）人力资源和社会保障管理事务（款）社会保险经办机构（项）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支出决算为19.66万元，完成预算100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rPr>
        <w:t>15</w:t>
      </w:r>
      <w:r>
        <w:rPr>
          <w:rStyle w:val="18"/>
          <w:rFonts w:ascii="仿宋" w:hAnsi="仿宋" w:eastAsia="仿宋"/>
          <w:bCs/>
          <w:sz w:val="32"/>
          <w:szCs w:val="32"/>
        </w:rPr>
        <w:t>.</w:t>
      </w:r>
      <w:r>
        <w:rPr>
          <w:rStyle w:val="18"/>
          <w:rFonts w:hint="eastAsia" w:ascii="仿宋" w:hAnsi="仿宋" w:eastAsia="仿宋"/>
          <w:bCs/>
          <w:sz w:val="32"/>
          <w:szCs w:val="32"/>
        </w:rPr>
        <w:t>社会保障和就业支出（类）民政管理事务（款）行政区划和地名管理（项）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支出决算为16.79万元，完成预算100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Style w:val="18"/>
          <w:rFonts w:ascii="仿宋" w:hAnsi="仿宋" w:eastAsia="仿宋"/>
          <w:bCs/>
          <w:sz w:val="32"/>
          <w:szCs w:val="32"/>
        </w:rPr>
      </w:pPr>
      <w:r>
        <w:rPr>
          <w:rStyle w:val="18"/>
          <w:rFonts w:hint="eastAsia" w:ascii="仿宋" w:hAnsi="仿宋" w:eastAsia="仿宋"/>
          <w:bCs/>
          <w:sz w:val="32"/>
          <w:szCs w:val="32"/>
        </w:rPr>
        <w:t>16</w:t>
      </w:r>
      <w:r>
        <w:rPr>
          <w:rStyle w:val="18"/>
          <w:rFonts w:ascii="仿宋" w:hAnsi="仿宋" w:eastAsia="仿宋"/>
          <w:bCs/>
          <w:sz w:val="32"/>
          <w:szCs w:val="32"/>
        </w:rPr>
        <w:t>.</w:t>
      </w:r>
      <w:r>
        <w:rPr>
          <w:rStyle w:val="18"/>
          <w:rFonts w:hint="eastAsia" w:ascii="仿宋" w:hAnsi="仿宋" w:eastAsia="仿宋"/>
          <w:bCs/>
          <w:sz w:val="32"/>
          <w:szCs w:val="32"/>
        </w:rPr>
        <w:t>社会保障和就业支出（类）民政管理事务（款） 基层政权建设和社区治理（项）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支出决算为67.26万元，完成预算100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rPr>
        <w:t>17</w:t>
      </w:r>
      <w:r>
        <w:rPr>
          <w:rStyle w:val="18"/>
          <w:rFonts w:ascii="仿宋" w:hAnsi="仿宋" w:eastAsia="仿宋"/>
          <w:bCs/>
          <w:sz w:val="32"/>
          <w:szCs w:val="32"/>
        </w:rPr>
        <w:t>.</w:t>
      </w:r>
      <w:r>
        <w:rPr>
          <w:rStyle w:val="18"/>
          <w:rFonts w:hint="eastAsia" w:ascii="仿宋" w:hAnsi="仿宋" w:eastAsia="仿宋"/>
          <w:bCs/>
          <w:sz w:val="32"/>
          <w:szCs w:val="32"/>
        </w:rPr>
        <w:t>社会保障和就业支出（类）行政事业单位养老支出（款）行政单位离退休（项）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支出决算为35.52万元，完成预算100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Fonts w:ascii="仿宋" w:hAnsi="仿宋" w:eastAsia="仿宋"/>
          <w:b/>
          <w:sz w:val="32"/>
          <w:szCs w:val="32"/>
        </w:rPr>
      </w:pPr>
      <w:r>
        <w:rPr>
          <w:rStyle w:val="18"/>
          <w:rFonts w:hint="eastAsia" w:ascii="仿宋" w:hAnsi="仿宋" w:eastAsia="仿宋"/>
          <w:bCs/>
          <w:sz w:val="32"/>
          <w:szCs w:val="32"/>
        </w:rPr>
        <w:t>18</w:t>
      </w:r>
      <w:r>
        <w:rPr>
          <w:rStyle w:val="18"/>
          <w:rFonts w:ascii="仿宋" w:hAnsi="仿宋" w:eastAsia="仿宋"/>
          <w:bCs/>
          <w:sz w:val="32"/>
          <w:szCs w:val="32"/>
        </w:rPr>
        <w:t>.</w:t>
      </w:r>
      <w:r>
        <w:rPr>
          <w:rStyle w:val="18"/>
          <w:rFonts w:hint="eastAsia" w:ascii="仿宋" w:hAnsi="仿宋" w:eastAsia="仿宋"/>
          <w:bCs/>
          <w:sz w:val="32"/>
          <w:szCs w:val="32"/>
        </w:rPr>
        <w:t>社会保障和就业支出（类）行政事业单位养老支出（款）事业单位离退休（项）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支出决算为9.63万元，完成预算100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sz w:val="32"/>
          <w:szCs w:val="32"/>
        </w:rPr>
        <w:t>19</w:t>
      </w:r>
      <w:r>
        <w:rPr>
          <w:rStyle w:val="18"/>
          <w:rFonts w:ascii="仿宋" w:hAnsi="仿宋" w:eastAsia="仿宋"/>
          <w:bCs/>
          <w:sz w:val="32"/>
          <w:szCs w:val="32"/>
        </w:rPr>
        <w:t>.</w:t>
      </w:r>
      <w:r>
        <w:rPr>
          <w:rStyle w:val="18"/>
          <w:rFonts w:hint="eastAsia" w:ascii="仿宋" w:hAnsi="仿宋" w:eastAsia="仿宋"/>
          <w:bCs/>
          <w:sz w:val="32"/>
          <w:szCs w:val="32"/>
        </w:rPr>
        <w:t>社会保障和就业支出（类）行政事业单位养老支出（款）机关事业单位基本养老保险缴费支出（项）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支出决算为62.28万元，完成预算100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sz w:val="32"/>
          <w:szCs w:val="32"/>
        </w:rPr>
        <w:t>20</w:t>
      </w:r>
      <w:r>
        <w:rPr>
          <w:rStyle w:val="18"/>
          <w:rFonts w:ascii="仿宋" w:hAnsi="仿宋" w:eastAsia="仿宋"/>
          <w:bCs/>
          <w:sz w:val="32"/>
          <w:szCs w:val="32"/>
        </w:rPr>
        <w:t>.</w:t>
      </w:r>
      <w:r>
        <w:rPr>
          <w:rStyle w:val="18"/>
          <w:rFonts w:hint="eastAsia" w:ascii="仿宋" w:hAnsi="仿宋" w:eastAsia="仿宋"/>
          <w:bCs/>
          <w:sz w:val="32"/>
          <w:szCs w:val="32"/>
        </w:rPr>
        <w:t>社会保障和就业支出（类）行政事业单位养老支出（款）机关事业单位职业年金缴费支出（项）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支出决算为5.47万元，完成预算100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Fonts w:ascii="仿宋" w:hAnsi="仿宋" w:eastAsia="仿宋"/>
          <w:b/>
          <w:sz w:val="32"/>
          <w:szCs w:val="32"/>
        </w:rPr>
      </w:pPr>
      <w:r>
        <w:rPr>
          <w:rStyle w:val="18"/>
          <w:rFonts w:ascii="仿宋" w:hAnsi="仿宋" w:eastAsia="仿宋"/>
          <w:bCs/>
          <w:sz w:val="32"/>
          <w:szCs w:val="32"/>
        </w:rPr>
        <w:t>2</w:t>
      </w:r>
      <w:r>
        <w:rPr>
          <w:rStyle w:val="18"/>
          <w:rFonts w:hint="eastAsia" w:ascii="仿宋" w:hAnsi="仿宋" w:eastAsia="仿宋"/>
          <w:bCs/>
          <w:sz w:val="32"/>
          <w:szCs w:val="32"/>
        </w:rPr>
        <w:t>1</w:t>
      </w:r>
      <w:r>
        <w:rPr>
          <w:rStyle w:val="18"/>
          <w:rFonts w:ascii="仿宋" w:hAnsi="仿宋" w:eastAsia="仿宋"/>
          <w:bCs/>
          <w:sz w:val="32"/>
          <w:szCs w:val="32"/>
        </w:rPr>
        <w:t>.</w:t>
      </w:r>
      <w:r>
        <w:rPr>
          <w:rStyle w:val="18"/>
          <w:rFonts w:hint="eastAsia" w:ascii="仿宋" w:hAnsi="仿宋" w:eastAsia="仿宋"/>
          <w:bCs/>
          <w:sz w:val="32"/>
          <w:szCs w:val="32"/>
        </w:rPr>
        <w:t>社会保障和就业支出（类）企业改革补助（款） 其他企业改革发展补助（项）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color w:val="000000" w:themeColor="text1"/>
          <w:sz w:val="32"/>
          <w:szCs w:val="32"/>
          <w14:textFill>
            <w14:solidFill>
              <w14:schemeClr w14:val="tx1"/>
            </w14:solidFill>
          </w14:textFill>
        </w:rPr>
        <w:t>0.23</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sz w:val="32"/>
          <w:szCs w:val="32"/>
        </w:rPr>
        <w:t>22</w:t>
      </w:r>
      <w:r>
        <w:rPr>
          <w:rStyle w:val="18"/>
          <w:rFonts w:ascii="仿宋" w:hAnsi="仿宋" w:eastAsia="仿宋"/>
          <w:bCs/>
          <w:sz w:val="32"/>
          <w:szCs w:val="32"/>
        </w:rPr>
        <w:t>.</w:t>
      </w:r>
      <w:r>
        <w:rPr>
          <w:rStyle w:val="18"/>
          <w:rFonts w:hint="eastAsia" w:ascii="仿宋" w:hAnsi="仿宋" w:eastAsia="仿宋"/>
          <w:bCs/>
          <w:sz w:val="32"/>
          <w:szCs w:val="32"/>
        </w:rPr>
        <w:t>社会保障和就业支出（类）抚恤（款） 死亡抚恤（项）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支出决算为31.11万元，完成预算100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2</w:t>
      </w:r>
      <w:r>
        <w:rPr>
          <w:rStyle w:val="18"/>
          <w:rFonts w:hint="eastAsia" w:ascii="仿宋" w:hAnsi="仿宋" w:eastAsia="仿宋"/>
          <w:bCs/>
          <w:sz w:val="32"/>
          <w:szCs w:val="32"/>
        </w:rPr>
        <w:t>3</w:t>
      </w:r>
      <w:r>
        <w:rPr>
          <w:rStyle w:val="18"/>
          <w:rFonts w:ascii="仿宋" w:hAnsi="仿宋" w:eastAsia="仿宋"/>
          <w:bCs/>
          <w:sz w:val="32"/>
          <w:szCs w:val="32"/>
        </w:rPr>
        <w:t>.</w:t>
      </w:r>
      <w:r>
        <w:rPr>
          <w:rStyle w:val="18"/>
          <w:rFonts w:hint="eastAsia" w:ascii="仿宋" w:hAnsi="仿宋" w:eastAsia="仿宋"/>
          <w:bCs/>
          <w:sz w:val="32"/>
          <w:szCs w:val="32"/>
        </w:rPr>
        <w:t>卫生健康支出（类）行政事业单位医疗（款）行政单位医疗（项）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支出决算为30.72万元，完成预算100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2</w:t>
      </w:r>
      <w:r>
        <w:rPr>
          <w:rStyle w:val="18"/>
          <w:rFonts w:hint="eastAsia" w:ascii="仿宋" w:hAnsi="仿宋" w:eastAsia="仿宋"/>
          <w:bCs/>
          <w:sz w:val="32"/>
          <w:szCs w:val="32"/>
        </w:rPr>
        <w:t>4</w:t>
      </w:r>
      <w:r>
        <w:rPr>
          <w:rStyle w:val="18"/>
          <w:rFonts w:ascii="仿宋" w:hAnsi="仿宋" w:eastAsia="仿宋"/>
          <w:bCs/>
          <w:sz w:val="32"/>
          <w:szCs w:val="32"/>
        </w:rPr>
        <w:t>.</w:t>
      </w:r>
      <w:r>
        <w:rPr>
          <w:rStyle w:val="18"/>
          <w:rFonts w:hint="eastAsia" w:ascii="仿宋" w:hAnsi="仿宋" w:eastAsia="仿宋"/>
          <w:bCs/>
          <w:sz w:val="32"/>
          <w:szCs w:val="32"/>
        </w:rPr>
        <w:t>卫生健康支出（类）行政事业单位医疗（款）事业单位医疗（项）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支出决算为12.2万元，完成预算100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2</w:t>
      </w:r>
      <w:r>
        <w:rPr>
          <w:rStyle w:val="18"/>
          <w:rFonts w:hint="eastAsia" w:ascii="仿宋" w:hAnsi="仿宋" w:eastAsia="仿宋"/>
          <w:bCs/>
          <w:sz w:val="32"/>
          <w:szCs w:val="32"/>
        </w:rPr>
        <w:t>5</w:t>
      </w:r>
      <w:r>
        <w:rPr>
          <w:rStyle w:val="18"/>
          <w:rFonts w:ascii="仿宋" w:hAnsi="仿宋" w:eastAsia="仿宋"/>
          <w:bCs/>
          <w:sz w:val="32"/>
          <w:szCs w:val="32"/>
        </w:rPr>
        <w:t>.</w:t>
      </w:r>
      <w:r>
        <w:rPr>
          <w:rStyle w:val="18"/>
          <w:rFonts w:hint="eastAsia" w:ascii="仿宋" w:hAnsi="仿宋" w:eastAsia="仿宋"/>
          <w:bCs/>
          <w:sz w:val="32"/>
          <w:szCs w:val="32"/>
        </w:rPr>
        <w:t>卫生健康支出（类）行政事业单位医疗（款）公务员医疗补助（项）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支出决算为3.84万元，完成预算100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2</w:t>
      </w:r>
      <w:r>
        <w:rPr>
          <w:rStyle w:val="18"/>
          <w:rFonts w:hint="eastAsia" w:ascii="仿宋" w:hAnsi="仿宋" w:eastAsia="仿宋"/>
          <w:bCs/>
          <w:sz w:val="32"/>
          <w:szCs w:val="32"/>
        </w:rPr>
        <w:t>6</w:t>
      </w:r>
      <w:r>
        <w:rPr>
          <w:rStyle w:val="18"/>
          <w:rFonts w:ascii="仿宋" w:hAnsi="仿宋" w:eastAsia="仿宋"/>
          <w:bCs/>
          <w:sz w:val="32"/>
          <w:szCs w:val="32"/>
        </w:rPr>
        <w:t>.</w:t>
      </w:r>
      <w:r>
        <w:rPr>
          <w:rStyle w:val="18"/>
          <w:rFonts w:hint="eastAsia" w:ascii="仿宋" w:hAnsi="仿宋" w:eastAsia="仿宋"/>
          <w:bCs/>
          <w:sz w:val="32"/>
          <w:szCs w:val="32"/>
        </w:rPr>
        <w:t>节能环保支出（类）环境保护管理事务（款）  其他环境保护管理事务支出（项）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支出决算为2.62万元，完成预算100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Style w:val="18"/>
          <w:rFonts w:ascii="仿宋" w:hAnsi="仿宋" w:eastAsia="仿宋"/>
          <w:b w:val="0"/>
          <w:bCs/>
          <w:sz w:val="32"/>
          <w:szCs w:val="32"/>
        </w:rPr>
      </w:pPr>
      <w:r>
        <w:rPr>
          <w:rStyle w:val="18"/>
          <w:rFonts w:ascii="仿宋" w:hAnsi="仿宋" w:eastAsia="仿宋"/>
          <w:bCs/>
          <w:sz w:val="32"/>
          <w:szCs w:val="32"/>
        </w:rPr>
        <w:t>2</w:t>
      </w:r>
      <w:r>
        <w:rPr>
          <w:rStyle w:val="18"/>
          <w:rFonts w:hint="eastAsia" w:ascii="仿宋" w:hAnsi="仿宋" w:eastAsia="仿宋"/>
          <w:bCs/>
          <w:sz w:val="32"/>
          <w:szCs w:val="32"/>
        </w:rPr>
        <w:t>7</w:t>
      </w:r>
      <w:r>
        <w:rPr>
          <w:rStyle w:val="18"/>
          <w:rFonts w:ascii="仿宋" w:hAnsi="仿宋" w:eastAsia="仿宋"/>
          <w:bCs/>
          <w:sz w:val="32"/>
          <w:szCs w:val="32"/>
        </w:rPr>
        <w:t>.</w:t>
      </w:r>
      <w:r>
        <w:rPr>
          <w:rStyle w:val="18"/>
          <w:rFonts w:hint="eastAsia" w:ascii="仿宋" w:hAnsi="仿宋" w:eastAsia="仿宋"/>
          <w:bCs/>
          <w:sz w:val="32"/>
          <w:szCs w:val="32"/>
        </w:rPr>
        <w:t>城乡社区支出（类）城乡社区环境卫生（款）城乡社区环境卫生（项）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支出决算为8.22万元，完成预算100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sz w:val="32"/>
          <w:szCs w:val="32"/>
        </w:rPr>
        <w:t>28</w:t>
      </w:r>
      <w:r>
        <w:rPr>
          <w:rStyle w:val="18"/>
          <w:rFonts w:ascii="仿宋" w:hAnsi="仿宋" w:eastAsia="仿宋"/>
          <w:bCs/>
          <w:sz w:val="32"/>
          <w:szCs w:val="32"/>
        </w:rPr>
        <w:t>.</w:t>
      </w:r>
      <w:r>
        <w:rPr>
          <w:rStyle w:val="18"/>
          <w:rFonts w:hint="eastAsia" w:ascii="仿宋" w:hAnsi="仿宋" w:eastAsia="仿宋"/>
          <w:bCs/>
          <w:sz w:val="32"/>
          <w:szCs w:val="32"/>
        </w:rPr>
        <w:t>农林水支出（类）农业农村（款）事业运行（项）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w:t>
      </w:r>
      <w:r>
        <w:rPr>
          <w:rStyle w:val="18"/>
          <w:rFonts w:hint="eastAsia" w:ascii="仿宋" w:hAnsi="仿宋" w:eastAsia="仿宋"/>
          <w:b w:val="0"/>
          <w:bCs/>
          <w:color w:val="000000" w:themeColor="text1"/>
          <w:sz w:val="32"/>
          <w:szCs w:val="32"/>
          <w14:textFill>
            <w14:solidFill>
              <w14:schemeClr w14:val="tx1"/>
            </w14:solidFill>
          </w14:textFill>
        </w:rPr>
        <w:t>185.41</w:t>
      </w:r>
      <w:r>
        <w:rPr>
          <w:rStyle w:val="18"/>
          <w:rFonts w:hint="eastAsia" w:ascii="仿宋" w:hAnsi="仿宋" w:eastAsia="仿宋"/>
          <w:b w:val="0"/>
          <w:bCs/>
          <w:sz w:val="32"/>
          <w:szCs w:val="32"/>
        </w:rPr>
        <w:t>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sz w:val="32"/>
          <w:szCs w:val="32"/>
        </w:rPr>
        <w:t>29</w:t>
      </w:r>
      <w:r>
        <w:rPr>
          <w:rStyle w:val="18"/>
          <w:rFonts w:ascii="仿宋" w:hAnsi="仿宋" w:eastAsia="仿宋"/>
          <w:bCs/>
          <w:sz w:val="32"/>
          <w:szCs w:val="32"/>
        </w:rPr>
        <w:t>.</w:t>
      </w:r>
      <w:r>
        <w:rPr>
          <w:rStyle w:val="18"/>
          <w:rFonts w:hint="eastAsia" w:ascii="仿宋" w:hAnsi="仿宋" w:eastAsia="仿宋"/>
          <w:bCs/>
          <w:sz w:val="32"/>
          <w:szCs w:val="32"/>
        </w:rPr>
        <w:t>农林水支出（类）农业农村（款）病虫害控制（项）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支出决算为5.1万元，完成预算100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sz w:val="32"/>
          <w:szCs w:val="32"/>
        </w:rPr>
        <w:t>30</w:t>
      </w:r>
      <w:r>
        <w:rPr>
          <w:rStyle w:val="18"/>
          <w:rFonts w:ascii="仿宋" w:hAnsi="仿宋" w:eastAsia="仿宋"/>
          <w:bCs/>
          <w:sz w:val="32"/>
          <w:szCs w:val="32"/>
        </w:rPr>
        <w:t>.</w:t>
      </w:r>
      <w:r>
        <w:rPr>
          <w:rStyle w:val="18"/>
          <w:rFonts w:hint="eastAsia" w:ascii="仿宋" w:hAnsi="仿宋" w:eastAsia="仿宋"/>
          <w:bCs/>
          <w:sz w:val="32"/>
          <w:szCs w:val="32"/>
        </w:rPr>
        <w:t>农林水支出（类）农业农村（款）农业生产发展（项）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支出决算为53.52万元，完成预算100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sz w:val="32"/>
          <w:szCs w:val="32"/>
        </w:rPr>
        <w:t>31</w:t>
      </w:r>
      <w:r>
        <w:rPr>
          <w:rStyle w:val="18"/>
          <w:rFonts w:ascii="仿宋" w:hAnsi="仿宋" w:eastAsia="仿宋"/>
          <w:bCs/>
          <w:sz w:val="32"/>
          <w:szCs w:val="32"/>
        </w:rPr>
        <w:t>.</w:t>
      </w:r>
      <w:r>
        <w:rPr>
          <w:rStyle w:val="18"/>
          <w:rFonts w:hint="eastAsia" w:ascii="仿宋" w:hAnsi="仿宋" w:eastAsia="仿宋"/>
          <w:bCs/>
          <w:sz w:val="32"/>
          <w:szCs w:val="32"/>
        </w:rPr>
        <w:t>农林水支出（类）农业农村（款） 农村道路建设（项）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支出决算为28万元，完成预算100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sz w:val="32"/>
          <w:szCs w:val="32"/>
        </w:rPr>
        <w:t>32</w:t>
      </w:r>
      <w:r>
        <w:rPr>
          <w:rStyle w:val="18"/>
          <w:rFonts w:ascii="仿宋" w:hAnsi="仿宋" w:eastAsia="仿宋"/>
          <w:bCs/>
          <w:sz w:val="32"/>
          <w:szCs w:val="32"/>
        </w:rPr>
        <w:t>.</w:t>
      </w:r>
      <w:r>
        <w:rPr>
          <w:rStyle w:val="18"/>
          <w:rFonts w:hint="eastAsia" w:ascii="仿宋" w:hAnsi="仿宋" w:eastAsia="仿宋"/>
          <w:bCs/>
          <w:sz w:val="32"/>
          <w:szCs w:val="32"/>
        </w:rPr>
        <w:t>农林水支出（类）林业和草原（款）  事业机构（项）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支出决算为16.39万元，完成预算100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sz w:val="32"/>
          <w:szCs w:val="32"/>
        </w:rPr>
        <w:t>33</w:t>
      </w:r>
      <w:r>
        <w:rPr>
          <w:rStyle w:val="18"/>
          <w:rFonts w:ascii="仿宋" w:hAnsi="仿宋" w:eastAsia="仿宋"/>
          <w:bCs/>
          <w:sz w:val="32"/>
          <w:szCs w:val="32"/>
        </w:rPr>
        <w:t>.</w:t>
      </w:r>
      <w:r>
        <w:rPr>
          <w:rStyle w:val="18"/>
          <w:rFonts w:hint="eastAsia" w:ascii="仿宋" w:hAnsi="仿宋" w:eastAsia="仿宋"/>
          <w:bCs/>
          <w:sz w:val="32"/>
          <w:szCs w:val="32"/>
        </w:rPr>
        <w:t>农林水支出（类）扶贫（款）其他扶贫支出（项）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支出决算为2.97元，完成预算100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Style w:val="18"/>
          <w:rFonts w:ascii="仿宋" w:hAnsi="仿宋" w:eastAsia="仿宋"/>
          <w:bCs/>
          <w:sz w:val="32"/>
          <w:szCs w:val="32"/>
        </w:rPr>
      </w:pPr>
      <w:r>
        <w:rPr>
          <w:rStyle w:val="18"/>
          <w:rFonts w:hint="eastAsia" w:ascii="仿宋" w:hAnsi="仿宋" w:eastAsia="仿宋"/>
          <w:bCs/>
          <w:sz w:val="32"/>
          <w:szCs w:val="32"/>
        </w:rPr>
        <w:t>34</w:t>
      </w:r>
      <w:r>
        <w:rPr>
          <w:rStyle w:val="18"/>
          <w:rFonts w:ascii="仿宋" w:hAnsi="仿宋" w:eastAsia="仿宋"/>
          <w:bCs/>
          <w:sz w:val="32"/>
          <w:szCs w:val="32"/>
        </w:rPr>
        <w:t>.</w:t>
      </w:r>
      <w:r>
        <w:rPr>
          <w:rStyle w:val="18"/>
          <w:rFonts w:hint="eastAsia" w:ascii="仿宋" w:hAnsi="仿宋" w:eastAsia="仿宋"/>
          <w:bCs/>
          <w:sz w:val="32"/>
          <w:szCs w:val="32"/>
        </w:rPr>
        <w:t>农林水支出（类）农村综合改革（款）对村级公益事业建设的补助（项）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支出决算为92.68万元，完成预算100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Style w:val="18"/>
          <w:rFonts w:ascii="仿宋" w:hAnsi="仿宋" w:eastAsia="仿宋"/>
          <w:bCs/>
          <w:sz w:val="32"/>
          <w:szCs w:val="32"/>
        </w:rPr>
      </w:pPr>
      <w:r>
        <w:rPr>
          <w:rStyle w:val="18"/>
          <w:rFonts w:hint="eastAsia" w:ascii="仿宋" w:hAnsi="仿宋" w:eastAsia="仿宋"/>
          <w:bCs/>
          <w:sz w:val="32"/>
          <w:szCs w:val="32"/>
        </w:rPr>
        <w:t>35</w:t>
      </w:r>
      <w:r>
        <w:rPr>
          <w:rStyle w:val="18"/>
          <w:rFonts w:ascii="仿宋" w:hAnsi="仿宋" w:eastAsia="仿宋"/>
          <w:bCs/>
          <w:sz w:val="32"/>
          <w:szCs w:val="32"/>
        </w:rPr>
        <w:t>.</w:t>
      </w:r>
      <w:r>
        <w:rPr>
          <w:rStyle w:val="18"/>
          <w:rFonts w:hint="eastAsia" w:ascii="仿宋" w:hAnsi="仿宋" w:eastAsia="仿宋"/>
          <w:bCs/>
          <w:sz w:val="32"/>
          <w:szCs w:val="32"/>
        </w:rPr>
        <w:t>农林水支出（类）农村综合改革（款）对村民委员会和村党支部的补助（项）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支出决算为231.79万元，完成预算100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sz w:val="32"/>
          <w:szCs w:val="32"/>
        </w:rPr>
        <w:t>36</w:t>
      </w:r>
      <w:r>
        <w:rPr>
          <w:rStyle w:val="18"/>
          <w:rFonts w:ascii="仿宋" w:hAnsi="仿宋" w:eastAsia="仿宋"/>
          <w:bCs/>
          <w:sz w:val="32"/>
          <w:szCs w:val="32"/>
        </w:rPr>
        <w:t>.</w:t>
      </w:r>
      <w:r>
        <w:rPr>
          <w:rStyle w:val="18"/>
          <w:rFonts w:hint="eastAsia" w:ascii="仿宋" w:hAnsi="仿宋" w:eastAsia="仿宋"/>
          <w:bCs/>
          <w:sz w:val="32"/>
          <w:szCs w:val="32"/>
        </w:rPr>
        <w:t>农林水支出（类）农村综合改革（款）对村集体经济组织的补助（项）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支出决算为10万元，完成预算100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sz w:val="32"/>
          <w:szCs w:val="32"/>
        </w:rPr>
        <w:t>37</w:t>
      </w:r>
      <w:r>
        <w:rPr>
          <w:rStyle w:val="18"/>
          <w:rFonts w:ascii="仿宋" w:hAnsi="仿宋" w:eastAsia="仿宋"/>
          <w:bCs/>
          <w:sz w:val="32"/>
          <w:szCs w:val="32"/>
        </w:rPr>
        <w:t>.</w:t>
      </w:r>
      <w:r>
        <w:rPr>
          <w:rStyle w:val="18"/>
          <w:rFonts w:hint="eastAsia" w:ascii="仿宋" w:hAnsi="仿宋" w:eastAsia="仿宋"/>
          <w:bCs/>
          <w:sz w:val="32"/>
          <w:szCs w:val="32"/>
        </w:rPr>
        <w:t>住房保障支出（类）住房改革支出（款）住房公积金（项）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支出决算为75.65万元，完成预算100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sz w:val="32"/>
          <w:szCs w:val="32"/>
        </w:rPr>
        <w:t>38</w:t>
      </w:r>
      <w:r>
        <w:rPr>
          <w:rStyle w:val="18"/>
          <w:rFonts w:ascii="仿宋" w:hAnsi="仿宋" w:eastAsia="仿宋"/>
          <w:bCs/>
          <w:sz w:val="32"/>
          <w:szCs w:val="32"/>
        </w:rPr>
        <w:t>.</w:t>
      </w:r>
      <w:r>
        <w:rPr>
          <w:rStyle w:val="18"/>
          <w:rFonts w:hint="eastAsia" w:ascii="仿宋" w:hAnsi="仿宋" w:eastAsia="仿宋"/>
          <w:bCs/>
          <w:sz w:val="32"/>
          <w:szCs w:val="32"/>
        </w:rPr>
        <w:t>灾害防治及应急管理支出（类）应急管理事务（款）安全监管（项）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支出决算为30.62万元，完成预算100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spacing w:line="600" w:lineRule="exact"/>
        <w:ind w:firstLine="643" w:firstLineChars="200"/>
        <w:rPr>
          <w:rStyle w:val="18"/>
          <w:rFonts w:ascii="仿宋" w:hAnsi="仿宋" w:eastAsia="仿宋"/>
          <w:b w:val="0"/>
          <w:bCs/>
          <w:sz w:val="32"/>
          <w:szCs w:val="32"/>
        </w:rPr>
      </w:pPr>
      <w:r>
        <w:rPr>
          <w:rStyle w:val="18"/>
          <w:rFonts w:hint="eastAsia" w:ascii="仿宋" w:hAnsi="仿宋" w:eastAsia="仿宋"/>
          <w:bCs/>
          <w:sz w:val="32"/>
          <w:szCs w:val="32"/>
        </w:rPr>
        <w:t>39</w:t>
      </w:r>
      <w:r>
        <w:rPr>
          <w:rStyle w:val="18"/>
          <w:rFonts w:ascii="仿宋" w:hAnsi="仿宋" w:eastAsia="仿宋"/>
          <w:bCs/>
          <w:sz w:val="32"/>
          <w:szCs w:val="32"/>
        </w:rPr>
        <w:t>.</w:t>
      </w:r>
      <w:r>
        <w:rPr>
          <w:rStyle w:val="18"/>
          <w:rFonts w:hint="eastAsia" w:ascii="仿宋" w:hAnsi="仿宋" w:eastAsia="仿宋"/>
          <w:bCs/>
          <w:sz w:val="32"/>
          <w:szCs w:val="32"/>
        </w:rPr>
        <w:t>灾害防治及应急管理支出（类）自然灾害防治（款）森林草原防灾减灾（项）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支出决算为5万元，完成预算100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Pr>
        <w:pStyle w:val="2"/>
        <w:ind w:left="0" w:leftChars="0" w:firstLine="643" w:firstLineChars="200"/>
        <w:rPr>
          <w:rStyle w:val="18"/>
          <w:rFonts w:ascii="仿宋" w:hAnsi="仿宋" w:eastAsia="仿宋"/>
          <w:b w:val="0"/>
          <w:bCs/>
          <w:sz w:val="32"/>
          <w:szCs w:val="32"/>
        </w:rPr>
      </w:pPr>
      <w:r>
        <w:rPr>
          <w:rStyle w:val="18"/>
          <w:rFonts w:hint="eastAsia" w:ascii="仿宋" w:hAnsi="仿宋" w:eastAsia="仿宋"/>
          <w:bCs/>
          <w:sz w:val="32"/>
          <w:szCs w:val="32"/>
        </w:rPr>
        <w:t>40</w:t>
      </w:r>
      <w:r>
        <w:rPr>
          <w:rStyle w:val="18"/>
          <w:rFonts w:ascii="仿宋" w:hAnsi="仿宋" w:eastAsia="仿宋"/>
          <w:bCs/>
          <w:sz w:val="32"/>
          <w:szCs w:val="32"/>
        </w:rPr>
        <w:t>.</w:t>
      </w:r>
      <w:r>
        <w:rPr>
          <w:rStyle w:val="18"/>
          <w:rFonts w:hint="eastAsia" w:ascii="仿宋" w:hAnsi="仿宋" w:eastAsia="仿宋"/>
          <w:bCs/>
          <w:sz w:val="32"/>
          <w:szCs w:val="32"/>
        </w:rPr>
        <w:t>其他支出（类）其他支出（款）其他支出（项）</w:t>
      </w:r>
      <w:r>
        <w:rPr>
          <w:rStyle w:val="18"/>
          <w:rFonts w:ascii="仿宋" w:hAnsi="仿宋" w:eastAsia="仿宋"/>
          <w:bCs/>
          <w:sz w:val="32"/>
          <w:szCs w:val="32"/>
        </w:rPr>
        <w:t>:</w:t>
      </w:r>
      <w:r>
        <w:rPr>
          <w:rStyle w:val="18"/>
          <w:rFonts w:ascii="仿宋" w:hAnsi="仿宋" w:eastAsia="仿宋"/>
          <w:b w:val="0"/>
          <w:bCs/>
          <w:sz w:val="32"/>
          <w:szCs w:val="32"/>
        </w:rPr>
        <w:t xml:space="preserve"> </w:t>
      </w:r>
      <w:r>
        <w:rPr>
          <w:rStyle w:val="18"/>
          <w:rFonts w:hint="eastAsia" w:ascii="仿宋" w:hAnsi="仿宋" w:eastAsia="仿宋"/>
          <w:b w:val="0"/>
          <w:bCs/>
          <w:sz w:val="32"/>
          <w:szCs w:val="32"/>
        </w:rPr>
        <w:t>支出决算为38.81万元，完成预算100</w:t>
      </w:r>
      <w:r>
        <w:rPr>
          <w:rStyle w:val="18"/>
          <w:rFonts w:ascii="仿宋" w:hAnsi="仿宋" w:eastAsia="仿宋"/>
          <w:b w:val="0"/>
          <w:bCs/>
          <w:sz w:val="32"/>
          <w:szCs w:val="32"/>
        </w:rPr>
        <w:t>%</w:t>
      </w:r>
      <w:r>
        <w:rPr>
          <w:rStyle w:val="18"/>
          <w:rFonts w:hint="eastAsia" w:ascii="仿宋" w:hAnsi="仿宋" w:eastAsia="仿宋"/>
          <w:b w:val="0"/>
          <w:bCs/>
          <w:sz w:val="32"/>
          <w:szCs w:val="32"/>
        </w:rPr>
        <w:t>，决算数与预算数持平。</w:t>
      </w:r>
    </w:p>
    <w:p/>
    <w:p>
      <w:pPr>
        <w:tabs>
          <w:tab w:val="right" w:pos="8306"/>
        </w:tabs>
        <w:spacing w:line="600" w:lineRule="exact"/>
        <w:ind w:firstLine="640"/>
        <w:outlineLvl w:val="1"/>
        <w:rPr>
          <w:rStyle w:val="30"/>
        </w:rPr>
      </w:pPr>
      <w:bookmarkStart w:id="98" w:name="_Toc15396608"/>
      <w:bookmarkStart w:id="99" w:name="_Toc12162_WPSOffice_Level2"/>
      <w:bookmarkStart w:id="100" w:name="_Toc15377214"/>
      <w:bookmarkStart w:id="101" w:name="_Toc7715"/>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30"/>
          <w:rFonts w:hint="eastAsia" w:ascii="黑体" w:hAnsi="黑体" w:eastAsia="黑体"/>
          <w:b w:val="0"/>
        </w:rPr>
        <w:t>般公共预算财政拨款基本支出决算情况说明</w:t>
      </w:r>
      <w:bookmarkEnd w:id="98"/>
      <w:bookmarkEnd w:id="99"/>
      <w:bookmarkEnd w:id="100"/>
      <w:bookmarkEnd w:id="101"/>
      <w:r>
        <w:rPr>
          <w:rStyle w:val="30"/>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hint="eastAsia" w:ascii="仿宋" w:hAnsi="仿宋" w:eastAsia="仿宋"/>
          <w:color w:val="000000" w:themeColor="text1"/>
          <w:sz w:val="32"/>
          <w:szCs w:val="32"/>
          <w14:textFill>
            <w14:solidFill>
              <w14:schemeClr w14:val="tx1"/>
            </w14:solidFill>
          </w14:textFill>
        </w:rPr>
        <w:t>1015.4</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1757.74万元，主要包括：基本工资181.95万元、津贴补贴191.64万元、奖金121.01万元、绩效工资64.56万元、机关事业单位基本养老保险缴费62.28万元、职业年金缴费5.47万元、职工基本医疗保险缴费38.8万元、公务员医疗补助缴费7.96万元、其他社会保障缴费2.21万元、住房公积金75.65万元、其他工资福利支出0万元、抚恤金31.18万元、生活补助119.11万元、退休费0.14万元、奖励金0万元。</w:t>
      </w:r>
      <w:r>
        <w:rPr>
          <w:rFonts w:ascii="仿宋" w:hAnsi="仿宋" w:eastAsia="仿宋"/>
          <w:sz w:val="32"/>
          <w:szCs w:val="32"/>
        </w:rPr>
        <w:br w:type="textWrapping"/>
      </w:r>
      <w:r>
        <w:rPr>
          <w:rFonts w:hint="eastAsia" w:ascii="仿宋" w:hAnsi="仿宋" w:eastAsia="仿宋"/>
          <w:sz w:val="32"/>
          <w:szCs w:val="32"/>
        </w:rPr>
        <w:t>　　公用经费246.23万元，主要包括：办公费20.66万元、水费</w:t>
      </w:r>
      <w:r>
        <w:rPr>
          <w:rFonts w:hint="eastAsia" w:ascii="仿宋" w:hAnsi="仿宋" w:eastAsia="仿宋"/>
          <w:color w:val="000000" w:themeColor="text1"/>
          <w:sz w:val="32"/>
          <w:szCs w:val="32"/>
          <w14:textFill>
            <w14:solidFill>
              <w14:schemeClr w14:val="tx1"/>
            </w14:solidFill>
          </w14:textFill>
        </w:rPr>
        <w:t>0</w:t>
      </w:r>
      <w:r>
        <w:rPr>
          <w:rFonts w:hint="eastAsia" w:ascii="仿宋" w:hAnsi="仿宋" w:eastAsia="仿宋"/>
          <w:sz w:val="32"/>
          <w:szCs w:val="32"/>
        </w:rPr>
        <w:t>万元、电费5.16万元、邮电费1万元、差旅费6.61万元、维修（护）费0万元、会议费</w:t>
      </w:r>
      <w:r>
        <w:rPr>
          <w:rFonts w:hint="eastAsia" w:ascii="仿宋" w:hAnsi="仿宋" w:eastAsia="仿宋"/>
          <w:color w:val="000000" w:themeColor="text1"/>
          <w:sz w:val="32"/>
          <w:szCs w:val="32"/>
          <w14:textFill>
            <w14:solidFill>
              <w14:schemeClr w14:val="tx1"/>
            </w14:solidFill>
          </w14:textFill>
        </w:rPr>
        <w:t>1.47</w:t>
      </w:r>
      <w:r>
        <w:rPr>
          <w:rFonts w:hint="eastAsia" w:ascii="仿宋" w:hAnsi="仿宋" w:eastAsia="仿宋"/>
          <w:sz w:val="32"/>
          <w:szCs w:val="32"/>
        </w:rPr>
        <w:t>万元、培训费0.47万元、公务接待费0.16万元、劳务费30.64万元、工会经费7.76万元、福利费5.47万元、公务用车运行维护费5.25万元、其他交通费用28.74万元、其他商品和服务支出1.35万元。</w:t>
      </w:r>
    </w:p>
    <w:p>
      <w:pPr>
        <w:spacing w:line="600" w:lineRule="exact"/>
        <w:rPr>
          <w:rFonts w:ascii="仿宋" w:hAnsi="仿宋" w:eastAsia="仿宋"/>
          <w:b/>
          <w:sz w:val="32"/>
          <w:szCs w:val="32"/>
        </w:rPr>
      </w:pPr>
    </w:p>
    <w:p>
      <w:pPr>
        <w:spacing w:line="600" w:lineRule="exact"/>
        <w:ind w:firstLine="640"/>
        <w:outlineLvl w:val="1"/>
        <w:rPr>
          <w:rStyle w:val="30"/>
          <w:rFonts w:ascii="黑体" w:hAnsi="黑体" w:eastAsia="黑体"/>
          <w:b w:val="0"/>
        </w:rPr>
      </w:pPr>
      <w:bookmarkStart w:id="102" w:name="_Toc15377215"/>
      <w:bookmarkStart w:id="103" w:name="_Toc15396609"/>
      <w:bookmarkStart w:id="104" w:name="_Toc21786"/>
      <w:bookmarkStart w:id="105" w:name="_Toc28004_WPSOffice_Level2"/>
      <w:r>
        <w:rPr>
          <w:rFonts w:hint="eastAsia" w:ascii="黑体" w:eastAsia="黑体"/>
          <w:sz w:val="32"/>
          <w:szCs w:val="32"/>
        </w:rPr>
        <w:t>七、</w:t>
      </w:r>
      <w:r>
        <w:rPr>
          <w:rStyle w:val="30"/>
          <w:rFonts w:hint="eastAsia" w:ascii="黑体" w:hAnsi="黑体" w:eastAsia="黑体"/>
        </w:rPr>
        <w:t>“</w:t>
      </w:r>
      <w:r>
        <w:rPr>
          <w:rStyle w:val="30"/>
          <w:rFonts w:hint="eastAsia" w:ascii="黑体" w:hAnsi="黑体" w:eastAsia="黑体"/>
          <w:b w:val="0"/>
        </w:rPr>
        <w:t>三公”经费财政拨款支出决算情况说明</w:t>
      </w:r>
      <w:bookmarkEnd w:id="102"/>
      <w:bookmarkEnd w:id="103"/>
      <w:bookmarkEnd w:id="104"/>
      <w:bookmarkEnd w:id="105"/>
    </w:p>
    <w:p>
      <w:pPr>
        <w:spacing w:line="600" w:lineRule="exact"/>
        <w:ind w:firstLine="640"/>
        <w:outlineLvl w:val="2"/>
        <w:rPr>
          <w:rFonts w:ascii="仿宋" w:hAnsi="仿宋" w:eastAsia="仿宋"/>
          <w:b/>
          <w:sz w:val="32"/>
          <w:szCs w:val="32"/>
        </w:rPr>
      </w:pPr>
      <w:bookmarkStart w:id="106" w:name="_Toc15377216"/>
      <w:r>
        <w:rPr>
          <w:rFonts w:hint="eastAsia" w:ascii="仿宋" w:hAnsi="仿宋" w:eastAsia="仿宋"/>
          <w:b/>
          <w:sz w:val="32"/>
          <w:szCs w:val="32"/>
        </w:rPr>
        <w:t>（一）“三公”经费财政拨款支出决算总体情况说明</w:t>
      </w:r>
      <w:bookmarkEnd w:id="106"/>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21年“三公”经费财政拨款支出决算为5.51万元，完成预算100</w:t>
      </w:r>
      <w:r>
        <w:rPr>
          <w:rFonts w:ascii="仿宋" w:hAnsi="仿宋" w:eastAsia="仿宋"/>
          <w:sz w:val="32"/>
          <w:szCs w:val="32"/>
        </w:rPr>
        <w:t>%</w:t>
      </w:r>
      <w:r>
        <w:rPr>
          <w:rFonts w:hint="eastAsia" w:ascii="仿宋" w:hAnsi="仿宋" w:eastAsia="仿宋"/>
          <w:sz w:val="32"/>
          <w:szCs w:val="32"/>
        </w:rPr>
        <w:t>，决算数与预算数持平。</w:t>
      </w:r>
    </w:p>
    <w:p>
      <w:pPr>
        <w:spacing w:line="600" w:lineRule="exact"/>
        <w:ind w:firstLine="640"/>
        <w:outlineLvl w:val="2"/>
        <w:rPr>
          <w:rFonts w:ascii="仿宋" w:hAnsi="仿宋" w:eastAsia="仿宋"/>
          <w:b/>
          <w:sz w:val="32"/>
          <w:szCs w:val="32"/>
        </w:rPr>
      </w:pPr>
      <w:bookmarkStart w:id="107" w:name="_Toc15377217"/>
      <w:r>
        <w:rPr>
          <w:rFonts w:hint="eastAsia" w:ascii="仿宋" w:hAnsi="仿宋" w:eastAsia="仿宋"/>
          <w:b/>
          <w:sz w:val="32"/>
          <w:szCs w:val="32"/>
        </w:rPr>
        <w:t>（二）“三公”经费财政拨款支出决算具体情况说明</w:t>
      </w:r>
      <w:bookmarkEnd w:id="107"/>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；公务用车购置及运行维护费支出决算5.34万元，占97</w:t>
      </w:r>
      <w:r>
        <w:rPr>
          <w:rFonts w:ascii="仿宋" w:hAnsi="仿宋" w:eastAsia="仿宋"/>
          <w:sz w:val="32"/>
          <w:szCs w:val="32"/>
        </w:rPr>
        <w:t>%</w:t>
      </w:r>
      <w:r>
        <w:rPr>
          <w:rFonts w:hint="eastAsia" w:ascii="仿宋" w:hAnsi="仿宋" w:eastAsia="仿宋"/>
          <w:sz w:val="32"/>
          <w:szCs w:val="32"/>
        </w:rPr>
        <w:t>；公务接待费支出决算0.16万元，占3</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p>
    <w:p>
      <w:pPr>
        <w:rPr>
          <w:sz w:val="32"/>
          <w:szCs w:val="32"/>
        </w:rPr>
      </w:pPr>
      <w:r>
        <w:rPr>
          <w:rFonts w:ascii="仿宋" w:hAnsi="仿宋" w:eastAsia="仿宋"/>
          <w:sz w:val="32"/>
          <w:szCs w:val="32"/>
        </w:rPr>
        <w:drawing>
          <wp:inline distT="0" distB="0" distL="0" distR="0">
            <wp:extent cx="5274310" cy="3076575"/>
            <wp:effectExtent l="19050" t="0" r="21590" b="0"/>
            <wp:docPr id="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
      <w:pPr>
        <w:spacing w:line="600" w:lineRule="exact"/>
        <w:ind w:firstLine="320" w:firstLineChars="100"/>
        <w:rPr>
          <w:rFonts w:ascii="仿宋" w:hAnsi="仿宋" w:eastAsia="仿宋"/>
          <w:sz w:val="32"/>
          <w:szCs w:val="32"/>
        </w:rPr>
      </w:pPr>
    </w:p>
    <w:p>
      <w:pPr>
        <w:spacing w:line="600" w:lineRule="exact"/>
        <w:ind w:firstLine="320" w:firstLineChars="100"/>
        <w:rPr>
          <w:rFonts w:ascii="仿宋" w:hAnsi="仿宋" w:eastAsia="仿宋"/>
          <w:sz w:val="32"/>
          <w:szCs w:val="32"/>
        </w:rPr>
      </w:pPr>
      <w:r>
        <w:rPr>
          <w:rFonts w:hint="eastAsia" w:ascii="仿宋" w:hAnsi="仿宋" w:eastAsia="仿宋"/>
          <w:sz w:val="32"/>
          <w:szCs w:val="32"/>
        </w:rPr>
        <w:t>（图7：“三公”经费财政拨款支出结构）（饼状图）</w:t>
      </w: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8"/>
          <w:rFonts w:hint="eastAsia" w:ascii="仿宋" w:hAnsi="仿宋" w:eastAsia="仿宋"/>
          <w:b w:val="0"/>
          <w:bCs/>
          <w:sz w:val="32"/>
          <w:szCs w:val="32"/>
        </w:rPr>
        <w:t>完成预算0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20年增加</w:t>
      </w:r>
      <w:r>
        <w:rPr>
          <w:rFonts w:ascii="仿宋_GB2312" w:eastAsia="仿宋_GB2312"/>
          <w:sz w:val="32"/>
          <w:szCs w:val="32"/>
        </w:rPr>
        <w:t>/</w:t>
      </w:r>
      <w:r>
        <w:rPr>
          <w:rFonts w:hint="eastAsia" w:ascii="仿宋_GB2312" w:eastAsia="仿宋_GB2312"/>
          <w:sz w:val="32"/>
          <w:szCs w:val="32"/>
        </w:rPr>
        <w:t>减少0万元，增长</w:t>
      </w:r>
      <w:r>
        <w:rPr>
          <w:rFonts w:ascii="仿宋_GB2312" w:eastAsia="仿宋_GB2312"/>
          <w:sz w:val="32"/>
          <w:szCs w:val="32"/>
        </w:rPr>
        <w:t>/</w:t>
      </w:r>
      <w:r>
        <w:rPr>
          <w:rFonts w:hint="eastAsia" w:ascii="仿宋_GB2312" w:eastAsia="仿宋_GB2312"/>
          <w:sz w:val="32"/>
          <w:szCs w:val="32"/>
        </w:rPr>
        <w:t>下降0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5.34万元,</w:t>
      </w:r>
      <w:r>
        <w:rPr>
          <w:rStyle w:val="18"/>
          <w:rFonts w:hint="eastAsia" w:ascii="仿宋" w:hAnsi="仿宋" w:eastAsia="仿宋"/>
          <w:b w:val="0"/>
          <w:bCs/>
          <w:sz w:val="32"/>
          <w:szCs w:val="32"/>
        </w:rPr>
        <w:t>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20年减少21.8万元，下降80</w:t>
      </w:r>
      <w:r>
        <w:rPr>
          <w:rFonts w:ascii="仿宋_GB2312" w:eastAsia="仿宋_GB2312"/>
          <w:sz w:val="32"/>
          <w:szCs w:val="32"/>
        </w:rPr>
        <w:t>%</w:t>
      </w:r>
      <w:r>
        <w:rPr>
          <w:rFonts w:hint="eastAsia" w:ascii="仿宋_GB2312" w:eastAsia="仿宋_GB2312"/>
          <w:sz w:val="32"/>
          <w:szCs w:val="32"/>
        </w:rPr>
        <w:t>。主要原因是：2020年购置公务用车1辆，2021年严格控制“三公经费”支出。</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月底，单位共有公务用车3辆，其中：轿车2辆、越野车1辆。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21.81万元。主要用于重点项目建设、协调、森林草原防灭火、疫情防控、防汛减灾等工作开展等所需的公务用车燃料费、维修费、过路过桥费、保险费等支出。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0.16万元，</w:t>
      </w:r>
      <w:r>
        <w:rPr>
          <w:rStyle w:val="18"/>
          <w:rFonts w:hint="eastAsia" w:ascii="仿宋" w:hAnsi="仿宋" w:eastAsia="仿宋"/>
          <w:b w:val="0"/>
          <w:bCs/>
          <w:sz w:val="32"/>
          <w:szCs w:val="32"/>
        </w:rPr>
        <w:t>完成预算100</w:t>
      </w:r>
      <w:r>
        <w:rPr>
          <w:rStyle w:val="18"/>
          <w:rFonts w:ascii="仿宋" w:hAnsi="仿宋" w:eastAsia="仿宋"/>
          <w:b w:val="0"/>
          <w:bCs/>
          <w:sz w:val="32"/>
          <w:szCs w:val="32"/>
        </w:rPr>
        <w:t>%</w:t>
      </w:r>
      <w:r>
        <w:rPr>
          <w:rStyle w:val="18"/>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20年减少0.77万元，下降83</w:t>
      </w:r>
      <w:r>
        <w:rPr>
          <w:rFonts w:ascii="仿宋_GB2312" w:eastAsia="仿宋_GB2312"/>
          <w:sz w:val="32"/>
          <w:szCs w:val="32"/>
        </w:rPr>
        <w:t>%</w:t>
      </w:r>
      <w:r>
        <w:rPr>
          <w:rFonts w:hint="eastAsia" w:ascii="仿宋_GB2312" w:eastAsia="仿宋_GB2312"/>
          <w:sz w:val="32"/>
          <w:szCs w:val="32"/>
        </w:rPr>
        <w:t>。主要原因是本年公务接待批次减少。其中：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0.16</w:t>
      </w:r>
      <w:r>
        <w:rPr>
          <w:rFonts w:hint="eastAsia" w:ascii="仿宋_GB2312" w:eastAsia="仿宋_GB2312"/>
          <w:sz w:val="32"/>
          <w:szCs w:val="32"/>
        </w:rPr>
        <w:t>万元，主要用于执行公务、开展业务活动开支的用餐费等。国内公务接待6批次，54人次（不包括陪同人员），共计支出0.16万元，具体内容包括：县关心下一代工作委员会开展关心下一代工作调研工作接待费400元；县人大常委会开展四川省农村扶贫开发条例执法检查工作接待费930元；防汛减灾检查工作接待费300元。</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p>
    <w:p>
      <w:pPr>
        <w:spacing w:line="600" w:lineRule="exact"/>
        <w:outlineLvl w:val="1"/>
        <w:rPr>
          <w:rFonts w:ascii="黑体" w:eastAsia="黑体"/>
          <w:sz w:val="32"/>
          <w:szCs w:val="32"/>
        </w:rPr>
      </w:pPr>
      <w:bookmarkStart w:id="108" w:name="_Toc15396610"/>
      <w:bookmarkStart w:id="109" w:name="_Toc15377218"/>
    </w:p>
    <w:p>
      <w:pPr>
        <w:spacing w:line="600" w:lineRule="exact"/>
        <w:ind w:firstLine="640"/>
        <w:outlineLvl w:val="1"/>
        <w:rPr>
          <w:rStyle w:val="30"/>
          <w:rFonts w:ascii="黑体" w:hAnsi="黑体" w:eastAsia="黑体"/>
        </w:rPr>
      </w:pPr>
      <w:bookmarkStart w:id="110" w:name="_Toc21075"/>
      <w:bookmarkStart w:id="111" w:name="_Toc28829_WPSOffice_Level2"/>
      <w:r>
        <w:rPr>
          <w:rFonts w:hint="eastAsia" w:ascii="黑体" w:eastAsia="黑体"/>
          <w:sz w:val="32"/>
          <w:szCs w:val="32"/>
        </w:rPr>
        <w:t>八、</w:t>
      </w:r>
      <w:r>
        <w:rPr>
          <w:rStyle w:val="30"/>
          <w:rFonts w:hint="eastAsia" w:ascii="黑体" w:hAnsi="黑体" w:eastAsia="黑体"/>
          <w:b w:val="0"/>
        </w:rPr>
        <w:t>政府性基金预算支出决算情况说明</w:t>
      </w:r>
      <w:bookmarkEnd w:id="108"/>
      <w:bookmarkEnd w:id="109"/>
      <w:bookmarkEnd w:id="110"/>
      <w:bookmarkEnd w:id="11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21年政府性基金预算财政拨款支出125.3万元。</w:t>
      </w:r>
    </w:p>
    <w:p>
      <w:pPr>
        <w:spacing w:line="600" w:lineRule="exact"/>
        <w:ind w:firstLine="640"/>
        <w:rPr>
          <w:rFonts w:ascii="仿宋_GB2312" w:eastAsia="仿宋_GB2312"/>
          <w:sz w:val="32"/>
          <w:szCs w:val="32"/>
        </w:rPr>
      </w:pPr>
    </w:p>
    <w:p>
      <w:pPr>
        <w:numPr>
          <w:ilvl w:val="0"/>
          <w:numId w:val="3"/>
        </w:numPr>
        <w:spacing w:line="600" w:lineRule="exact"/>
        <w:ind w:firstLine="640"/>
        <w:outlineLvl w:val="1"/>
        <w:rPr>
          <w:rStyle w:val="30"/>
          <w:rFonts w:ascii="黑体" w:hAnsi="黑体" w:eastAsia="黑体"/>
          <w:b w:val="0"/>
        </w:rPr>
      </w:pPr>
      <w:bookmarkStart w:id="112" w:name="_Toc23037"/>
      <w:bookmarkStart w:id="113" w:name="_Toc15377219"/>
      <w:bookmarkStart w:id="114" w:name="_Toc15396611"/>
      <w:bookmarkStart w:id="115" w:name="_Toc25733_WPSOffice_Level2"/>
      <w:r>
        <w:rPr>
          <w:rStyle w:val="30"/>
          <w:rFonts w:hint="eastAsia" w:ascii="黑体" w:hAnsi="黑体" w:eastAsia="黑体"/>
          <w:b w:val="0"/>
        </w:rPr>
        <w:t>国有资本经营预算支出决算情况说明</w:t>
      </w:r>
      <w:bookmarkEnd w:id="112"/>
      <w:bookmarkEnd w:id="113"/>
      <w:bookmarkEnd w:id="114"/>
      <w:bookmarkEnd w:id="115"/>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spacing w:line="580" w:lineRule="exact"/>
        <w:jc w:val="center"/>
        <w:rPr>
          <w:rFonts w:ascii="方正小标宋简体" w:hAnsi="方正小标宋简体" w:eastAsia="方正小标宋简体" w:cs="方正小标宋简体"/>
          <w:sz w:val="44"/>
          <w:szCs w:val="44"/>
        </w:rPr>
      </w:pPr>
    </w:p>
    <w:p>
      <w:pPr>
        <w:numPr>
          <w:ilvl w:val="0"/>
          <w:numId w:val="3"/>
        </w:numPr>
        <w:spacing w:line="600" w:lineRule="exact"/>
        <w:ind w:firstLine="640"/>
        <w:outlineLvl w:val="1"/>
        <w:rPr>
          <w:rStyle w:val="30"/>
          <w:rFonts w:ascii="黑体" w:hAnsi="黑体" w:eastAsia="黑体"/>
          <w:b w:val="0"/>
        </w:rPr>
      </w:pPr>
      <w:bookmarkStart w:id="116" w:name="_Toc21482"/>
      <w:bookmarkStart w:id="117" w:name="_Toc15377221"/>
      <w:bookmarkStart w:id="118" w:name="_Toc15396612"/>
      <w:bookmarkStart w:id="119" w:name="_Toc13190_WPSOffice_Level2"/>
      <w:r>
        <w:rPr>
          <w:rStyle w:val="30"/>
          <w:rFonts w:hint="eastAsia" w:ascii="黑体" w:hAnsi="黑体" w:eastAsia="黑体"/>
          <w:b w:val="0"/>
        </w:rPr>
        <w:t>其他重要事项的情况说明</w:t>
      </w:r>
      <w:bookmarkEnd w:id="116"/>
      <w:bookmarkEnd w:id="117"/>
      <w:bookmarkEnd w:id="118"/>
      <w:bookmarkEnd w:id="119"/>
    </w:p>
    <w:p>
      <w:pPr>
        <w:spacing w:line="600" w:lineRule="exact"/>
        <w:ind w:firstLine="643" w:firstLineChars="200"/>
        <w:outlineLvl w:val="2"/>
        <w:rPr>
          <w:rFonts w:ascii="仿宋" w:hAnsi="仿宋" w:eastAsia="仿宋"/>
          <w:sz w:val="32"/>
          <w:szCs w:val="32"/>
        </w:rPr>
      </w:pPr>
      <w:bookmarkStart w:id="120" w:name="_Toc15377222"/>
      <w:r>
        <w:rPr>
          <w:rFonts w:hint="eastAsia" w:ascii="仿宋" w:hAnsi="仿宋" w:eastAsia="仿宋"/>
          <w:b/>
          <w:sz w:val="32"/>
          <w:szCs w:val="32"/>
        </w:rPr>
        <w:t>（一）机关运行经费支出情况</w:t>
      </w:r>
      <w:bookmarkEnd w:id="120"/>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21年，红果彝族乡机关运行经费支出113.44万元，比</w:t>
      </w:r>
      <w:r>
        <w:rPr>
          <w:rFonts w:ascii="仿宋_GB2312" w:eastAsia="仿宋_GB2312"/>
          <w:sz w:val="32"/>
          <w:szCs w:val="32"/>
        </w:rPr>
        <w:t>20</w:t>
      </w:r>
      <w:r>
        <w:rPr>
          <w:rFonts w:hint="eastAsia" w:ascii="仿宋_GB2312" w:eastAsia="仿宋_GB2312"/>
          <w:sz w:val="32"/>
          <w:szCs w:val="32"/>
        </w:rPr>
        <w:t>20年增加10.9万元，增长10.6</w:t>
      </w:r>
      <w:r>
        <w:rPr>
          <w:rFonts w:ascii="仿宋_GB2312" w:eastAsia="仿宋_GB2312"/>
          <w:sz w:val="32"/>
          <w:szCs w:val="32"/>
        </w:rPr>
        <w:t>%</w:t>
      </w:r>
      <w:r>
        <w:rPr>
          <w:rFonts w:hint="eastAsia" w:ascii="仿宋_GB2312" w:eastAsia="仿宋_GB2312"/>
          <w:sz w:val="32"/>
          <w:szCs w:val="32"/>
        </w:rPr>
        <w:t>。主要原因是：办公经费支出增加。</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121" w:name="_Toc15377223"/>
      <w:r>
        <w:rPr>
          <w:rFonts w:hint="eastAsia" w:ascii="仿宋" w:hAnsi="仿宋" w:eastAsia="仿宋"/>
          <w:b/>
          <w:sz w:val="32"/>
          <w:szCs w:val="32"/>
        </w:rPr>
        <w:t>（二）政府采购支出情况</w:t>
      </w:r>
      <w:bookmarkEnd w:id="121"/>
    </w:p>
    <w:p>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21年，红果彝族乡政府采购支出总额0万元，其中：政府采购货物支出0万元、政府采购工程支出0万元、政府采购服务支出0万元。授予中小企业合同金额0万元，占政府采购支出总额的0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122" w:name="_Toc15377224"/>
      <w:r>
        <w:rPr>
          <w:rFonts w:hint="eastAsia" w:ascii="仿宋" w:hAnsi="仿宋" w:eastAsia="仿宋"/>
          <w:b/>
          <w:sz w:val="32"/>
          <w:szCs w:val="32"/>
        </w:rPr>
        <w:t>（三）国有资产占有使用情况</w:t>
      </w:r>
      <w:bookmarkEnd w:id="122"/>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日，红果彝族乡共有车辆3辆，其中：主要领导干部用车0辆、机要通信用车0辆、应急保障用车1辆、其他用车2辆，其他用车主要是用于重点项目协调、森林草原防灭火、疫情防控、防汛减灾等工作开展。单价</w:t>
      </w:r>
      <w:r>
        <w:rPr>
          <w:rFonts w:ascii="仿宋_GB2312" w:eastAsia="仿宋_GB2312"/>
          <w:sz w:val="32"/>
          <w:szCs w:val="32"/>
        </w:rPr>
        <w:t>50</w:t>
      </w:r>
      <w:r>
        <w:rPr>
          <w:rFonts w:hint="eastAsia" w:ascii="仿宋_GB2312" w:eastAsia="仿宋_GB2312"/>
          <w:sz w:val="32"/>
          <w:szCs w:val="32"/>
        </w:rPr>
        <w:t>万元以上通用设备0台（套），单价</w:t>
      </w:r>
      <w:r>
        <w:rPr>
          <w:rFonts w:ascii="仿宋_GB2312" w:eastAsia="仿宋_GB2312"/>
          <w:sz w:val="32"/>
          <w:szCs w:val="32"/>
        </w:rPr>
        <w:t>100</w:t>
      </w:r>
      <w:r>
        <w:rPr>
          <w:rFonts w:hint="eastAsia" w:ascii="仿宋_GB2312" w:eastAsia="仿宋_GB2312"/>
          <w:sz w:val="32"/>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w:t>
      </w:r>
      <w:r>
        <w:rPr>
          <w:rFonts w:hint="eastAsia" w:ascii="仿宋_GB2312" w:hAnsi="仿宋_GB2312" w:eastAsia="仿宋_GB2312" w:cs="仿宋_GB2312"/>
          <w:sz w:val="32"/>
          <w:szCs w:val="32"/>
          <w:lang w:val="en-US" w:eastAsia="zh-CN"/>
        </w:rPr>
        <w:t>2021年度基层组织活动和公共运行服务、民族地区慰问、公共文化体系建设及</w:t>
      </w:r>
      <w:r>
        <w:rPr>
          <w:rFonts w:hint="eastAsia" w:ascii="仿宋_GB2312" w:hAnsi="仿宋_GB2312" w:eastAsia="仿宋_GB2312" w:cs="仿宋_GB2312"/>
          <w:sz w:val="32"/>
          <w:szCs w:val="32"/>
        </w:rPr>
        <w:t>人大代表经费等48个项目开展了预算事前绩效评估，对48个项目编制了绩效目标，预算执行过程中，选取</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个项目开展了绩效自评。同时，本部门对2021年部门整体开展绩效自评，《2021年红果彝族乡部门整体绩效评价报告》见附件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（第四部分）。</w:t>
      </w:r>
    </w:p>
    <w:p>
      <w:pPr>
        <w:spacing w:line="580" w:lineRule="exact"/>
        <w:ind w:firstLine="640" w:firstLineChars="200"/>
        <w:rPr>
          <w:rFonts w:hint="eastAsia" w:ascii="仿宋_GB2312" w:hAnsi="仿宋_GB2312" w:eastAsia="仿宋_GB2312" w:cs="仿宋_GB2312"/>
          <w:sz w:val="32"/>
          <w:szCs w:val="32"/>
          <w:lang w:eastAsia="zh-CN"/>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r>
        <w:rPr>
          <w:rFonts w:ascii="楷体_GB2312" w:hAnsi="楷体_GB2312" w:eastAsia="楷体_GB2312" w:cs="楷体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本部门在</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年度部门决算中反映“</w:t>
      </w:r>
      <w:r>
        <w:rPr>
          <w:rFonts w:hint="eastAsia" w:ascii="仿宋_GB2312" w:hAnsi="仿宋_GB2312" w:eastAsia="仿宋_GB2312" w:cs="仿宋_GB2312"/>
          <w:sz w:val="32"/>
          <w:szCs w:val="32"/>
          <w:lang w:val="en-US" w:eastAsia="zh-CN"/>
        </w:rPr>
        <w:t>2021年应急和安全监管项目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2021年旅游厕所管护项目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2021年集体经济扶持村补助项目</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个项目绩效目标实际完成情况。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见附件2</w:t>
      </w:r>
      <w:r>
        <w:rPr>
          <w:rFonts w:hint="eastAsia" w:ascii="仿宋_GB2312" w:hAnsi="仿宋_GB2312" w:eastAsia="仿宋_GB2312" w:cs="仿宋_GB2312"/>
          <w:sz w:val="32"/>
          <w:szCs w:val="32"/>
          <w:lang w:eastAsia="zh-CN"/>
        </w:rPr>
        <w:t>）</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9"/>
          <w:rFonts w:ascii="黑体" w:hAnsi="黑体" w:eastAsia="黑体"/>
          <w:b w:val="0"/>
        </w:rPr>
      </w:pPr>
      <w:bookmarkStart w:id="123" w:name="_Toc18068"/>
      <w:bookmarkStart w:id="124" w:name="_Toc15396613"/>
      <w:bookmarkStart w:id="125" w:name="_Toc22294_WPSOffice_Level1"/>
      <w:bookmarkStart w:id="126" w:name="_Toc15377225"/>
      <w:r>
        <w:rPr>
          <w:rFonts w:hint="eastAsia" w:ascii="黑体" w:hAnsi="黑体" w:eastAsia="黑体"/>
          <w:sz w:val="44"/>
          <w:szCs w:val="44"/>
        </w:rPr>
        <w:t>名</w:t>
      </w:r>
      <w:r>
        <w:rPr>
          <w:rStyle w:val="29"/>
          <w:rFonts w:hint="eastAsia" w:ascii="黑体" w:hAnsi="黑体" w:eastAsia="黑体"/>
          <w:b w:val="0"/>
        </w:rPr>
        <w:t>词解释</w:t>
      </w:r>
      <w:bookmarkEnd w:id="123"/>
      <w:bookmarkEnd w:id="124"/>
      <w:bookmarkEnd w:id="125"/>
      <w:bookmarkEnd w:id="126"/>
    </w:p>
    <w:p>
      <w:pPr>
        <w:spacing w:line="600" w:lineRule="exact"/>
        <w:jc w:val="left"/>
        <w:rPr>
          <w:rFonts w:ascii="宋体"/>
          <w:b/>
          <w:sz w:val="44"/>
          <w:szCs w:val="44"/>
        </w:rPr>
      </w:pPr>
    </w:p>
    <w:p>
      <w:pPr>
        <w:pStyle w:val="27"/>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其他收入：指单位取得的除上述收入以外的各项收入。主要是市级资金（收入类型）等。</w:t>
      </w:r>
      <w:r>
        <w:rPr>
          <w:rFonts w:ascii="仿宋_GB2312" w:eastAsia="仿宋_GB2312"/>
          <w:sz w:val="32"/>
          <w:szCs w:val="32"/>
        </w:rPr>
        <w:t xml:space="preserve"> </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7"/>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9.一般公共服务（类）人大事务（款）行政运行（项）：</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指反映行政单位（包括实行公务员管理的事业单位）的基本支出。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10.一般公共服务（类）人大事务（款）人大会议（项）：</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指反映各级人大召开人民代表大会等专门会议的支出。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11.一般公共服务（类）人大事务（款）代表工作（项）：指反映人大代表开展各类视察等方面的支出。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12.一般公共服务（类）政府办公厅（室）及相关机构事务（款）行政运行（项）：指反映行政单位（包括实行公务员管理的事业单位）的基本支出。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13.一般公共服务（类）政府办公厅（室）及相关机构事务（款）一般行政管理事务（项）：指反映行政单位（包括实行公务员管理的事业单位）未单独设置项级科目的其他项目支出。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14.一般公共服务（类）政府办公厅（室）及相关机构事务（款）信访事务（项）：指反映各级政府用于接待群众来信来访方面的支出。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15.一般公共服务（类）财政事务（款）行政运行（项）：</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指反映行政单位（包括实行公务员管理的事业单位）的基本支出。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16.一般公共服务（类）财政事务（款）一般行政管理事务（项）：指反映行政单位（包括实行公务员管理的事业单位）未单独设置项级科目的其他项目支出。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17.一般公共服务（类）群众团体事务（款）其他群众团体事务支出（项）：指反映其他用于群众团体事务方面的支出。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18.一般公共服务（类）党委办公厅（室）及相关机构事务（款） 行政运行（项）：指反映行政单位（包括实行公务员管理的事业单位）的基本支出。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19.文化体育与传媒（类）文化和旅游（款）群众文化（项）：指反映群众文化方面的支出，包括基层文化馆（站）、群众艺术馆支出等。</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20.社会保障和就业（类）人力资源和社会保障管理事务（款）社会保险经办机构（项）：指反映社会保险经办机构开展业务工作的支出。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21.社会保障和就业（类）民政管理事务（款）行政区划和地名管理（项）：指反映行政区域界线勘定、管理，以及行政区划和地名管理支出。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22.社会保障和就业（类）民政管理事务（款）基层政权建设和社区治理（项）：指反映开展城乡社区治理、城乡社区服务（乡村便民服务）、村（居）民自治、村（居）务公开、乡镇（街道）服务能力建设等基层政权建设和社区治理工作的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23.社会保障和就业（类）民政管理事务（款）其他民政管理事务支出（项）：指反映民政部门接待来访、法制建设、政策宣传方面的支出，以及开展优抚安置、救灾减灾、社会救助、社会福利、婚姻登记、社会事务、信息化建设等专项业务的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24.社会保障和就业（类）行政事业单位养老支出（款）行政单位离退休（项）：指反映行政单位（包括实行公务员管理的事业单位)开支的离退休经费。</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25.社会保障和就业（类）行政事业单位养老支出（款）事业单位离退休（项）：指反映事业单位开支的离退休经费。</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26.社会保障和就业（类）行政事业单位养老支出（款）机关事业单位基本养老保险缴费支出（项）：指反映机关事业单位实施养老保险制度由单位缴纳的基本养老保险费支出。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27.社会保障和就业（类）行政事业单位养老支出（款）机关事业单位职业年金缴费支出（项）：指反映机关事业单位实施养老保险制度由单位实际缴纳的职业年金支出。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28.社会保障和就业（类）抚恤（款）伤残抚恤（项）：指反映按规定用于伤残人员的抚恤金和按规定开支的各种伤残补助费。</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29.社会保障和就业（类）特困人员救助供养（款）农村特困人员救助供养支出（项）：指反映农村特困人员救助供养支出。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30.卫生健康支出（类）公共卫生（款）重大公共卫生服务（项）：指反映重大疾病、重大传染病预防控制等重大公共卫生服务项目支出。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31.卫生健康支出（类）计划生育服务（款）其他计划生育事务支出（项）：指反映上述项目以外其他用于计划生育管理事务方面的支出。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32.节能环保（类）污染防治（款）其他污染防治支出（项）：指反映除上述项目以外其他用于污染防治方面的支出。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33.节能环保（类）自然生态保护（款）生态保护（项）：指反映用于生态功能保护区、生态示范区、生态省（市、县）管理及能力建设、日常管护、宣教、试点示范等支出，生态修复支出，资源开发生态监管等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34.城乡社区（类）城乡社区环境卫生（款）城乡社区环境卫生（项）：指反映城乡社区道路清扫、垃圾清运与处理、公厕建设与维护、园林绿化等方面的支出。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35.农林水（类）农业农村（款）事业运行（项）：指反映用于农业事业单位基本支出，事业单位设施、系统运行与资产维护等方面的支出。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36.农林水（类）农业农村（款）防灾救灾（项）：指反映对农业生产因遭受自然、生物灾害损失给予的补助，促进农业防灾增产措施补助，海难救助补助，因其他灾害导致农牧渔业生产者损失给予的补助。</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37.农林水（类）农业农村（款）对高校毕业生到基层任职补助（项）：指反映按规定对高校毕业生到基层任职的补助支出。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38.农林水（类）林业和草原（款）事业机构（项）：指反映事业单位的基本支出，不包括行政单位（含实行公务员管理的事业单位）后勤服务中心等附属事业单位的支出。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39.农林水（类）水利（款）其他水利支出（项）：指反映其他用于水利方面的支出。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40.农林水（类）扶贫（款）其他扶贫支出（项）：指反映其他用于扶贫方面的支出。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41.农林水（类）农村综合改革（款）对村级一事一议的补助（项）：指反映农村税费改革后对村级公益事业建设一事一议的补助支出。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42.农林水（类）农村综合改革（款）对村民委员会和村党支部的补助（项）：指反映各级财政对村民委员会和村党支部的补助支出，以及支持建立县级基本财力保障机制安排的村级组织运转奖补资金。</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43.农林水（类）其他农林水支出（款）化解其他公益性乡村债务支出（项）：指反映化解除农村义务教育债务以外的乡村其他公益性债务支出。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44.交通运输（类）公路水路运输（款）其他公路水路运输支出（项）：指反映除上述项目以外其他用于公路水路运输方面的支出。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45.自然资源海洋气象等（类）自然资源事务（款）自然资源调查与确权登记（项）：指反映自然资源部门用于自然资源调查监测评价，自然资源统一确权登记等方面的支出。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46.住房保障（类）住房改革支出（款）住房公积金（项）：指反映行政事业单位按人力资源和社会保障部、财政部规定的基本工资和津贴补贴以及规定比例为职工缴纳的住房公积金。</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47.灾害防治及应急管理（类）应急管理事务（款）安全监管（项）：指反映安全生产监管方面的支出。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48.城乡社区（类）国有土地使用权出让收入安排的支出（款）征地和拆迁补偿支出（项）：指反映新疆生产建设兵团和地方政府在征地和收购土地过程中支付的土地补偿费、安置补助费、地上附着和青苗补偿费、拆迁补偿费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49.城乡社区（类）国有土地使用权出让收入安排的支出（款）农村基础设施建设支出（项）：指反映土地出让收入用于农村供水保障、村庄公共设施建设和管护以及与农业农村直接相关的以工代赈等方面的支出。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50.城乡社区（类）国有土地收益基金安排的支出（款）征地和拆迁补偿支出（项）：指反映从国有土地收益基金中安排用于收购储备土地需要支付的土地补偿费、安置补助费、地上附着物和青苗补偿费、拆迁补偿费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51.抗疫特别国债安排的支出（类）抗疫相关支出（款）其他抗疫相关支出（项）：指反映抗疫特别国债资金安排的其他抗疫相关支出。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52</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53</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54</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55</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ascii="仿宋_GB2312" w:eastAsia="仿宋_GB2312" w:cs="黑体"/>
          <w:sz w:val="32"/>
          <w:szCs w:val="32"/>
        </w:rPr>
      </w:pPr>
      <w:r>
        <w:rPr>
          <w:rFonts w:hint="eastAsia" w:ascii="仿宋_GB2312" w:eastAsia="仿宋_GB2312"/>
          <w:sz w:val="32"/>
          <w:szCs w:val="32"/>
        </w:rPr>
        <w:t>56</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60" w:lineRule="exact"/>
        <w:ind w:firstLine="640" w:firstLineChars="200"/>
        <w:rPr>
          <w:rFonts w:ascii="仿宋_GB2312" w:eastAsia="仿宋_GB2312" w:cs="黑体"/>
          <w:color w:val="auto"/>
          <w:sz w:val="32"/>
          <w:szCs w:val="32"/>
        </w:rPr>
      </w:pPr>
    </w:p>
    <w:p>
      <w:pPr>
        <w:spacing w:line="600" w:lineRule="exact"/>
        <w:jc w:val="center"/>
        <w:outlineLvl w:val="0"/>
      </w:pPr>
      <w:bookmarkStart w:id="127" w:name="_Toc15377226"/>
      <w:r>
        <w:rPr>
          <w:rFonts w:ascii="宋体"/>
          <w:b/>
          <w:sz w:val="44"/>
          <w:szCs w:val="44"/>
        </w:rPr>
        <w:br w:type="page"/>
      </w:r>
      <w:bookmarkStart w:id="128" w:name="_Toc21433"/>
      <w:bookmarkStart w:id="129" w:name="_Toc15396614"/>
      <w:bookmarkStart w:id="130" w:name="_Toc22596_WPSOffice_Level1"/>
      <w:r>
        <w:rPr>
          <w:rFonts w:hint="eastAsia" w:ascii="黑体" w:hAnsi="黑体" w:eastAsia="黑体"/>
          <w:sz w:val="44"/>
          <w:szCs w:val="44"/>
        </w:rPr>
        <w:t>第</w:t>
      </w:r>
      <w:r>
        <w:rPr>
          <w:rStyle w:val="29"/>
          <w:rFonts w:hint="eastAsia" w:ascii="黑体" w:hAnsi="黑体" w:eastAsia="黑体"/>
          <w:b w:val="0"/>
        </w:rPr>
        <w:t>四部分 附件</w:t>
      </w:r>
      <w:bookmarkEnd w:id="128"/>
      <w:bookmarkEnd w:id="129"/>
      <w:bookmarkEnd w:id="130"/>
    </w:p>
    <w:p>
      <w:pPr>
        <w:spacing w:line="572" w:lineRule="exact"/>
        <w:jc w:val="left"/>
        <w:outlineLvl w:val="0"/>
        <w:rPr>
          <w:rFonts w:ascii="黑体" w:hAnsi="黑体" w:eastAsia="黑体" w:cs="黑体"/>
          <w:sz w:val="32"/>
          <w:szCs w:val="32"/>
        </w:rPr>
      </w:pPr>
    </w:p>
    <w:p>
      <w:pPr>
        <w:spacing w:line="572" w:lineRule="exact"/>
        <w:jc w:val="left"/>
        <w:outlineLvl w:val="0"/>
        <w:rPr>
          <w:rFonts w:ascii="方正小标宋简体" w:hAnsi="方正小标宋简体" w:eastAsia="黑体" w:cs="方正小标宋简体"/>
          <w:sz w:val="44"/>
          <w:szCs w:val="44"/>
        </w:rPr>
      </w:pPr>
      <w:bookmarkStart w:id="131" w:name="_Toc10640"/>
      <w:r>
        <w:rPr>
          <w:rFonts w:hint="eastAsia" w:ascii="黑体" w:hAnsi="黑体" w:eastAsia="黑体" w:cs="黑体"/>
          <w:sz w:val="32"/>
          <w:szCs w:val="32"/>
        </w:rPr>
        <w:t>附件1</w:t>
      </w:r>
      <w:bookmarkEnd w:id="131"/>
    </w:p>
    <w:p>
      <w:pPr>
        <w:spacing w:line="572" w:lineRule="exact"/>
        <w:jc w:val="center"/>
        <w:rPr>
          <w:rFonts w:ascii="方正小标宋简体" w:hAnsi="宋体" w:eastAsia="方正小标宋简体"/>
          <w:kern w:val="0"/>
          <w:sz w:val="40"/>
          <w:szCs w:val="44"/>
        </w:rPr>
      </w:pPr>
    </w:p>
    <w:p>
      <w:pPr>
        <w:spacing w:line="572" w:lineRule="exact"/>
        <w:jc w:val="center"/>
        <w:outlineLvl w:val="9"/>
        <w:rPr>
          <w:rFonts w:ascii="方正小标宋简体" w:hAnsi="宋体" w:eastAsia="方正小标宋简体"/>
          <w:kern w:val="0"/>
          <w:sz w:val="40"/>
          <w:szCs w:val="44"/>
          <w:lang w:val="zh-CN"/>
        </w:rPr>
      </w:pPr>
      <w:bookmarkStart w:id="132" w:name="_Toc7225_WPSOffice_Level2"/>
      <w:bookmarkStart w:id="133" w:name="_Toc7174_WPSOffice_Level2"/>
      <w:r>
        <w:rPr>
          <w:rFonts w:hint="eastAsia" w:ascii="方正小标宋简体" w:hAnsi="宋体" w:eastAsia="方正小标宋简体"/>
          <w:kern w:val="0"/>
          <w:sz w:val="40"/>
          <w:szCs w:val="44"/>
        </w:rPr>
        <w:t>2021年红果彝族乡部门整体绩效评价报告</w:t>
      </w:r>
      <w:bookmarkEnd w:id="132"/>
      <w:bookmarkEnd w:id="133"/>
    </w:p>
    <w:p>
      <w:pPr>
        <w:widowControl/>
        <w:spacing w:line="572" w:lineRule="exact"/>
        <w:ind w:firstLine="640" w:firstLineChars="200"/>
        <w:contextualSpacing/>
        <w:jc w:val="center"/>
        <w:outlineLvl w:val="9"/>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widowControl/>
        <w:numPr>
          <w:ilvl w:val="0"/>
          <w:numId w:val="5"/>
        </w:numPr>
        <w:adjustRightInd w:val="0"/>
        <w:snapToGrid w:val="0"/>
        <w:spacing w:line="580" w:lineRule="exact"/>
        <w:ind w:firstLine="640" w:firstLineChars="200"/>
        <w:contextualSpacing/>
        <w:jc w:val="left"/>
        <w:outlineLvl w:val="9"/>
        <w:rPr>
          <w:rFonts w:eastAsia="黑体"/>
          <w:sz w:val="32"/>
          <w:szCs w:val="32"/>
        </w:rPr>
      </w:pPr>
      <w:bookmarkStart w:id="134" w:name="_Toc8430_WPSOffice_Level2"/>
      <w:bookmarkStart w:id="135" w:name="_Toc18116_WPSOffice_Level2"/>
      <w:r>
        <w:rPr>
          <w:rFonts w:eastAsia="黑体"/>
          <w:sz w:val="32"/>
          <w:szCs w:val="32"/>
        </w:rPr>
        <w:t>部门概况</w:t>
      </w:r>
      <w:bookmarkEnd w:id="134"/>
      <w:bookmarkEnd w:id="135"/>
    </w:p>
    <w:p>
      <w:pPr>
        <w:widowControl/>
        <w:adjustRightInd w:val="0"/>
        <w:snapToGrid w:val="0"/>
        <w:spacing w:line="580" w:lineRule="exact"/>
        <w:ind w:firstLine="640" w:firstLineChars="200"/>
        <w:contextualSpacing/>
        <w:jc w:val="left"/>
        <w:rPr>
          <w:rFonts w:eastAsia="仿宋_GB2312"/>
          <w:color w:val="000000"/>
          <w:sz w:val="32"/>
          <w:szCs w:val="32"/>
        </w:rPr>
      </w:pPr>
      <w:r>
        <w:rPr>
          <w:rFonts w:hint="eastAsia" w:eastAsia="仿宋_GB2312"/>
          <w:sz w:val="32"/>
          <w:szCs w:val="32"/>
        </w:rPr>
        <w:t>（</w:t>
      </w:r>
      <w:r>
        <w:rPr>
          <w:rFonts w:eastAsia="仿宋_GB2312"/>
          <w:color w:val="000000"/>
          <w:sz w:val="32"/>
          <w:szCs w:val="32"/>
        </w:rPr>
        <w:t>一）机构组成。</w:t>
      </w:r>
    </w:p>
    <w:p>
      <w:pPr>
        <w:widowControl/>
        <w:adjustRightInd w:val="0"/>
        <w:snapToGrid w:val="0"/>
        <w:spacing w:line="580" w:lineRule="exact"/>
        <w:ind w:firstLine="640" w:firstLineChars="200"/>
        <w:contextualSpacing/>
        <w:jc w:val="left"/>
        <w:rPr>
          <w:rFonts w:eastAsia="仿宋_GB2312"/>
          <w:sz w:val="32"/>
          <w:szCs w:val="32"/>
        </w:rPr>
      </w:pPr>
      <w:r>
        <w:rPr>
          <w:rFonts w:hint="eastAsia" w:eastAsia="仿宋_GB2312"/>
          <w:sz w:val="32"/>
          <w:szCs w:val="32"/>
        </w:rPr>
        <w:t>红果彝族乡地处攀枝花市盐边县东南部雅砻江下游二滩库区，全乡幅员面积245.73平方公里，东和本县桐子林镇相连，南和仁和区务本乡接壤，西同本县渔门镇毗邻，北与本县原鳡鱼乡接壤，与米易县得石镇隔江相望。距盐边县城30公里，距攀枝花市区75公里</w:t>
      </w:r>
      <w:r>
        <w:rPr>
          <w:rFonts w:eastAsia="仿宋_GB2312"/>
          <w:sz w:val="32"/>
          <w:szCs w:val="32"/>
        </w:rPr>
        <w:t>。</w:t>
      </w:r>
      <w:r>
        <w:rPr>
          <w:rFonts w:hint="eastAsia" w:eastAsia="仿宋_GB2312"/>
          <w:sz w:val="32"/>
          <w:szCs w:val="32"/>
        </w:rPr>
        <w:t>建制村调整后现辖6个村（红果村、蒿枝坪村、花椒箐村、三滩村、花地村、梁子田村）、1个社区（红星社区），31个村民小组和3个居民小组。全乡总人口12474人，2882户，有彝族、傈僳族、蒙古族等少数民族，少数民族人口5451人（其中，彝族4915人，傈僳族536人），占43.7%。</w:t>
      </w:r>
      <w:r>
        <w:rPr>
          <w:rFonts w:eastAsia="仿宋_GB2312"/>
          <w:sz w:val="32"/>
          <w:szCs w:val="32"/>
        </w:rPr>
        <w:t>乡机关</w:t>
      </w:r>
      <w:r>
        <w:rPr>
          <w:rFonts w:hint="eastAsia" w:eastAsia="仿宋_GB2312"/>
          <w:sz w:val="32"/>
          <w:szCs w:val="32"/>
        </w:rPr>
        <w:t>设置7个党政综合办事机构（党政办、党建办、经济发展办、社会事务办、综合执法办、社会治理办、财政所）、4个直属公益一类事业单位（农业农村服务中心、便民服务中心、村镇建设中心、宣传文化旅游中心）。</w:t>
      </w:r>
    </w:p>
    <w:p>
      <w:pPr>
        <w:widowControl/>
        <w:adjustRightInd w:val="0"/>
        <w:snapToGrid w:val="0"/>
        <w:spacing w:line="580" w:lineRule="exact"/>
        <w:ind w:firstLine="640" w:firstLineChars="200"/>
        <w:contextualSpacing/>
        <w:jc w:val="left"/>
        <w:rPr>
          <w:rFonts w:eastAsia="仿宋_GB2312"/>
          <w:color w:val="000000"/>
          <w:sz w:val="32"/>
          <w:szCs w:val="32"/>
        </w:rPr>
      </w:pPr>
      <w:r>
        <w:rPr>
          <w:rFonts w:eastAsia="仿宋_GB2312"/>
          <w:color w:val="000000"/>
          <w:sz w:val="32"/>
          <w:szCs w:val="32"/>
        </w:rPr>
        <w:t>（二）机构职能。</w:t>
      </w:r>
    </w:p>
    <w:p>
      <w:pPr>
        <w:widowControl/>
        <w:adjustRightInd w:val="0"/>
        <w:snapToGrid w:val="0"/>
        <w:spacing w:line="580" w:lineRule="exact"/>
        <w:ind w:firstLine="640" w:firstLineChars="200"/>
        <w:jc w:val="left"/>
        <w:rPr>
          <w:rFonts w:eastAsia="仿宋_GB2312"/>
          <w:color w:val="000000"/>
          <w:sz w:val="32"/>
          <w:szCs w:val="32"/>
        </w:rPr>
      </w:pPr>
      <w:r>
        <w:rPr>
          <w:rFonts w:eastAsia="仿宋_GB2312"/>
          <w:sz w:val="32"/>
          <w:szCs w:val="32"/>
        </w:rPr>
        <w:t>1.贯彻执行党和国家的各项方针、政策、法律、法规，以及上级行政机关和</w:t>
      </w:r>
      <w:r>
        <w:rPr>
          <w:rFonts w:hint="eastAsia" w:eastAsia="仿宋_GB2312"/>
          <w:sz w:val="32"/>
          <w:szCs w:val="32"/>
        </w:rPr>
        <w:t>乡</w:t>
      </w:r>
      <w:r>
        <w:rPr>
          <w:rFonts w:eastAsia="仿宋_GB2312"/>
          <w:sz w:val="32"/>
          <w:szCs w:val="32"/>
        </w:rPr>
        <w:t>党委、</w:t>
      </w:r>
      <w:r>
        <w:rPr>
          <w:rFonts w:hint="eastAsia" w:eastAsia="仿宋_GB2312"/>
          <w:sz w:val="32"/>
          <w:szCs w:val="32"/>
        </w:rPr>
        <w:t>乡</w:t>
      </w:r>
      <w:r>
        <w:rPr>
          <w:rFonts w:eastAsia="仿宋_GB2312"/>
          <w:sz w:val="32"/>
          <w:szCs w:val="32"/>
        </w:rPr>
        <w:t>人代会的决定、决议。2.制定并执行本行政区域内经济和社会发展规划、计划。3.负责乡村振兴、新农村建设和推进城乡一体化的组织和实施。4.负责辖区经济、文化、教育、科学、卫生健康、民政、社会保障、民族宗教、村镇建设、司法、退役军人、扶贫、信访、安全、统计等行政管理和服务工作。</w:t>
      </w:r>
    </w:p>
    <w:p>
      <w:pPr>
        <w:widowControl/>
        <w:adjustRightInd w:val="0"/>
        <w:snapToGrid w:val="0"/>
        <w:spacing w:line="580" w:lineRule="exact"/>
        <w:ind w:firstLine="640" w:firstLineChars="200"/>
        <w:contextualSpacing/>
        <w:jc w:val="left"/>
        <w:rPr>
          <w:rFonts w:eastAsia="仿宋_GB2312"/>
          <w:color w:val="000000"/>
          <w:sz w:val="32"/>
          <w:szCs w:val="32"/>
        </w:rPr>
      </w:pPr>
      <w:r>
        <w:rPr>
          <w:rFonts w:eastAsia="仿宋_GB2312"/>
          <w:color w:val="000000"/>
          <w:sz w:val="32"/>
          <w:szCs w:val="32"/>
        </w:rPr>
        <w:t>（三）人员概况。</w:t>
      </w:r>
    </w:p>
    <w:p>
      <w:pPr>
        <w:spacing w:line="560" w:lineRule="exact"/>
        <w:ind w:firstLine="640" w:firstLineChars="200"/>
        <w:jc w:val="left"/>
        <w:rPr>
          <w:rFonts w:eastAsia="黑体"/>
          <w:sz w:val="32"/>
          <w:szCs w:val="32"/>
        </w:rPr>
      </w:pPr>
      <w:r>
        <w:rPr>
          <w:rFonts w:eastAsia="仿宋_GB2312"/>
          <w:sz w:val="32"/>
          <w:szCs w:val="32"/>
        </w:rPr>
        <w:t>截</w:t>
      </w:r>
      <w:r>
        <w:rPr>
          <w:rFonts w:hint="eastAsia" w:eastAsia="仿宋_GB2312"/>
          <w:sz w:val="32"/>
          <w:szCs w:val="32"/>
        </w:rPr>
        <w:t>至</w:t>
      </w:r>
      <w:r>
        <w:rPr>
          <w:rFonts w:eastAsia="仿宋_GB2312"/>
          <w:sz w:val="32"/>
          <w:szCs w:val="32"/>
        </w:rPr>
        <w:t>202</w:t>
      </w:r>
      <w:r>
        <w:rPr>
          <w:rFonts w:hint="eastAsia" w:eastAsia="仿宋_GB2312"/>
          <w:sz w:val="32"/>
          <w:szCs w:val="32"/>
        </w:rPr>
        <w:t>1</w:t>
      </w:r>
      <w:r>
        <w:rPr>
          <w:rFonts w:eastAsia="仿宋_GB2312"/>
          <w:sz w:val="32"/>
          <w:szCs w:val="32"/>
        </w:rPr>
        <w:t>年底，红</w:t>
      </w:r>
      <w:r>
        <w:rPr>
          <w:rFonts w:hint="eastAsia" w:eastAsia="仿宋_GB2312"/>
          <w:sz w:val="32"/>
          <w:szCs w:val="32"/>
        </w:rPr>
        <w:t>果彝族乡</w:t>
      </w:r>
      <w:r>
        <w:rPr>
          <w:rFonts w:eastAsia="仿宋_GB2312"/>
          <w:sz w:val="32"/>
          <w:szCs w:val="32"/>
        </w:rPr>
        <w:t>人员编制</w:t>
      </w:r>
      <w:r>
        <w:rPr>
          <w:rFonts w:hint="eastAsia" w:eastAsia="仿宋_GB2312"/>
          <w:sz w:val="32"/>
          <w:szCs w:val="32"/>
        </w:rPr>
        <w:t>54</w:t>
      </w:r>
      <w:r>
        <w:rPr>
          <w:rFonts w:eastAsia="仿宋_GB2312"/>
          <w:sz w:val="32"/>
          <w:szCs w:val="32"/>
        </w:rPr>
        <w:t>人（其中：</w:t>
      </w:r>
      <w:r>
        <w:rPr>
          <w:rFonts w:hint="eastAsia" w:eastAsia="仿宋_GB2312"/>
          <w:sz w:val="32"/>
          <w:szCs w:val="32"/>
        </w:rPr>
        <w:t>公务员</w:t>
      </w:r>
      <w:r>
        <w:rPr>
          <w:rFonts w:eastAsia="仿宋_GB2312"/>
          <w:sz w:val="32"/>
          <w:szCs w:val="32"/>
        </w:rPr>
        <w:t>编制</w:t>
      </w:r>
      <w:r>
        <w:rPr>
          <w:rFonts w:hint="eastAsia" w:eastAsia="仿宋_GB2312"/>
          <w:sz w:val="32"/>
          <w:szCs w:val="32"/>
        </w:rPr>
        <w:t>25</w:t>
      </w:r>
      <w:r>
        <w:rPr>
          <w:rFonts w:eastAsia="仿宋_GB2312"/>
          <w:sz w:val="32"/>
          <w:szCs w:val="32"/>
        </w:rPr>
        <w:t>人，机关工勤编制</w:t>
      </w:r>
      <w:r>
        <w:rPr>
          <w:rFonts w:hint="eastAsia" w:eastAsia="仿宋_GB2312"/>
          <w:sz w:val="32"/>
          <w:szCs w:val="32"/>
        </w:rPr>
        <w:t>3</w:t>
      </w:r>
      <w:r>
        <w:rPr>
          <w:rFonts w:eastAsia="仿宋_GB2312"/>
          <w:sz w:val="32"/>
          <w:szCs w:val="32"/>
        </w:rPr>
        <w:t>人，事业编制</w:t>
      </w:r>
      <w:r>
        <w:rPr>
          <w:rFonts w:hint="eastAsia" w:eastAsia="仿宋_GB2312"/>
          <w:sz w:val="32"/>
          <w:szCs w:val="32"/>
        </w:rPr>
        <w:t>25</w:t>
      </w:r>
      <w:r>
        <w:rPr>
          <w:rFonts w:eastAsia="仿宋_GB2312"/>
          <w:sz w:val="32"/>
          <w:szCs w:val="32"/>
        </w:rPr>
        <w:t>人），实有</w:t>
      </w:r>
      <w:r>
        <w:rPr>
          <w:rFonts w:hint="eastAsia" w:eastAsia="仿宋_GB2312"/>
          <w:sz w:val="32"/>
          <w:szCs w:val="32"/>
        </w:rPr>
        <w:t>46</w:t>
      </w:r>
      <w:r>
        <w:rPr>
          <w:rFonts w:eastAsia="仿宋_GB2312"/>
          <w:sz w:val="32"/>
          <w:szCs w:val="32"/>
        </w:rPr>
        <w:t>人（其中：</w:t>
      </w:r>
      <w:r>
        <w:rPr>
          <w:rFonts w:hint="eastAsia" w:eastAsia="仿宋_GB2312"/>
          <w:sz w:val="32"/>
          <w:szCs w:val="32"/>
        </w:rPr>
        <w:t>公务员25</w:t>
      </w:r>
      <w:r>
        <w:rPr>
          <w:rFonts w:eastAsia="仿宋_GB2312"/>
          <w:sz w:val="32"/>
          <w:szCs w:val="32"/>
        </w:rPr>
        <w:t>人，机关工勤</w:t>
      </w:r>
      <w:r>
        <w:rPr>
          <w:rFonts w:hint="eastAsia" w:eastAsia="仿宋_GB2312"/>
          <w:sz w:val="32"/>
          <w:szCs w:val="32"/>
        </w:rPr>
        <w:t>2</w:t>
      </w:r>
      <w:r>
        <w:rPr>
          <w:rFonts w:eastAsia="仿宋_GB2312"/>
          <w:sz w:val="32"/>
          <w:szCs w:val="32"/>
        </w:rPr>
        <w:t>人，事业</w:t>
      </w:r>
      <w:r>
        <w:rPr>
          <w:rFonts w:hint="eastAsia" w:eastAsia="仿宋_GB2312"/>
          <w:sz w:val="32"/>
          <w:szCs w:val="32"/>
        </w:rPr>
        <w:t>19</w:t>
      </w:r>
      <w:r>
        <w:rPr>
          <w:rFonts w:eastAsia="仿宋_GB2312"/>
          <w:sz w:val="32"/>
          <w:szCs w:val="32"/>
        </w:rPr>
        <w:t>人）。</w:t>
      </w:r>
    </w:p>
    <w:p>
      <w:pPr>
        <w:pStyle w:val="10"/>
        <w:spacing w:line="600" w:lineRule="exact"/>
        <w:ind w:firstLine="640" w:firstLineChars="200"/>
        <w:jc w:val="left"/>
        <w:outlineLvl w:val="9"/>
        <w:rPr>
          <w:rFonts w:ascii="Times New Roman" w:hAnsi="Times New Roman" w:eastAsia="仿宋_GB2312"/>
          <w:sz w:val="32"/>
          <w:szCs w:val="32"/>
        </w:rPr>
      </w:pPr>
      <w:bookmarkStart w:id="136" w:name="_Toc24364_WPSOffice_Level2"/>
      <w:bookmarkStart w:id="137" w:name="_Toc23087_WPSOffice_Level2"/>
      <w:r>
        <w:rPr>
          <w:rFonts w:ascii="Times New Roman" w:hAnsi="Times New Roman" w:eastAsia="黑体"/>
          <w:sz w:val="32"/>
          <w:szCs w:val="32"/>
        </w:rPr>
        <w:t>二、部门</w:t>
      </w:r>
      <w:r>
        <w:rPr>
          <w:rFonts w:hint="eastAsia" w:ascii="Times New Roman" w:hAnsi="Times New Roman" w:eastAsia="黑体"/>
          <w:sz w:val="32"/>
          <w:szCs w:val="32"/>
        </w:rPr>
        <w:t>财政</w:t>
      </w:r>
      <w:r>
        <w:rPr>
          <w:rFonts w:ascii="Times New Roman" w:hAnsi="Times New Roman" w:eastAsia="黑体"/>
          <w:sz w:val="32"/>
          <w:szCs w:val="32"/>
        </w:rPr>
        <w:t>资金基本情况</w:t>
      </w:r>
      <w:bookmarkEnd w:id="136"/>
      <w:bookmarkEnd w:id="137"/>
    </w:p>
    <w:p>
      <w:pPr>
        <w:widowControl/>
        <w:adjustRightInd w:val="0"/>
        <w:snapToGrid w:val="0"/>
        <w:spacing w:line="580" w:lineRule="exact"/>
        <w:ind w:firstLine="640" w:firstLineChars="200"/>
        <w:contextualSpacing/>
        <w:jc w:val="left"/>
        <w:rPr>
          <w:rFonts w:eastAsia="仿宋_GB2312"/>
          <w:color w:val="000000"/>
          <w:sz w:val="32"/>
          <w:szCs w:val="32"/>
        </w:rPr>
      </w:pPr>
      <w:r>
        <w:rPr>
          <w:rFonts w:eastAsia="仿宋_GB2312"/>
          <w:color w:val="000000"/>
          <w:sz w:val="32"/>
          <w:szCs w:val="32"/>
        </w:rPr>
        <w:t>（一）财政资金收入情况。</w:t>
      </w:r>
    </w:p>
    <w:p>
      <w:pPr>
        <w:widowControl/>
        <w:spacing w:line="560" w:lineRule="exact"/>
        <w:ind w:firstLine="640" w:firstLineChars="200"/>
        <w:jc w:val="left"/>
        <w:rPr>
          <w:rFonts w:eastAsia="仿宋_GB2312"/>
          <w:color w:val="000000"/>
          <w:sz w:val="32"/>
          <w:szCs w:val="32"/>
        </w:rPr>
      </w:pPr>
      <w:r>
        <w:rPr>
          <w:rFonts w:eastAsia="仿宋_GB2312"/>
          <w:sz w:val="32"/>
          <w:szCs w:val="32"/>
        </w:rPr>
        <w:t>202</w:t>
      </w:r>
      <w:r>
        <w:rPr>
          <w:rFonts w:hint="eastAsia" w:eastAsia="仿宋_GB2312"/>
          <w:sz w:val="32"/>
          <w:szCs w:val="32"/>
        </w:rPr>
        <w:t>1</w:t>
      </w:r>
      <w:r>
        <w:rPr>
          <w:rFonts w:eastAsia="仿宋_GB2312"/>
          <w:sz w:val="32"/>
          <w:szCs w:val="32"/>
        </w:rPr>
        <w:t>年度财政</w:t>
      </w:r>
      <w:r>
        <w:rPr>
          <w:rFonts w:hint="eastAsia" w:eastAsia="仿宋_GB2312"/>
          <w:sz w:val="32"/>
          <w:szCs w:val="32"/>
        </w:rPr>
        <w:t>资金</w:t>
      </w:r>
      <w:r>
        <w:rPr>
          <w:rFonts w:eastAsia="仿宋_GB2312"/>
          <w:sz w:val="32"/>
          <w:szCs w:val="32"/>
        </w:rPr>
        <w:t>收入</w:t>
      </w:r>
      <w:r>
        <w:rPr>
          <w:rFonts w:hint="eastAsia" w:eastAsia="仿宋_GB2312"/>
          <w:sz w:val="32"/>
          <w:szCs w:val="32"/>
        </w:rPr>
        <w:t>1657.46</w:t>
      </w:r>
      <w:r>
        <w:rPr>
          <w:rFonts w:eastAsia="仿宋_GB2312"/>
          <w:sz w:val="32"/>
          <w:szCs w:val="32"/>
        </w:rPr>
        <w:t>万元，其中：一般公共预算财政拨款收入</w:t>
      </w:r>
      <w:r>
        <w:rPr>
          <w:rFonts w:hint="eastAsia" w:eastAsia="仿宋_GB2312"/>
          <w:sz w:val="32"/>
          <w:szCs w:val="32"/>
        </w:rPr>
        <w:t>1532.16</w:t>
      </w:r>
      <w:r>
        <w:rPr>
          <w:rFonts w:eastAsia="仿宋_GB2312"/>
          <w:sz w:val="32"/>
          <w:szCs w:val="32"/>
        </w:rPr>
        <w:t>万元</w:t>
      </w:r>
      <w:r>
        <w:rPr>
          <w:rFonts w:hint="eastAsia" w:eastAsia="仿宋_GB2312"/>
          <w:sz w:val="32"/>
          <w:szCs w:val="32"/>
        </w:rPr>
        <w:t>,占总收入的92.44%</w:t>
      </w:r>
      <w:r>
        <w:rPr>
          <w:rFonts w:eastAsia="仿宋_GB2312"/>
          <w:sz w:val="32"/>
          <w:szCs w:val="32"/>
        </w:rPr>
        <w:t>；政府性基金预算财政拨款收入</w:t>
      </w:r>
      <w:r>
        <w:rPr>
          <w:rFonts w:hint="eastAsia" w:eastAsia="仿宋_GB2312"/>
          <w:sz w:val="32"/>
          <w:szCs w:val="32"/>
        </w:rPr>
        <w:t>125.3</w:t>
      </w:r>
      <w:r>
        <w:rPr>
          <w:rFonts w:eastAsia="仿宋_GB2312"/>
          <w:sz w:val="32"/>
          <w:szCs w:val="32"/>
        </w:rPr>
        <w:t>万元</w:t>
      </w:r>
      <w:r>
        <w:rPr>
          <w:rFonts w:hint="eastAsia" w:eastAsia="仿宋_GB2312"/>
          <w:sz w:val="32"/>
          <w:szCs w:val="32"/>
        </w:rPr>
        <w:t>，占总收入的7.56%；其他收入（非本级财政拨款）0万元，占总收入的0%</w:t>
      </w:r>
      <w:r>
        <w:rPr>
          <w:rFonts w:eastAsia="仿宋_GB2312"/>
          <w:sz w:val="32"/>
          <w:szCs w:val="32"/>
        </w:rPr>
        <w:t>。</w:t>
      </w:r>
    </w:p>
    <w:p>
      <w:pPr>
        <w:widowControl/>
        <w:adjustRightInd w:val="0"/>
        <w:snapToGrid w:val="0"/>
        <w:spacing w:line="580" w:lineRule="exact"/>
        <w:ind w:firstLine="640" w:firstLineChars="200"/>
        <w:contextualSpacing/>
        <w:jc w:val="left"/>
        <w:rPr>
          <w:rFonts w:eastAsia="仿宋_GB2312"/>
          <w:sz w:val="32"/>
          <w:szCs w:val="32"/>
        </w:rPr>
      </w:pPr>
      <w:r>
        <w:rPr>
          <w:rFonts w:eastAsia="仿宋_GB2312"/>
          <w:color w:val="000000"/>
          <w:sz w:val="32"/>
          <w:szCs w:val="32"/>
        </w:rPr>
        <w:t>（二）财政资金支出情况。</w:t>
      </w:r>
    </w:p>
    <w:p>
      <w:pPr>
        <w:widowControl/>
        <w:spacing w:line="560" w:lineRule="exact"/>
        <w:ind w:firstLine="640" w:firstLineChars="200"/>
        <w:jc w:val="left"/>
        <w:rPr>
          <w:rFonts w:eastAsia="仿宋_GB2312"/>
          <w:sz w:val="32"/>
          <w:szCs w:val="32"/>
        </w:rPr>
      </w:pPr>
      <w:r>
        <w:rPr>
          <w:rFonts w:eastAsia="仿宋_GB2312"/>
          <w:sz w:val="32"/>
          <w:szCs w:val="32"/>
        </w:rPr>
        <w:t>202</w:t>
      </w:r>
      <w:r>
        <w:rPr>
          <w:rFonts w:hint="eastAsia" w:eastAsia="仿宋_GB2312"/>
          <w:sz w:val="32"/>
          <w:szCs w:val="32"/>
        </w:rPr>
        <w:t>1</w:t>
      </w:r>
      <w:r>
        <w:rPr>
          <w:rFonts w:eastAsia="仿宋_GB2312"/>
          <w:sz w:val="32"/>
          <w:szCs w:val="32"/>
        </w:rPr>
        <w:t>年度</w:t>
      </w:r>
      <w:r>
        <w:rPr>
          <w:rFonts w:hint="eastAsia" w:eastAsia="仿宋_GB2312"/>
          <w:sz w:val="32"/>
          <w:szCs w:val="32"/>
        </w:rPr>
        <w:t>财政资金</w:t>
      </w:r>
      <w:r>
        <w:rPr>
          <w:rFonts w:eastAsia="仿宋_GB2312"/>
          <w:sz w:val="32"/>
          <w:szCs w:val="32"/>
        </w:rPr>
        <w:t>支出</w:t>
      </w:r>
      <w:r>
        <w:rPr>
          <w:rFonts w:hint="eastAsia" w:eastAsia="仿宋_GB2312"/>
          <w:sz w:val="32"/>
          <w:szCs w:val="32"/>
        </w:rPr>
        <w:t>1775.31</w:t>
      </w:r>
      <w:r>
        <w:rPr>
          <w:rFonts w:eastAsia="仿宋_GB2312"/>
          <w:sz w:val="32"/>
          <w:szCs w:val="32"/>
        </w:rPr>
        <w:t>万元，其中：一般公共预算财政拨款支出</w:t>
      </w:r>
      <w:r>
        <w:rPr>
          <w:rFonts w:hint="eastAsia" w:eastAsia="仿宋_GB2312"/>
          <w:sz w:val="32"/>
          <w:szCs w:val="32"/>
        </w:rPr>
        <w:t>1650.01</w:t>
      </w:r>
      <w:r>
        <w:rPr>
          <w:rFonts w:eastAsia="仿宋_GB2312"/>
          <w:sz w:val="32"/>
          <w:szCs w:val="32"/>
        </w:rPr>
        <w:t>万元</w:t>
      </w:r>
      <w:r>
        <w:rPr>
          <w:rFonts w:hint="eastAsia" w:eastAsia="仿宋_GB2312"/>
          <w:sz w:val="32"/>
          <w:szCs w:val="32"/>
        </w:rPr>
        <w:t>,占总支出的93%</w:t>
      </w:r>
      <w:r>
        <w:rPr>
          <w:rFonts w:eastAsia="仿宋_GB2312"/>
          <w:sz w:val="32"/>
          <w:szCs w:val="32"/>
        </w:rPr>
        <w:t>；政府性基金预算财政拨款支出</w:t>
      </w:r>
      <w:r>
        <w:rPr>
          <w:rFonts w:hint="eastAsia" w:eastAsia="仿宋_GB2312"/>
          <w:sz w:val="32"/>
          <w:szCs w:val="32"/>
        </w:rPr>
        <w:t>125.3</w:t>
      </w:r>
      <w:r>
        <w:rPr>
          <w:rFonts w:eastAsia="仿宋_GB2312"/>
          <w:sz w:val="32"/>
          <w:szCs w:val="32"/>
        </w:rPr>
        <w:t>万元</w:t>
      </w:r>
      <w:r>
        <w:rPr>
          <w:rFonts w:hint="eastAsia" w:eastAsia="仿宋_GB2312"/>
          <w:sz w:val="32"/>
          <w:szCs w:val="32"/>
        </w:rPr>
        <w:t>，占总支出的7%；其他支出（非本级财政拨款）0万元，占总支出的0%</w:t>
      </w:r>
      <w:r>
        <w:rPr>
          <w:rFonts w:eastAsia="仿宋_GB2312"/>
          <w:sz w:val="32"/>
          <w:szCs w:val="32"/>
        </w:rPr>
        <w:t>。基本支出</w:t>
      </w:r>
      <w:r>
        <w:rPr>
          <w:rFonts w:hint="eastAsia" w:eastAsia="仿宋_GB2312"/>
          <w:sz w:val="32"/>
          <w:szCs w:val="32"/>
        </w:rPr>
        <w:t>1015.4</w:t>
      </w:r>
      <w:r>
        <w:rPr>
          <w:rFonts w:eastAsia="仿宋_GB2312"/>
          <w:sz w:val="32"/>
          <w:szCs w:val="32"/>
        </w:rPr>
        <w:t>万元，</w:t>
      </w:r>
      <w:r>
        <w:rPr>
          <w:rFonts w:hint="eastAsia" w:eastAsia="仿宋_GB2312"/>
          <w:sz w:val="32"/>
          <w:szCs w:val="32"/>
        </w:rPr>
        <w:t>占比57.2%；</w:t>
      </w:r>
      <w:r>
        <w:rPr>
          <w:rFonts w:eastAsia="仿宋_GB2312"/>
          <w:sz w:val="32"/>
          <w:szCs w:val="32"/>
        </w:rPr>
        <w:t>项目支出</w:t>
      </w:r>
      <w:r>
        <w:rPr>
          <w:rFonts w:hint="eastAsia" w:eastAsia="仿宋_GB2312"/>
          <w:sz w:val="32"/>
          <w:szCs w:val="32"/>
        </w:rPr>
        <w:t>759.91</w:t>
      </w:r>
      <w:r>
        <w:rPr>
          <w:rFonts w:eastAsia="仿宋_GB2312"/>
          <w:sz w:val="32"/>
          <w:szCs w:val="32"/>
        </w:rPr>
        <w:t>万元</w:t>
      </w:r>
      <w:r>
        <w:rPr>
          <w:rFonts w:hint="eastAsia" w:eastAsia="仿宋_GB2312"/>
          <w:sz w:val="32"/>
          <w:szCs w:val="32"/>
        </w:rPr>
        <w:t>，占比42.8%</w:t>
      </w:r>
      <w:r>
        <w:rPr>
          <w:rFonts w:eastAsia="仿宋_GB2312"/>
          <w:sz w:val="32"/>
          <w:szCs w:val="32"/>
        </w:rPr>
        <w:t>。</w:t>
      </w:r>
    </w:p>
    <w:p>
      <w:pPr>
        <w:widowControl/>
        <w:adjustRightInd w:val="0"/>
        <w:snapToGrid w:val="0"/>
        <w:spacing w:line="580" w:lineRule="exact"/>
        <w:ind w:firstLine="640" w:firstLineChars="200"/>
        <w:contextualSpacing/>
        <w:jc w:val="left"/>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）财政资金</w:t>
      </w:r>
      <w:r>
        <w:rPr>
          <w:rFonts w:hint="eastAsia" w:eastAsia="仿宋_GB2312"/>
          <w:sz w:val="32"/>
          <w:szCs w:val="32"/>
        </w:rPr>
        <w:t>结转结余</w:t>
      </w:r>
      <w:r>
        <w:rPr>
          <w:rFonts w:eastAsia="仿宋_GB2312"/>
          <w:sz w:val="32"/>
          <w:szCs w:val="32"/>
        </w:rPr>
        <w:t>情况。</w:t>
      </w:r>
    </w:p>
    <w:p>
      <w:pPr>
        <w:widowControl/>
        <w:spacing w:line="560" w:lineRule="exact"/>
        <w:ind w:firstLine="640" w:firstLineChars="200"/>
        <w:jc w:val="left"/>
        <w:rPr>
          <w:rFonts w:eastAsia="黑体"/>
          <w:color w:val="000000"/>
          <w:sz w:val="32"/>
          <w:szCs w:val="32"/>
        </w:rPr>
      </w:pPr>
      <w:r>
        <w:rPr>
          <w:rFonts w:eastAsia="仿宋_GB2312"/>
          <w:sz w:val="32"/>
          <w:szCs w:val="32"/>
        </w:rPr>
        <w:t>202</w:t>
      </w:r>
      <w:r>
        <w:rPr>
          <w:rFonts w:hint="eastAsia" w:eastAsia="仿宋_GB2312"/>
          <w:sz w:val="32"/>
          <w:szCs w:val="32"/>
        </w:rPr>
        <w:t>1</w:t>
      </w:r>
      <w:r>
        <w:rPr>
          <w:rFonts w:eastAsia="仿宋_GB2312"/>
          <w:sz w:val="32"/>
          <w:szCs w:val="32"/>
        </w:rPr>
        <w:t>年年末结转和结余资金</w:t>
      </w:r>
      <w:r>
        <w:rPr>
          <w:rFonts w:hint="eastAsia" w:eastAsia="仿宋_GB2312"/>
          <w:sz w:val="32"/>
          <w:szCs w:val="32"/>
        </w:rPr>
        <w:t>0</w:t>
      </w:r>
      <w:r>
        <w:rPr>
          <w:rFonts w:eastAsia="仿宋_GB2312"/>
          <w:sz w:val="32"/>
          <w:szCs w:val="32"/>
        </w:rPr>
        <w:t>万元。</w:t>
      </w:r>
    </w:p>
    <w:p>
      <w:pPr>
        <w:widowControl/>
        <w:adjustRightInd w:val="0"/>
        <w:snapToGrid w:val="0"/>
        <w:spacing w:line="580" w:lineRule="exact"/>
        <w:ind w:firstLine="640" w:firstLineChars="200"/>
        <w:contextualSpacing/>
        <w:jc w:val="left"/>
        <w:outlineLvl w:val="9"/>
        <w:rPr>
          <w:rFonts w:eastAsia="黑体"/>
          <w:color w:val="000000"/>
          <w:sz w:val="32"/>
          <w:szCs w:val="32"/>
        </w:rPr>
      </w:pPr>
      <w:bookmarkStart w:id="138" w:name="_Toc3308_WPSOffice_Level2"/>
      <w:bookmarkStart w:id="139" w:name="_Toc7431_WPSOffice_Level2"/>
      <w:r>
        <w:rPr>
          <w:rFonts w:eastAsia="黑体"/>
          <w:color w:val="000000"/>
          <w:sz w:val="32"/>
          <w:szCs w:val="32"/>
        </w:rPr>
        <w:t>三、部门预算绩效管理情况</w:t>
      </w:r>
      <w:bookmarkEnd w:id="138"/>
      <w:bookmarkEnd w:id="139"/>
    </w:p>
    <w:p>
      <w:pPr>
        <w:widowControl/>
        <w:adjustRightInd w:val="0"/>
        <w:snapToGrid w:val="0"/>
        <w:spacing w:line="580" w:lineRule="exact"/>
        <w:ind w:firstLine="640" w:firstLineChars="200"/>
        <w:contextualSpacing/>
        <w:jc w:val="left"/>
        <w:rPr>
          <w:rFonts w:eastAsia="仿宋_GB2312"/>
          <w:color w:val="000000"/>
          <w:sz w:val="32"/>
          <w:szCs w:val="32"/>
        </w:rPr>
      </w:pPr>
      <w:r>
        <w:rPr>
          <w:rFonts w:eastAsia="仿宋_GB2312"/>
          <w:color w:val="000000"/>
          <w:sz w:val="32"/>
          <w:szCs w:val="32"/>
        </w:rPr>
        <w:t>（一）部门预算绩效管理。</w:t>
      </w:r>
    </w:p>
    <w:p>
      <w:pPr>
        <w:spacing w:line="560" w:lineRule="exact"/>
        <w:ind w:firstLine="640" w:firstLineChars="200"/>
        <w:rPr>
          <w:rFonts w:eastAsia="仿宋_GB2312"/>
          <w:color w:val="000000"/>
          <w:sz w:val="32"/>
          <w:szCs w:val="32"/>
        </w:rPr>
      </w:pPr>
      <w:r>
        <w:rPr>
          <w:rFonts w:eastAsia="仿宋_GB2312"/>
          <w:sz w:val="32"/>
          <w:szCs w:val="32"/>
        </w:rPr>
        <w:t>根据预算绩效管理工作的有关要求，完善预算绩效管理制度，</w:t>
      </w:r>
      <w:r>
        <w:rPr>
          <w:rFonts w:hint="eastAsia" w:eastAsia="仿宋_GB2312"/>
          <w:sz w:val="32"/>
          <w:szCs w:val="32"/>
        </w:rPr>
        <w:t>不断提高部门预算整体绩效管理水平，我乡于2021年年初对所有项目编制</w:t>
      </w:r>
      <w:r>
        <w:rPr>
          <w:rFonts w:eastAsia="仿宋_GB2312"/>
          <w:sz w:val="32"/>
          <w:szCs w:val="32"/>
        </w:rPr>
        <w:t>了</w:t>
      </w:r>
      <w:r>
        <w:rPr>
          <w:rFonts w:hint="eastAsia" w:eastAsia="仿宋_GB2312"/>
          <w:sz w:val="32"/>
          <w:szCs w:val="32"/>
        </w:rPr>
        <w:t>预算</w:t>
      </w:r>
      <w:r>
        <w:rPr>
          <w:rFonts w:eastAsia="仿宋_GB2312"/>
          <w:sz w:val="32"/>
          <w:szCs w:val="32"/>
        </w:rPr>
        <w:t>绩效目标，主要是</w:t>
      </w:r>
      <w:r>
        <w:rPr>
          <w:rFonts w:hint="eastAsia" w:eastAsia="仿宋_GB2312"/>
          <w:sz w:val="32"/>
          <w:szCs w:val="32"/>
        </w:rPr>
        <w:t>实现2021年全年保基本民生、保工资、保运转，坚决兜住“三保”支出底线的同时，节约经费，压缩开支，保证各项经费正常支出。</w:t>
      </w:r>
      <w:r>
        <w:rPr>
          <w:rFonts w:eastAsia="仿宋_GB2312"/>
          <w:sz w:val="32"/>
          <w:szCs w:val="32"/>
        </w:rPr>
        <w:t>对全部</w:t>
      </w:r>
      <w:r>
        <w:rPr>
          <w:rFonts w:hint="eastAsia" w:eastAsia="仿宋_GB2312"/>
          <w:sz w:val="32"/>
          <w:szCs w:val="32"/>
        </w:rPr>
        <w:t>财政资金</w:t>
      </w:r>
      <w:r>
        <w:rPr>
          <w:rFonts w:eastAsia="仿宋_GB2312"/>
          <w:sz w:val="32"/>
          <w:szCs w:val="32"/>
        </w:rPr>
        <w:t>均按要求实行绩效目标管理。目标的实现：2021年人员</w:t>
      </w:r>
      <w:r>
        <w:rPr>
          <w:rFonts w:hint="eastAsia" w:eastAsia="仿宋_GB2312"/>
          <w:sz w:val="32"/>
          <w:szCs w:val="32"/>
        </w:rPr>
        <w:t>经费</w:t>
      </w:r>
      <w:r>
        <w:rPr>
          <w:rFonts w:eastAsia="仿宋_GB2312"/>
          <w:sz w:val="32"/>
          <w:szCs w:val="32"/>
        </w:rPr>
        <w:t>支出</w:t>
      </w:r>
      <w:r>
        <w:rPr>
          <w:rFonts w:hint="eastAsia" w:eastAsia="仿宋_GB2312"/>
          <w:sz w:val="32"/>
          <w:szCs w:val="32"/>
        </w:rPr>
        <w:t>901.95</w:t>
      </w:r>
      <w:r>
        <w:rPr>
          <w:rFonts w:eastAsia="仿宋_GB2312"/>
          <w:sz w:val="32"/>
          <w:szCs w:val="32"/>
        </w:rPr>
        <w:t>万元，主要用于</w:t>
      </w:r>
      <w:r>
        <w:rPr>
          <w:rFonts w:hint="eastAsia" w:eastAsia="仿宋_GB2312"/>
          <w:sz w:val="32"/>
          <w:szCs w:val="32"/>
        </w:rPr>
        <w:t>职工</w:t>
      </w:r>
      <w:r>
        <w:rPr>
          <w:rFonts w:eastAsia="仿宋_GB2312"/>
          <w:sz w:val="32"/>
          <w:szCs w:val="32"/>
        </w:rPr>
        <w:t>的工资</w:t>
      </w:r>
      <w:r>
        <w:rPr>
          <w:rFonts w:hint="eastAsia" w:eastAsia="仿宋_GB2312"/>
          <w:sz w:val="32"/>
          <w:szCs w:val="32"/>
        </w:rPr>
        <w:t>、社会保险、住房公积金等方面</w:t>
      </w:r>
      <w:r>
        <w:rPr>
          <w:rFonts w:eastAsia="仿宋_GB2312"/>
          <w:sz w:val="32"/>
          <w:szCs w:val="32"/>
        </w:rPr>
        <w:t>，保障了在职人员和退休人员的正常工资性</w:t>
      </w:r>
      <w:r>
        <w:rPr>
          <w:rFonts w:hint="eastAsia" w:eastAsia="仿宋_GB2312"/>
          <w:sz w:val="32"/>
          <w:szCs w:val="32"/>
        </w:rPr>
        <w:t>支出</w:t>
      </w:r>
      <w:r>
        <w:rPr>
          <w:rFonts w:eastAsia="仿宋_GB2312"/>
          <w:sz w:val="32"/>
          <w:szCs w:val="32"/>
        </w:rPr>
        <w:t>。</w:t>
      </w:r>
      <w:r>
        <w:rPr>
          <w:rFonts w:hint="eastAsia" w:eastAsia="仿宋_GB2312"/>
          <w:sz w:val="32"/>
          <w:szCs w:val="32"/>
        </w:rPr>
        <w:t>公用经费</w:t>
      </w:r>
      <w:r>
        <w:rPr>
          <w:rFonts w:eastAsia="仿宋_GB2312"/>
          <w:sz w:val="32"/>
          <w:szCs w:val="32"/>
        </w:rPr>
        <w:t>支出</w:t>
      </w:r>
      <w:r>
        <w:rPr>
          <w:rFonts w:hint="eastAsia" w:eastAsia="仿宋_GB2312"/>
          <w:sz w:val="32"/>
          <w:szCs w:val="32"/>
        </w:rPr>
        <w:t>113.45</w:t>
      </w:r>
      <w:r>
        <w:rPr>
          <w:rFonts w:eastAsia="仿宋_GB2312"/>
          <w:sz w:val="32"/>
          <w:szCs w:val="32"/>
        </w:rPr>
        <w:t>万元，主要是用于机关日常运转支出方面，保障</w:t>
      </w:r>
      <w:r>
        <w:rPr>
          <w:rFonts w:hint="eastAsia" w:eastAsia="仿宋_GB2312"/>
          <w:sz w:val="32"/>
          <w:szCs w:val="32"/>
        </w:rPr>
        <w:t>机关</w:t>
      </w:r>
      <w:r>
        <w:rPr>
          <w:rFonts w:eastAsia="仿宋_GB2312"/>
          <w:sz w:val="32"/>
          <w:szCs w:val="32"/>
        </w:rPr>
        <w:t>各项</w:t>
      </w:r>
      <w:r>
        <w:rPr>
          <w:rFonts w:hint="eastAsia" w:eastAsia="仿宋_GB2312"/>
          <w:sz w:val="32"/>
          <w:szCs w:val="32"/>
        </w:rPr>
        <w:t>工作顺利开展</w:t>
      </w:r>
      <w:r>
        <w:rPr>
          <w:rFonts w:eastAsia="仿宋_GB2312"/>
          <w:sz w:val="32"/>
          <w:szCs w:val="32"/>
        </w:rPr>
        <w:t>。全年所有支出都按照有关规定强化资金管理，提升资金使用效率，认真落实厉行节约各项政策，截</w:t>
      </w:r>
      <w:r>
        <w:rPr>
          <w:rFonts w:hint="eastAsia" w:eastAsia="仿宋_GB2312"/>
          <w:sz w:val="32"/>
          <w:szCs w:val="32"/>
        </w:rPr>
        <w:t>至</w:t>
      </w:r>
      <w:r>
        <w:rPr>
          <w:rFonts w:eastAsia="仿宋_GB2312"/>
          <w:sz w:val="32"/>
          <w:szCs w:val="32"/>
        </w:rPr>
        <w:t>2021年12月底，本单位支出执行数为</w:t>
      </w:r>
      <w:r>
        <w:rPr>
          <w:rFonts w:hint="eastAsia" w:eastAsia="仿宋_GB2312"/>
          <w:sz w:val="32"/>
          <w:szCs w:val="32"/>
        </w:rPr>
        <w:t>1775.31</w:t>
      </w:r>
      <w:r>
        <w:rPr>
          <w:rFonts w:eastAsia="仿宋_GB2312"/>
          <w:sz w:val="32"/>
          <w:szCs w:val="32"/>
        </w:rPr>
        <w:t>万元，执行率达到100%，无资金</w:t>
      </w:r>
      <w:r>
        <w:rPr>
          <w:rFonts w:hint="eastAsia" w:eastAsia="仿宋_GB2312"/>
          <w:sz w:val="32"/>
          <w:szCs w:val="32"/>
        </w:rPr>
        <w:t>结转</w:t>
      </w:r>
      <w:r>
        <w:rPr>
          <w:rFonts w:eastAsia="仿宋_GB2312"/>
          <w:sz w:val="32"/>
          <w:szCs w:val="32"/>
        </w:rPr>
        <w:t>结余情况，较好地完成了年初制定的</w:t>
      </w:r>
      <w:r>
        <w:rPr>
          <w:rFonts w:hint="eastAsia" w:eastAsia="仿宋_GB2312"/>
          <w:sz w:val="32"/>
          <w:szCs w:val="32"/>
        </w:rPr>
        <w:t>绩效</w:t>
      </w:r>
      <w:r>
        <w:rPr>
          <w:rFonts w:eastAsia="仿宋_GB2312"/>
          <w:sz w:val="32"/>
          <w:szCs w:val="32"/>
        </w:rPr>
        <w:t>目标任务，各项工作有序推进，整体支出平稳，</w:t>
      </w:r>
      <w:r>
        <w:rPr>
          <w:rFonts w:hint="eastAsia" w:eastAsia="仿宋_GB2312"/>
          <w:sz w:val="32"/>
          <w:szCs w:val="32"/>
        </w:rPr>
        <w:t>基本达到预期指标</w:t>
      </w:r>
      <w:r>
        <w:rPr>
          <w:rFonts w:eastAsia="仿宋_GB2312"/>
          <w:sz w:val="32"/>
          <w:szCs w:val="32"/>
        </w:rPr>
        <w:t>。</w:t>
      </w:r>
    </w:p>
    <w:p>
      <w:pPr>
        <w:widowControl/>
        <w:adjustRightInd w:val="0"/>
        <w:snapToGrid w:val="0"/>
        <w:spacing w:line="580" w:lineRule="exact"/>
        <w:ind w:firstLine="640" w:firstLineChars="200"/>
        <w:contextualSpacing/>
        <w:jc w:val="left"/>
        <w:rPr>
          <w:rFonts w:eastAsia="仿宋_GB2312"/>
          <w:color w:val="000000"/>
          <w:sz w:val="32"/>
          <w:szCs w:val="32"/>
        </w:rPr>
      </w:pPr>
      <w:r>
        <w:rPr>
          <w:rFonts w:eastAsia="仿宋_GB2312"/>
          <w:color w:val="000000"/>
          <w:sz w:val="32"/>
          <w:szCs w:val="32"/>
        </w:rPr>
        <w:t>（二）结果应用情况。</w:t>
      </w:r>
    </w:p>
    <w:p>
      <w:pPr>
        <w:widowControl/>
        <w:adjustRightInd w:val="0"/>
        <w:snapToGrid w:val="0"/>
        <w:spacing w:line="580" w:lineRule="exact"/>
        <w:ind w:firstLine="640" w:firstLineChars="200"/>
        <w:contextualSpacing/>
        <w:jc w:val="left"/>
        <w:rPr>
          <w:rFonts w:eastAsia="黑体"/>
          <w:color w:val="000000"/>
          <w:sz w:val="32"/>
          <w:szCs w:val="32"/>
        </w:rPr>
      </w:pPr>
      <w:r>
        <w:rPr>
          <w:rFonts w:eastAsia="仿宋_GB2312"/>
          <w:sz w:val="32"/>
          <w:szCs w:val="32"/>
        </w:rPr>
        <w:t>为认真贯彻落实《盐边县关于全面实施预算绩效管理的工作方案》（盐边委办【2019】114号）文件精神，进一步提高预算绩效管理水平和财政资源配置、使用效率。根据盐边财绩【202</w:t>
      </w:r>
      <w:r>
        <w:rPr>
          <w:rFonts w:hint="eastAsia" w:eastAsia="仿宋_GB2312"/>
          <w:sz w:val="32"/>
          <w:szCs w:val="32"/>
        </w:rPr>
        <w:t>2</w:t>
      </w:r>
      <w:r>
        <w:rPr>
          <w:rFonts w:eastAsia="仿宋_GB2312"/>
          <w:sz w:val="32"/>
          <w:szCs w:val="32"/>
        </w:rPr>
        <w:t>】</w:t>
      </w:r>
      <w:r>
        <w:rPr>
          <w:rFonts w:hint="eastAsia" w:eastAsia="仿宋_GB2312"/>
          <w:sz w:val="32"/>
          <w:szCs w:val="32"/>
        </w:rPr>
        <w:t>3</w:t>
      </w:r>
      <w:r>
        <w:rPr>
          <w:rFonts w:eastAsia="仿宋_GB2312"/>
          <w:sz w:val="32"/>
          <w:szCs w:val="32"/>
        </w:rPr>
        <w:t>号《盐边县财政局关于开展202</w:t>
      </w:r>
      <w:r>
        <w:rPr>
          <w:rFonts w:hint="eastAsia" w:eastAsia="仿宋_GB2312"/>
          <w:sz w:val="32"/>
          <w:szCs w:val="32"/>
        </w:rPr>
        <w:t>1</w:t>
      </w:r>
      <w:r>
        <w:rPr>
          <w:rFonts w:eastAsia="仿宋_GB2312"/>
          <w:sz w:val="32"/>
          <w:szCs w:val="32"/>
        </w:rPr>
        <w:t>年度部门</w:t>
      </w:r>
      <w:r>
        <w:rPr>
          <w:rFonts w:hint="eastAsia" w:eastAsia="仿宋_GB2312"/>
          <w:sz w:val="32"/>
          <w:szCs w:val="32"/>
        </w:rPr>
        <w:t>预算</w:t>
      </w:r>
      <w:r>
        <w:rPr>
          <w:rFonts w:eastAsia="仿宋_GB2312"/>
          <w:sz w:val="32"/>
          <w:szCs w:val="32"/>
        </w:rPr>
        <w:t>整体</w:t>
      </w:r>
      <w:r>
        <w:rPr>
          <w:rFonts w:hint="eastAsia" w:eastAsia="仿宋_GB2312"/>
          <w:sz w:val="32"/>
          <w:szCs w:val="32"/>
        </w:rPr>
        <w:t>及项目</w:t>
      </w:r>
      <w:r>
        <w:rPr>
          <w:rFonts w:eastAsia="仿宋_GB2312"/>
          <w:sz w:val="32"/>
          <w:szCs w:val="32"/>
        </w:rPr>
        <w:t>支出绩效</w:t>
      </w:r>
      <w:r>
        <w:rPr>
          <w:rFonts w:hint="eastAsia" w:eastAsia="仿宋_GB2312"/>
          <w:sz w:val="32"/>
          <w:szCs w:val="32"/>
        </w:rPr>
        <w:t>自评</w:t>
      </w:r>
      <w:r>
        <w:rPr>
          <w:rFonts w:eastAsia="仿宋_GB2312"/>
          <w:sz w:val="32"/>
          <w:szCs w:val="32"/>
        </w:rPr>
        <w:t>工作的通知》要求，</w:t>
      </w:r>
      <w:r>
        <w:rPr>
          <w:rFonts w:hint="eastAsia" w:eastAsia="仿宋_GB2312"/>
          <w:sz w:val="32"/>
          <w:szCs w:val="32"/>
        </w:rPr>
        <w:t>我乡</w:t>
      </w:r>
      <w:r>
        <w:rPr>
          <w:rFonts w:eastAsia="仿宋_GB2312"/>
          <w:sz w:val="32"/>
          <w:szCs w:val="32"/>
        </w:rPr>
        <w:t>对2021年度部门</w:t>
      </w:r>
      <w:r>
        <w:rPr>
          <w:rFonts w:hint="eastAsia" w:eastAsia="仿宋_GB2312"/>
          <w:sz w:val="32"/>
          <w:szCs w:val="32"/>
        </w:rPr>
        <w:t>预算整体支出</w:t>
      </w:r>
      <w:r>
        <w:rPr>
          <w:rFonts w:eastAsia="仿宋_GB2312"/>
          <w:sz w:val="32"/>
          <w:szCs w:val="32"/>
        </w:rPr>
        <w:t>绩效进行了自评，自评等级为良好</w:t>
      </w:r>
      <w:r>
        <w:rPr>
          <w:rFonts w:hint="eastAsia" w:eastAsia="仿宋_GB2312"/>
          <w:sz w:val="32"/>
          <w:szCs w:val="32"/>
        </w:rPr>
        <w:t>。</w:t>
      </w:r>
      <w:r>
        <w:rPr>
          <w:rFonts w:eastAsia="仿宋_GB2312"/>
          <w:sz w:val="32"/>
          <w:szCs w:val="32"/>
        </w:rPr>
        <w:t>在资金的管理和使用上，</w:t>
      </w:r>
      <w:r>
        <w:rPr>
          <w:rFonts w:hint="eastAsia" w:eastAsia="仿宋_GB2312"/>
          <w:sz w:val="32"/>
          <w:szCs w:val="32"/>
        </w:rPr>
        <w:t>严格</w:t>
      </w:r>
      <w:r>
        <w:rPr>
          <w:rFonts w:eastAsia="仿宋_GB2312"/>
          <w:sz w:val="32"/>
          <w:szCs w:val="32"/>
        </w:rPr>
        <w:t>遵守财经纪律，认真履行部门职能职责，</w:t>
      </w:r>
      <w:r>
        <w:rPr>
          <w:rFonts w:hint="eastAsia" w:eastAsia="仿宋_GB2312"/>
          <w:sz w:val="32"/>
          <w:szCs w:val="32"/>
        </w:rPr>
        <w:t>随时掌握</w:t>
      </w:r>
      <w:r>
        <w:rPr>
          <w:rFonts w:eastAsia="仿宋_GB2312"/>
          <w:sz w:val="32"/>
          <w:szCs w:val="32"/>
        </w:rPr>
        <w:t>资金的执行和使用情况，</w:t>
      </w:r>
      <w:r>
        <w:rPr>
          <w:rFonts w:hint="eastAsia" w:eastAsia="仿宋_GB2312"/>
          <w:sz w:val="32"/>
          <w:szCs w:val="32"/>
        </w:rPr>
        <w:t>总结</w:t>
      </w:r>
      <w:r>
        <w:rPr>
          <w:rFonts w:eastAsia="仿宋_GB2312"/>
          <w:sz w:val="32"/>
          <w:szCs w:val="32"/>
        </w:rPr>
        <w:t>财政资金预算编制、预算执行、预算监督过程中存在的不足。</w:t>
      </w:r>
      <w:r>
        <w:rPr>
          <w:rFonts w:hint="eastAsia" w:eastAsia="仿宋_GB2312"/>
          <w:sz w:val="32"/>
          <w:szCs w:val="32"/>
        </w:rPr>
        <w:t>严格执行绩效评价公开机制，及时将</w:t>
      </w:r>
      <w:r>
        <w:rPr>
          <w:rFonts w:eastAsia="仿宋_GB2312"/>
          <w:sz w:val="32"/>
          <w:szCs w:val="32"/>
        </w:rPr>
        <w:t>《盐边县红</w:t>
      </w:r>
      <w:r>
        <w:rPr>
          <w:rFonts w:hint="eastAsia" w:eastAsia="仿宋_GB2312"/>
          <w:sz w:val="32"/>
          <w:szCs w:val="32"/>
        </w:rPr>
        <w:t>果彝族乡</w:t>
      </w:r>
      <w:r>
        <w:rPr>
          <w:rFonts w:eastAsia="仿宋_GB2312"/>
          <w:sz w:val="32"/>
          <w:szCs w:val="32"/>
        </w:rPr>
        <w:t>人民政府关于202</w:t>
      </w:r>
      <w:r>
        <w:rPr>
          <w:rFonts w:hint="eastAsia" w:eastAsia="仿宋_GB2312"/>
          <w:sz w:val="32"/>
          <w:szCs w:val="32"/>
        </w:rPr>
        <w:t>1</w:t>
      </w:r>
      <w:r>
        <w:rPr>
          <w:rFonts w:eastAsia="仿宋_GB2312"/>
          <w:sz w:val="32"/>
          <w:szCs w:val="32"/>
        </w:rPr>
        <w:t>年部门整体支出绩效评价的报告》和《盐边县红</w:t>
      </w:r>
      <w:r>
        <w:rPr>
          <w:rFonts w:hint="eastAsia" w:eastAsia="仿宋_GB2312"/>
          <w:sz w:val="32"/>
          <w:szCs w:val="32"/>
        </w:rPr>
        <w:t>果彝族乡</w:t>
      </w:r>
      <w:r>
        <w:rPr>
          <w:rFonts w:eastAsia="仿宋_GB2312"/>
          <w:sz w:val="32"/>
          <w:szCs w:val="32"/>
        </w:rPr>
        <w:t>人民政府202</w:t>
      </w:r>
      <w:r>
        <w:rPr>
          <w:rFonts w:hint="eastAsia" w:eastAsia="仿宋_GB2312"/>
          <w:sz w:val="32"/>
          <w:szCs w:val="32"/>
        </w:rPr>
        <w:t>1</w:t>
      </w:r>
      <w:r>
        <w:rPr>
          <w:rFonts w:eastAsia="仿宋_GB2312"/>
          <w:sz w:val="32"/>
          <w:szCs w:val="32"/>
        </w:rPr>
        <w:t>年度专项（项目）资金绩效自评表》在“盐边县公众信息网”财政信息版块下的“财政绩效评价信息专栏”进行公开</w:t>
      </w:r>
      <w:r>
        <w:rPr>
          <w:rFonts w:hint="eastAsia" w:eastAsia="仿宋_GB2312"/>
          <w:sz w:val="32"/>
          <w:szCs w:val="32"/>
        </w:rPr>
        <w:t>公示</w:t>
      </w:r>
      <w:r>
        <w:rPr>
          <w:rFonts w:eastAsia="仿宋_GB2312"/>
          <w:sz w:val="32"/>
          <w:szCs w:val="32"/>
        </w:rPr>
        <w:t>。</w:t>
      </w:r>
    </w:p>
    <w:p>
      <w:pPr>
        <w:widowControl/>
        <w:adjustRightInd w:val="0"/>
        <w:snapToGrid w:val="0"/>
        <w:spacing w:line="580" w:lineRule="exact"/>
        <w:ind w:firstLine="640" w:firstLineChars="200"/>
        <w:contextualSpacing/>
        <w:jc w:val="left"/>
        <w:outlineLvl w:val="9"/>
        <w:rPr>
          <w:rFonts w:eastAsia="黑体"/>
          <w:color w:val="000000"/>
          <w:sz w:val="32"/>
          <w:szCs w:val="32"/>
        </w:rPr>
      </w:pPr>
      <w:bookmarkStart w:id="140" w:name="_Toc8368_WPSOffice_Level2"/>
      <w:bookmarkStart w:id="141" w:name="_Toc30183_WPSOffice_Level2"/>
      <w:r>
        <w:rPr>
          <w:rFonts w:eastAsia="黑体"/>
          <w:color w:val="000000"/>
          <w:sz w:val="32"/>
          <w:szCs w:val="32"/>
        </w:rPr>
        <w:t>四、评价结论及建议</w:t>
      </w:r>
      <w:bookmarkEnd w:id="140"/>
      <w:bookmarkEnd w:id="141"/>
    </w:p>
    <w:p>
      <w:pPr>
        <w:widowControl/>
        <w:adjustRightInd w:val="0"/>
        <w:snapToGrid w:val="0"/>
        <w:spacing w:line="580" w:lineRule="exact"/>
        <w:ind w:firstLine="640" w:firstLineChars="200"/>
        <w:contextualSpacing/>
        <w:jc w:val="left"/>
        <w:rPr>
          <w:rFonts w:eastAsia="仿宋_GB2312"/>
          <w:color w:val="000000"/>
          <w:sz w:val="32"/>
          <w:szCs w:val="32"/>
        </w:rPr>
      </w:pPr>
      <w:r>
        <w:rPr>
          <w:rFonts w:eastAsia="仿宋_GB2312"/>
          <w:color w:val="000000"/>
          <w:sz w:val="32"/>
          <w:szCs w:val="32"/>
        </w:rPr>
        <w:t>（一）评价结论。</w:t>
      </w:r>
    </w:p>
    <w:p>
      <w:pPr>
        <w:pStyle w:val="10"/>
        <w:spacing w:before="93" w:line="560" w:lineRule="exact"/>
        <w:ind w:firstLine="640" w:firstLineChars="200"/>
        <w:rPr>
          <w:rFonts w:ascii="Times New Roman" w:hAnsi="Times New Roman" w:eastAsia="仿宋_GB2312"/>
          <w:sz w:val="32"/>
          <w:szCs w:val="32"/>
        </w:rPr>
      </w:pPr>
      <w:r>
        <w:rPr>
          <w:rFonts w:eastAsia="仿宋_GB2312"/>
          <w:sz w:val="32"/>
          <w:szCs w:val="32"/>
        </w:rPr>
        <w:t>整体来看，</w:t>
      </w:r>
      <w:r>
        <w:rPr>
          <w:rFonts w:hint="eastAsia" w:ascii="Times New Roman" w:hAnsi="Times New Roman" w:eastAsia="仿宋_GB2312"/>
          <w:sz w:val="32"/>
          <w:szCs w:val="32"/>
        </w:rPr>
        <w:t>我乡按照财政预算编制规定和要求，结合单位年度工作计划采取人员经费按照县委组织部审核过的工资进行编制，公用经费按定额编制的方法按时完成人员经费、日常公用经费编制工作，切实做到数据完整和准确无误。对项目资金的预算，提出具体的项目、目标和实施计划，精准编制项目支出绩效申报表，提供准确的项目支撑依据，切实做到项目资金编制的合理化、人性化，并在规定的时限内完整、准确的报送到县级财政部门。预算资金保障了人员经费支出和单位正常运转需要，保证了单位全年工作任务的完成。</w:t>
      </w:r>
    </w:p>
    <w:p>
      <w:pPr>
        <w:widowControl/>
        <w:adjustRightInd w:val="0"/>
        <w:snapToGrid w:val="0"/>
        <w:spacing w:line="580" w:lineRule="exact"/>
        <w:ind w:firstLine="640" w:firstLineChars="200"/>
        <w:contextualSpacing/>
        <w:jc w:val="left"/>
        <w:rPr>
          <w:rFonts w:eastAsia="仿宋_GB2312"/>
          <w:color w:val="000000"/>
          <w:sz w:val="32"/>
          <w:szCs w:val="32"/>
        </w:rPr>
      </w:pPr>
      <w:r>
        <w:rPr>
          <w:rFonts w:hint="eastAsia" w:eastAsia="仿宋_GB2312"/>
          <w:sz w:val="32"/>
          <w:szCs w:val="32"/>
        </w:rPr>
        <w:t>在资金的支出执行上严格按照预算执行，坚持“反对浪费、节约开支”的原则，专款专用，不拖欠、不挪用。在收到财政对口股室下达的各类指标后，按照资金的用途，在把好审核关的基础上，按时按量按照资金预算进度及时拨付各项款项。人员经费、日常公用是按要求和规定给予支付，保障机关正常运转，完成日常工作任务，有效推动全县经济、社会发展。特别是在“三公”经费方面加强管理，不该报销的一律不给报销，严格把支出控制在年初的预算指标内，严格按照</w:t>
      </w:r>
      <w:r>
        <w:rPr>
          <w:rFonts w:hint="eastAsia" w:eastAsia="仿宋_GB2312"/>
          <w:sz w:val="32"/>
          <w:szCs w:val="32"/>
          <w:lang w:eastAsia="zh-CN"/>
        </w:rPr>
        <w:t>中央八项规定</w:t>
      </w:r>
      <w:r>
        <w:rPr>
          <w:rFonts w:hint="eastAsia" w:eastAsia="仿宋_GB2312"/>
          <w:sz w:val="32"/>
          <w:szCs w:val="32"/>
        </w:rPr>
        <w:t>、省、市“十项规定”和财务相关规定执行财政资金的管理和使用。项目资金分配严格按照实际工作需要，依据项目进度和开展情况、合理安全、资金严格按照规范程序申请、管理和使用。通过项目实施充分保障了工作需求，切实发挥工作职能，维护全乡经济社会发展，</w:t>
      </w:r>
      <w:r>
        <w:rPr>
          <w:rFonts w:eastAsia="仿宋_GB2312"/>
          <w:sz w:val="32"/>
          <w:szCs w:val="32"/>
        </w:rPr>
        <w:t>提高了</w:t>
      </w:r>
      <w:r>
        <w:rPr>
          <w:rFonts w:hint="eastAsia" w:eastAsia="仿宋_GB2312"/>
          <w:sz w:val="32"/>
          <w:szCs w:val="32"/>
        </w:rPr>
        <w:t>群众</w:t>
      </w:r>
      <w:r>
        <w:rPr>
          <w:rFonts w:eastAsia="仿宋_GB2312"/>
          <w:sz w:val="32"/>
          <w:szCs w:val="32"/>
        </w:rPr>
        <w:t>生活水平</w:t>
      </w:r>
      <w:r>
        <w:rPr>
          <w:rFonts w:hint="eastAsia" w:eastAsia="仿宋_GB2312"/>
          <w:sz w:val="32"/>
          <w:szCs w:val="32"/>
        </w:rPr>
        <w:t>和</w:t>
      </w:r>
      <w:r>
        <w:rPr>
          <w:rFonts w:eastAsia="仿宋_GB2312"/>
          <w:sz w:val="32"/>
          <w:szCs w:val="32"/>
        </w:rPr>
        <w:t>满意度。</w:t>
      </w:r>
    </w:p>
    <w:p>
      <w:pPr>
        <w:widowControl/>
        <w:adjustRightInd w:val="0"/>
        <w:snapToGrid w:val="0"/>
        <w:spacing w:line="580" w:lineRule="exact"/>
        <w:ind w:firstLine="640" w:firstLineChars="200"/>
        <w:contextualSpacing/>
        <w:jc w:val="left"/>
        <w:rPr>
          <w:rFonts w:eastAsia="仿宋_GB2312"/>
          <w:color w:val="000000"/>
          <w:sz w:val="32"/>
          <w:szCs w:val="32"/>
        </w:rPr>
      </w:pPr>
      <w:r>
        <w:rPr>
          <w:rFonts w:eastAsia="仿宋_GB2312"/>
          <w:color w:val="000000"/>
          <w:sz w:val="32"/>
          <w:szCs w:val="32"/>
        </w:rPr>
        <w:t>（二）存在问题。</w:t>
      </w:r>
    </w:p>
    <w:p>
      <w:pPr>
        <w:widowControl/>
        <w:adjustRightInd w:val="0"/>
        <w:snapToGrid w:val="0"/>
        <w:spacing w:line="580" w:lineRule="exact"/>
        <w:ind w:firstLine="640" w:firstLineChars="200"/>
        <w:contextualSpacing/>
        <w:jc w:val="left"/>
        <w:rPr>
          <w:rFonts w:eastAsia="仿宋_GB2312"/>
          <w:color w:val="000000"/>
          <w:sz w:val="32"/>
          <w:szCs w:val="32"/>
        </w:rPr>
      </w:pPr>
      <w:r>
        <w:rPr>
          <w:rFonts w:eastAsia="仿宋_GB2312"/>
          <w:sz w:val="32"/>
          <w:szCs w:val="32"/>
        </w:rPr>
        <w:t>1.部门预算绩效管理的保障机制不完善；2.部分项目</w:t>
      </w:r>
      <w:r>
        <w:rPr>
          <w:rFonts w:hint="eastAsia" w:eastAsia="仿宋_GB2312"/>
          <w:sz w:val="32"/>
          <w:szCs w:val="32"/>
        </w:rPr>
        <w:t>实施进度缓慢，未能按时竣工验收</w:t>
      </w:r>
      <w:r>
        <w:rPr>
          <w:rFonts w:eastAsia="仿宋_GB2312"/>
          <w:sz w:val="32"/>
          <w:szCs w:val="32"/>
        </w:rPr>
        <w:t>；3.</w:t>
      </w:r>
      <w:r>
        <w:rPr>
          <w:rFonts w:hint="eastAsia" w:eastAsia="仿宋_GB2312"/>
          <w:sz w:val="32"/>
          <w:szCs w:val="32"/>
        </w:rPr>
        <w:t>部分项目</w:t>
      </w:r>
      <w:r>
        <w:rPr>
          <w:rFonts w:eastAsia="仿宋_GB2312"/>
          <w:sz w:val="32"/>
          <w:szCs w:val="32"/>
        </w:rPr>
        <w:t>报账不及时，未能完成资金兑付</w:t>
      </w:r>
      <w:r>
        <w:rPr>
          <w:rFonts w:hint="eastAsia" w:eastAsia="仿宋_GB2312"/>
          <w:sz w:val="32"/>
          <w:szCs w:val="32"/>
        </w:rPr>
        <w:t>，预算执行力度还需进一步加强</w:t>
      </w:r>
      <w:r>
        <w:rPr>
          <w:rFonts w:eastAsia="仿宋_GB2312"/>
          <w:sz w:val="32"/>
          <w:szCs w:val="32"/>
        </w:rPr>
        <w:t>。</w:t>
      </w:r>
    </w:p>
    <w:p>
      <w:pPr>
        <w:widowControl/>
        <w:adjustRightInd w:val="0"/>
        <w:snapToGrid w:val="0"/>
        <w:spacing w:line="580" w:lineRule="exact"/>
        <w:ind w:firstLine="640" w:firstLineChars="200"/>
        <w:contextualSpacing/>
        <w:jc w:val="left"/>
        <w:rPr>
          <w:rFonts w:eastAsia="仿宋_GB2312"/>
          <w:color w:val="000000"/>
          <w:sz w:val="32"/>
          <w:szCs w:val="32"/>
        </w:rPr>
      </w:pPr>
      <w:r>
        <w:rPr>
          <w:rFonts w:eastAsia="仿宋_GB2312"/>
          <w:color w:val="000000"/>
          <w:sz w:val="32"/>
          <w:szCs w:val="32"/>
        </w:rPr>
        <w:t>（三）改进建议。</w:t>
      </w:r>
    </w:p>
    <w:p>
      <w:pPr>
        <w:pStyle w:val="10"/>
        <w:spacing w:line="60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1.完善绩效管理保障机制，加强部门之间的沟通与协作；2.加快项目建设进度，保质保量做好项目竣工验收工作。3.督促</w:t>
      </w:r>
      <w:r>
        <w:rPr>
          <w:rFonts w:hint="eastAsia" w:ascii="Times New Roman" w:hAnsi="Times New Roman" w:eastAsia="仿宋_GB2312"/>
          <w:sz w:val="32"/>
          <w:szCs w:val="32"/>
        </w:rPr>
        <w:t>相关</w:t>
      </w:r>
      <w:r>
        <w:rPr>
          <w:rFonts w:ascii="Times New Roman" w:hAnsi="Times New Roman" w:eastAsia="仿宋_GB2312"/>
          <w:sz w:val="32"/>
          <w:szCs w:val="32"/>
        </w:rPr>
        <w:t>部门及时报账，提高</w:t>
      </w:r>
      <w:r>
        <w:rPr>
          <w:rFonts w:hint="eastAsia" w:ascii="Times New Roman" w:hAnsi="Times New Roman" w:eastAsia="仿宋_GB2312"/>
          <w:sz w:val="32"/>
          <w:szCs w:val="32"/>
        </w:rPr>
        <w:t>预算执行力度</w:t>
      </w:r>
      <w:r>
        <w:rPr>
          <w:rFonts w:ascii="Times New Roman" w:hAnsi="Times New Roman" w:eastAsia="仿宋_GB2312"/>
          <w:sz w:val="32"/>
          <w:szCs w:val="32"/>
        </w:rPr>
        <w:t>。</w:t>
      </w:r>
    </w:p>
    <w:p>
      <w:pPr>
        <w:pStyle w:val="8"/>
        <w:spacing w:before="93"/>
        <w:rPr>
          <w:rFonts w:hAnsi="宋体" w:cs="宋体"/>
          <w:sz w:val="32"/>
          <w:szCs w:val="32"/>
          <w:shd w:val="clear" w:color="auto" w:fill="FFFFFF"/>
          <w:lang w:val="zh-CN"/>
        </w:rPr>
      </w:pPr>
    </w:p>
    <w:p>
      <w:pPr>
        <w:pStyle w:val="8"/>
        <w:spacing w:before="93"/>
        <w:rPr>
          <w:rFonts w:hAnsi="宋体" w:cs="宋体"/>
          <w:sz w:val="32"/>
          <w:szCs w:val="32"/>
          <w:shd w:val="clear" w:color="auto" w:fill="FFFFFF"/>
          <w:lang w:val="zh-CN"/>
        </w:rPr>
      </w:pPr>
    </w:p>
    <w:p>
      <w:pPr>
        <w:pStyle w:val="8"/>
        <w:spacing w:before="93"/>
        <w:rPr>
          <w:rFonts w:hAnsi="宋体" w:cs="宋体"/>
          <w:b/>
          <w:bCs/>
          <w:sz w:val="32"/>
          <w:szCs w:val="32"/>
          <w:shd w:val="clear" w:color="auto" w:fill="FFFFFF"/>
          <w:lang w:val="zh-CN"/>
        </w:rPr>
      </w:pPr>
    </w:p>
    <w:p>
      <w:pPr>
        <w:pStyle w:val="8"/>
        <w:spacing w:before="93"/>
        <w:rPr>
          <w:rFonts w:hAnsi="宋体" w:cs="宋体"/>
          <w:b/>
          <w:bCs/>
          <w:sz w:val="32"/>
          <w:szCs w:val="32"/>
          <w:shd w:val="clear" w:color="auto" w:fill="FFFFFF"/>
          <w:lang w:val="zh-CN"/>
        </w:rPr>
      </w:pPr>
    </w:p>
    <w:p>
      <w:pPr>
        <w:pStyle w:val="8"/>
        <w:spacing w:before="93"/>
        <w:rPr>
          <w:b/>
          <w:bCs/>
        </w:rPr>
      </w:pPr>
      <w:r>
        <w:rPr>
          <w:rFonts w:hint="eastAsia" w:hAnsi="宋体" w:cs="宋体"/>
          <w:b/>
          <w:bCs/>
          <w:sz w:val="32"/>
          <w:szCs w:val="32"/>
          <w:shd w:val="clear" w:color="auto" w:fill="FFFFFF"/>
          <w:lang w:val="zh-CN"/>
        </w:rPr>
        <w:t>附件</w:t>
      </w:r>
      <w:r>
        <w:rPr>
          <w:rFonts w:hint="eastAsia" w:hAnsi="宋体" w:cs="宋体"/>
          <w:b/>
          <w:bCs/>
          <w:sz w:val="32"/>
          <w:szCs w:val="32"/>
          <w:shd w:val="clear" w:color="auto" w:fill="FFFFFF"/>
        </w:rPr>
        <w:t>2</w:t>
      </w:r>
    </w:p>
    <w:p>
      <w:pPr>
        <w:pStyle w:val="10"/>
        <w:spacing w:line="600" w:lineRule="exact"/>
        <w:ind w:firstLine="880" w:firstLineChars="200"/>
        <w:jc w:val="center"/>
        <w:rPr>
          <w:rFonts w:hint="eastAsia" w:ascii="方正小标宋简体" w:hAnsi="方正小标宋简体" w:eastAsia="方正小标宋简体" w:cs="方正小标宋简体"/>
          <w:sz w:val="44"/>
          <w:szCs w:val="44"/>
        </w:rPr>
      </w:pPr>
      <w:bookmarkStart w:id="142" w:name="_Toc9911_WPSOffice_Level2"/>
      <w:bookmarkStart w:id="143" w:name="_Toc8528_WPSOffice_Level2"/>
      <w:r>
        <w:rPr>
          <w:rFonts w:hint="eastAsia" w:ascii="方正小标宋简体" w:hAnsi="方正小标宋简体" w:eastAsia="方正小标宋简体" w:cs="方正小标宋简体"/>
          <w:sz w:val="44"/>
          <w:szCs w:val="44"/>
        </w:rPr>
        <w:t>盐边县红果彝族乡人民政府</w:t>
      </w:r>
      <w:bookmarkEnd w:id="142"/>
      <w:bookmarkEnd w:id="143"/>
    </w:p>
    <w:p>
      <w:pPr>
        <w:pStyle w:val="10"/>
        <w:spacing w:line="600" w:lineRule="exact"/>
        <w:ind w:firstLine="880" w:firstLineChars="200"/>
        <w:jc w:val="center"/>
        <w:rPr>
          <w:rFonts w:hint="eastAsia" w:ascii="方正小标宋简体" w:hAnsi="方正小标宋简体" w:eastAsia="方正小标宋简体" w:cs="方正小标宋简体"/>
          <w:sz w:val="44"/>
          <w:szCs w:val="44"/>
        </w:rPr>
      </w:pPr>
      <w:bookmarkStart w:id="144" w:name="_Toc18319_WPSOffice_Level2"/>
      <w:bookmarkStart w:id="145" w:name="_Toc28214_WPSOffice_Level2"/>
      <w:r>
        <w:rPr>
          <w:rFonts w:hint="eastAsia" w:ascii="方正小标宋简体" w:hAnsi="方正小标宋简体" w:eastAsia="方正小标宋简体" w:cs="方正小标宋简体"/>
          <w:sz w:val="44"/>
          <w:szCs w:val="44"/>
        </w:rPr>
        <w:t>专项（项目）资金绩效自评报告</w:t>
      </w:r>
      <w:bookmarkEnd w:id="144"/>
      <w:bookmarkEnd w:id="145"/>
    </w:p>
    <w:p>
      <w:pPr>
        <w:pStyle w:val="10"/>
        <w:spacing w:line="600" w:lineRule="exact"/>
        <w:ind w:firstLine="720" w:firstLineChars="200"/>
        <w:jc w:val="center"/>
        <w:rPr>
          <w:sz w:val="32"/>
          <w:szCs w:val="32"/>
          <w:lang w:val="zh-CN"/>
        </w:rPr>
      </w:pPr>
      <w:r>
        <w:rPr>
          <w:rFonts w:hint="eastAsia" w:ascii="方正小标宋_GBK" w:hAnsi="黑体" w:eastAsia="方正小标宋_GBK" w:cs="黑体"/>
          <w:sz w:val="36"/>
          <w:szCs w:val="36"/>
        </w:rPr>
        <w:t>（</w:t>
      </w:r>
      <w:r>
        <w:rPr>
          <w:rFonts w:ascii="Times New Roman" w:hAnsi="Times New Roman" w:eastAsia="仿宋_GB2312"/>
          <w:sz w:val="32"/>
          <w:szCs w:val="32"/>
        </w:rPr>
        <w:t>基层组织活动和公共运行服务运行费</w:t>
      </w:r>
      <w:r>
        <w:rPr>
          <w:rFonts w:hint="eastAsia" w:ascii="方正小标宋_GBK" w:hAnsi="黑体" w:eastAsia="方正小标宋_GBK" w:cs="黑体"/>
          <w:sz w:val="36"/>
          <w:szCs w:val="36"/>
        </w:rPr>
        <w:t>）</w:t>
      </w:r>
    </w:p>
    <w:p>
      <w:pPr>
        <w:spacing w:line="560" w:lineRule="exact"/>
        <w:ind w:firstLine="640" w:firstLineChars="200"/>
        <w:outlineLvl w:val="9"/>
        <w:rPr>
          <w:rFonts w:hint="eastAsia" w:ascii="黑体" w:hAnsi="黑体" w:eastAsia="黑体" w:cs="黑体"/>
          <w:sz w:val="32"/>
          <w:szCs w:val="32"/>
        </w:rPr>
      </w:pPr>
      <w:bookmarkStart w:id="146" w:name="_Toc23151_WPSOffice_Level2"/>
      <w:bookmarkStart w:id="147" w:name="_Toc21398_WPSOffice_Level2"/>
      <w:r>
        <w:rPr>
          <w:rFonts w:hint="eastAsia" w:ascii="黑体" w:hAnsi="黑体" w:eastAsia="黑体" w:cs="黑体"/>
          <w:sz w:val="32"/>
          <w:szCs w:val="32"/>
        </w:rPr>
        <w:t>一、项目概况</w:t>
      </w:r>
      <w:bookmarkEnd w:id="146"/>
      <w:bookmarkEnd w:id="147"/>
    </w:p>
    <w:p>
      <w:pPr>
        <w:spacing w:line="560"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（一）项目基本情况</w:t>
      </w:r>
      <w:r>
        <w:rPr>
          <w:rFonts w:hint="eastAsia" w:ascii="仿宋_GB2312" w:hAnsi="仿宋_GB2312" w:eastAsia="仿宋_GB2312" w:cs="仿宋_GB2312"/>
          <w:sz w:val="32"/>
          <w:szCs w:val="32"/>
        </w:rPr>
        <w:t>。</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1.项目主管单位：盐边县财政局</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项目主管单位牵头实施项目，编制实施方案，对该资金加强资金管理，确保专款专用，不得挪作他用，提高资金使用绩效。</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项目立项、资金申报的依据。</w:t>
      </w:r>
    </w:p>
    <w:p>
      <w:pPr>
        <w:pStyle w:val="7"/>
        <w:spacing w:line="5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根据盐财资预【2021】69号下达2021年市县基层组织活动和公共运行服务运行费（县级配套城市社区部分）,主要用于基层组织活动、农村基础设施建设。</w:t>
      </w:r>
    </w:p>
    <w:p>
      <w:pPr>
        <w:pStyle w:val="7"/>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3.资金管理办法制度情况，资金支持具体项目的条件、范围与支持方式概况。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乡严格按照相应的业务管理制度，规范各项经费的开支。资金使用规范，符合国家财经法规和财务管理以及有关专项资金管理的规定。资金的拨付有完整的审批程序和手续；不存在截留、挤占、挪用、虚列支出等情况。保障会计核算准确、财务资料完整。</w:t>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（二）项目绩效目标。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1.项目主要内容。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基层组织活动，组织活动场所维护。公共服务运行：农村基础设施建设。</w:t>
      </w:r>
    </w:p>
    <w:p>
      <w:pPr>
        <w:numPr>
          <w:ilvl w:val="0"/>
          <w:numId w:val="6"/>
        </w:numPr>
        <w:autoSpaceDE w:val="0"/>
        <w:autoSpaceDN w:val="0"/>
        <w:adjustRightInd w:val="0"/>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项目应实现的具体绩效目标，包括目标的量化、细化情况以及项目实施进度计划等。</w:t>
      </w:r>
    </w:p>
    <w:p>
      <w:pPr>
        <w:pStyle w:val="7"/>
        <w:spacing w:line="5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建设2021年我乡农村基础设施和环境，开展基层活动。</w:t>
      </w:r>
    </w:p>
    <w:p>
      <w:pPr>
        <w:pStyle w:val="7"/>
        <w:spacing w:line="560" w:lineRule="exact"/>
        <w:ind w:firstLine="0" w:firstLineChars="0"/>
        <w:rPr>
          <w:rFonts w:hint="eastAsia" w:ascii="黑体" w:hAnsi="黑体" w:eastAsia="黑体" w:cs="黑体"/>
          <w:kern w:val="0"/>
          <w:sz w:val="32"/>
          <w:szCs w:val="32"/>
        </w:rPr>
      </w:pPr>
      <w:r>
        <w:rPr>
          <w:rFonts w:hint="eastAsia" w:ascii="黑体" w:hAnsi="黑体" w:eastAsia="黑体" w:cs="黑体"/>
          <w:kern w:val="0"/>
          <w:sz w:val="32"/>
          <w:szCs w:val="32"/>
        </w:rPr>
        <w:t xml:space="preserve">   </w:t>
      </w:r>
      <w:bookmarkStart w:id="148" w:name="_Toc22283_WPSOffice_Level2"/>
      <w:bookmarkStart w:id="149" w:name="_Toc21233_WPSOffice_Level2"/>
      <w:r>
        <w:rPr>
          <w:rFonts w:hint="eastAsia" w:ascii="黑体" w:hAnsi="黑体" w:eastAsia="黑体" w:cs="黑体"/>
          <w:kern w:val="0"/>
          <w:sz w:val="32"/>
          <w:szCs w:val="32"/>
          <w:lang w:val="en-US" w:eastAsia="zh-CN"/>
        </w:rPr>
        <w:t>二、</w:t>
      </w:r>
      <w:r>
        <w:rPr>
          <w:rFonts w:hint="eastAsia" w:ascii="黑体" w:hAnsi="黑体" w:eastAsia="黑体" w:cs="黑体"/>
          <w:kern w:val="0"/>
          <w:sz w:val="32"/>
          <w:szCs w:val="32"/>
        </w:rPr>
        <w:t>项目资金申报及使用情况</w:t>
      </w:r>
      <w:bookmarkEnd w:id="148"/>
      <w:bookmarkEnd w:id="149"/>
    </w:p>
    <w:p>
      <w:pPr>
        <w:autoSpaceDE w:val="0"/>
        <w:autoSpaceDN w:val="0"/>
        <w:adjustRightInd w:val="0"/>
        <w:spacing w:line="560" w:lineRule="exact"/>
        <w:jc w:val="left"/>
        <w:rPr>
          <w:rFonts w:hint="eastAsia" w:ascii="仿宋_GB2312" w:hAnsi="仿宋_GB2312" w:eastAsia="仿宋_GB2312" w:cs="仿宋_GB2312"/>
          <w:sz w:val="32"/>
          <w:szCs w:val="32"/>
        </w:rPr>
      </w:pPr>
      <w:r>
        <w:rPr>
          <w:rFonts w:hint="eastAsia" w:ascii="黑体" w:hAnsi="黑体" w:eastAsia="黑体" w:cs="黑体"/>
          <w:kern w:val="0"/>
          <w:sz w:val="32"/>
          <w:szCs w:val="32"/>
        </w:rPr>
        <w:t xml:space="preserve">    </w:t>
      </w:r>
      <w:r>
        <w:rPr>
          <w:rFonts w:hint="eastAsia" w:ascii="仿宋_GB2312" w:hAnsi="仿宋_GB2312" w:eastAsia="仿宋_GB2312" w:cs="仿宋_GB2312"/>
          <w:sz w:val="32"/>
          <w:szCs w:val="32"/>
        </w:rPr>
        <w:t>首先申报项目，提交实施方案。通过财政预算审批下达该项目资金。</w:t>
      </w:r>
    </w:p>
    <w:p>
      <w:pPr>
        <w:spacing w:line="560" w:lineRule="exact"/>
        <w:outlineLvl w:val="9"/>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w:t>
      </w:r>
      <w:bookmarkStart w:id="150" w:name="_Toc16689_WPSOffice_Level2"/>
      <w:bookmarkStart w:id="151" w:name="_Toc19290_WPSOffice_Level2"/>
      <w:r>
        <w:rPr>
          <w:rFonts w:hint="eastAsia" w:ascii="黑体" w:hAnsi="黑体" w:eastAsia="黑体" w:cs="黑体"/>
          <w:sz w:val="32"/>
          <w:szCs w:val="32"/>
        </w:rPr>
        <w:t>三、项目资金使用情况</w:t>
      </w:r>
      <w:bookmarkEnd w:id="150"/>
      <w:bookmarkEnd w:id="151"/>
    </w:p>
    <w:p>
      <w:pPr>
        <w:spacing w:line="560"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（一）资金计划、到位及使用情况。</w:t>
      </w:r>
    </w:p>
    <w:p>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1.资金来源。</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根据盐财资预【2021】69号下达2021年市县基层组织活动和公共运行服务运行费，下达资金690000元。</w:t>
      </w:r>
    </w:p>
    <w:p>
      <w:pPr>
        <w:numPr>
          <w:ilvl w:val="0"/>
          <w:numId w:val="7"/>
        </w:num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资金到位。</w:t>
      </w:r>
    </w:p>
    <w:p>
      <w:pPr>
        <w:widowControl/>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该资金由2021下达到位。</w:t>
      </w:r>
    </w:p>
    <w:p>
      <w:pPr>
        <w:spacing w:line="560" w:lineRule="exact"/>
        <w:rPr>
          <w:rFonts w:hint="eastAsia" w:ascii="仿宋_GB2312" w:hAnsi="仿宋_GB2312" w:eastAsia="仿宋_GB2312" w:cs="仿宋_GB2312"/>
          <w:b w:val="0"/>
          <w:bCs/>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val="0"/>
          <w:bCs/>
          <w:sz w:val="32"/>
          <w:szCs w:val="32"/>
        </w:rPr>
        <w:t xml:space="preserve">  3.资金使用。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我乡于2021年，下达该资金690000</w:t>
      </w:r>
      <w:r>
        <w:rPr>
          <w:rFonts w:hint="eastAsia" w:ascii="仿宋_GB2312" w:hAnsi="仿宋_GB2312" w:eastAsia="仿宋_GB2312" w:cs="仿宋_GB2312"/>
          <w:b/>
          <w:sz w:val="32"/>
          <w:szCs w:val="32"/>
        </w:rPr>
        <w:t>元，</w:t>
      </w:r>
      <w:r>
        <w:rPr>
          <w:rFonts w:hint="eastAsia" w:ascii="仿宋_GB2312" w:hAnsi="仿宋_GB2312" w:eastAsia="仿宋_GB2312" w:cs="仿宋_GB2312"/>
          <w:sz w:val="32"/>
          <w:szCs w:val="32"/>
        </w:rPr>
        <w:t>支付该资金690000元，完成支付进度100%。</w:t>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（三）项目财务管理情况。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乡严格按照相应的财务管理制度，规范各项经费的开支。资金使用规范，符合国家财经法规和财务管理以及有关专项资金管理办公的规定。财务处理及时，会计核算严格按照规定，未出现违规等行为。经自查专项资金的使用无截留、挪用、挤占现象，资金支出范围和程序规范。</w:t>
      </w:r>
    </w:p>
    <w:p>
      <w:pPr>
        <w:spacing w:line="560" w:lineRule="exact"/>
        <w:outlineLvl w:val="9"/>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w:t>
      </w:r>
      <w:bookmarkStart w:id="152" w:name="_Toc9148_WPSOffice_Level2"/>
      <w:bookmarkStart w:id="153" w:name="_Toc12257_WPSOffice_Level2"/>
      <w:r>
        <w:rPr>
          <w:rFonts w:hint="eastAsia" w:ascii="黑体" w:hAnsi="黑体" w:eastAsia="黑体" w:cs="黑体"/>
          <w:sz w:val="32"/>
          <w:szCs w:val="32"/>
        </w:rPr>
        <w:t>四、项目实施及管理情况</w:t>
      </w:r>
      <w:bookmarkEnd w:id="152"/>
      <w:bookmarkEnd w:id="153"/>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（一）项目组织架构及实施流程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乡政府成立领导小组，由分管领导负责监督，由项目办组织负责实施。</w:t>
      </w:r>
    </w:p>
    <w:p>
      <w:pPr>
        <w:pStyle w:val="36"/>
        <w:numPr>
          <w:ilvl w:val="0"/>
          <w:numId w:val="0"/>
        </w:numPr>
        <w:spacing w:line="560" w:lineRule="exact"/>
        <w:ind w:left="640" w:leftChars="0"/>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项目管理情况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我乡项目均按照项目实施方案要求的进度组织实施，根据质量指标、时效指标和成本指标，对项目进行要求和规范。</w:t>
      </w:r>
    </w:p>
    <w:p>
      <w:pPr>
        <w:pStyle w:val="36"/>
        <w:numPr>
          <w:ilvl w:val="0"/>
          <w:numId w:val="0"/>
        </w:numPr>
        <w:spacing w:line="560" w:lineRule="exact"/>
        <w:ind w:left="640" w:leftChars="0"/>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项目监管情况。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乡做好了项目实施的跟踪检查工作。定期对项目实施情况和经费使用情况进行跟踪检查，对能实现预期绩效目标的项目予以充分肯定，对进展缓慢，预期绩效目标较差的项目，及时进行协调和提出整改措施，确保项目实施工作正常运行，达到预期绩效目标。</w:t>
      </w:r>
    </w:p>
    <w:p>
      <w:pPr>
        <w:spacing w:line="560" w:lineRule="exact"/>
        <w:ind w:firstLine="640" w:firstLineChars="200"/>
        <w:outlineLvl w:val="9"/>
        <w:rPr>
          <w:rFonts w:hint="eastAsia" w:ascii="黑体" w:hAnsi="黑体" w:eastAsia="黑体" w:cs="黑体"/>
          <w:sz w:val="32"/>
          <w:szCs w:val="32"/>
        </w:rPr>
      </w:pPr>
      <w:bookmarkStart w:id="154" w:name="_Toc5714_WPSOffice_Level2"/>
      <w:bookmarkStart w:id="155" w:name="_Toc17786_WPSOffice_Level2"/>
      <w:r>
        <w:rPr>
          <w:rFonts w:hint="eastAsia" w:ascii="黑体" w:hAnsi="黑体" w:eastAsia="黑体" w:cs="黑体"/>
          <w:sz w:val="32"/>
          <w:szCs w:val="32"/>
        </w:rPr>
        <w:t>五、项目绩效情况</w:t>
      </w:r>
      <w:bookmarkEnd w:id="154"/>
      <w:bookmarkEnd w:id="155"/>
      <w:r>
        <w:rPr>
          <w:rFonts w:hint="eastAsia" w:ascii="黑体" w:hAnsi="黑体" w:eastAsia="黑体" w:cs="黑体"/>
          <w:sz w:val="32"/>
          <w:szCs w:val="32"/>
        </w:rPr>
        <w:tab/>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（一）项目完成情况。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预算安排资金690000元，实际支出690000元，支付进度100%。</w:t>
      </w:r>
    </w:p>
    <w:p>
      <w:pPr>
        <w:spacing w:line="560"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（二）项目效益情况。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我乡较好地完成了2021年初设定的工作任务，各项项目得到有序开展。资金拨付达到100%，已完工项目验收率达到100%。</w:t>
      </w:r>
    </w:p>
    <w:p>
      <w:pPr>
        <w:spacing w:line="560" w:lineRule="exact"/>
        <w:ind w:firstLine="640" w:firstLineChars="200"/>
        <w:outlineLvl w:val="9"/>
        <w:rPr>
          <w:rFonts w:hint="eastAsia" w:ascii="黑体" w:hAnsi="黑体" w:eastAsia="黑体" w:cs="黑体"/>
          <w:sz w:val="32"/>
          <w:szCs w:val="32"/>
        </w:rPr>
      </w:pPr>
      <w:bookmarkStart w:id="156" w:name="_Toc30162_WPSOffice_Level2"/>
      <w:bookmarkStart w:id="157" w:name="_Toc14426_WPSOffice_Level2"/>
      <w:r>
        <w:rPr>
          <w:rFonts w:hint="eastAsia" w:ascii="黑体" w:hAnsi="黑体" w:eastAsia="黑体" w:cs="黑体"/>
          <w:sz w:val="32"/>
          <w:szCs w:val="32"/>
        </w:rPr>
        <w:t>六、评价结论及建议</w:t>
      </w:r>
      <w:bookmarkEnd w:id="156"/>
      <w:bookmarkEnd w:id="157"/>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（一）评价结论。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我单位根据资金绩效自评表，我乡项目资金690000，实际完成690000元，完成率100%，总体评价良好，对于项目实施到位的项目进行了及时支付。</w:t>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（二）存在的问题。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通过总体情况分析和自查，发现存在以下问题：项目支付进度缓慢。</w:t>
      </w:r>
    </w:p>
    <w:p>
      <w:pPr>
        <w:pStyle w:val="36"/>
        <w:numPr>
          <w:ilvl w:val="0"/>
          <w:numId w:val="0"/>
        </w:numPr>
        <w:spacing w:line="560" w:lineRule="exact"/>
        <w:ind w:left="640" w:leftChars="0"/>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相关建议。</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进一步健全和完善财务管理制度及内部控制制度，创新管理手段，用新思路、新办法、改机完善财务管理方法。</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2.按照财政支出绩效管理的要求，建立科学的财政资金效益考评制度体系，不断提高财政资金使用管理的水平和效益。</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3.加快项目推进进度，进而提高我乡的支付进度。</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pStyle w:val="10"/>
        <w:spacing w:line="600" w:lineRule="exact"/>
        <w:ind w:firstLine="720" w:firstLineChars="200"/>
        <w:jc w:val="center"/>
        <w:rPr>
          <w:rFonts w:ascii="方正小标宋_GBK" w:hAnsi="黑体" w:eastAsia="方正小标宋_GBK" w:cs="黑体"/>
          <w:sz w:val="36"/>
          <w:szCs w:val="36"/>
        </w:rPr>
      </w:pPr>
    </w:p>
    <w:p>
      <w:pPr>
        <w:pStyle w:val="10"/>
        <w:spacing w:line="600" w:lineRule="exact"/>
        <w:ind w:firstLine="720" w:firstLineChars="200"/>
        <w:jc w:val="center"/>
        <w:rPr>
          <w:rFonts w:ascii="方正小标宋_GBK" w:hAnsi="黑体" w:eastAsia="方正小标宋_GBK" w:cs="黑体"/>
          <w:sz w:val="36"/>
          <w:szCs w:val="36"/>
        </w:rPr>
      </w:pPr>
    </w:p>
    <w:p>
      <w:pPr>
        <w:pStyle w:val="10"/>
        <w:spacing w:line="600" w:lineRule="exact"/>
        <w:ind w:firstLine="720" w:firstLineChars="200"/>
        <w:jc w:val="center"/>
        <w:rPr>
          <w:rFonts w:ascii="方正小标宋_GBK" w:hAnsi="黑体" w:eastAsia="方正小标宋_GBK" w:cs="黑体"/>
          <w:sz w:val="36"/>
          <w:szCs w:val="36"/>
        </w:rPr>
      </w:pPr>
    </w:p>
    <w:p>
      <w:pPr>
        <w:pStyle w:val="10"/>
        <w:spacing w:line="600" w:lineRule="exact"/>
        <w:ind w:firstLine="720" w:firstLineChars="200"/>
        <w:jc w:val="center"/>
        <w:rPr>
          <w:rFonts w:ascii="方正小标宋_GBK" w:hAnsi="黑体" w:eastAsia="方正小标宋_GBK" w:cs="黑体"/>
          <w:sz w:val="36"/>
          <w:szCs w:val="36"/>
        </w:rPr>
      </w:pPr>
    </w:p>
    <w:p>
      <w:pPr>
        <w:pStyle w:val="10"/>
        <w:spacing w:line="600" w:lineRule="exact"/>
        <w:ind w:firstLine="720" w:firstLineChars="200"/>
        <w:jc w:val="center"/>
        <w:rPr>
          <w:rFonts w:ascii="方正小标宋_GBK" w:hAnsi="黑体" w:eastAsia="方正小标宋_GBK" w:cs="黑体"/>
          <w:sz w:val="36"/>
          <w:szCs w:val="36"/>
        </w:rPr>
      </w:pPr>
    </w:p>
    <w:p>
      <w:pPr>
        <w:pStyle w:val="10"/>
        <w:spacing w:line="600" w:lineRule="exact"/>
        <w:ind w:firstLine="720" w:firstLineChars="200"/>
        <w:jc w:val="center"/>
        <w:rPr>
          <w:rFonts w:ascii="方正小标宋_GBK" w:hAnsi="黑体" w:eastAsia="方正小标宋_GBK" w:cs="黑体"/>
          <w:sz w:val="36"/>
          <w:szCs w:val="36"/>
        </w:rPr>
      </w:pPr>
    </w:p>
    <w:p>
      <w:pPr>
        <w:pStyle w:val="10"/>
        <w:spacing w:line="600" w:lineRule="exact"/>
        <w:ind w:firstLine="720" w:firstLineChars="200"/>
        <w:jc w:val="center"/>
        <w:rPr>
          <w:rFonts w:ascii="方正小标宋_GBK" w:hAnsi="黑体" w:eastAsia="方正小标宋_GBK" w:cs="黑体"/>
          <w:sz w:val="36"/>
          <w:szCs w:val="36"/>
        </w:rPr>
      </w:pPr>
    </w:p>
    <w:p>
      <w:pPr>
        <w:pStyle w:val="10"/>
        <w:spacing w:line="600" w:lineRule="exact"/>
        <w:ind w:firstLine="720" w:firstLineChars="200"/>
        <w:jc w:val="center"/>
        <w:rPr>
          <w:rFonts w:ascii="方正小标宋_GBK" w:hAnsi="黑体" w:eastAsia="方正小标宋_GBK" w:cs="黑体"/>
          <w:sz w:val="36"/>
          <w:szCs w:val="36"/>
        </w:rPr>
      </w:pPr>
    </w:p>
    <w:p>
      <w:pPr>
        <w:pStyle w:val="10"/>
        <w:spacing w:line="600" w:lineRule="exact"/>
        <w:ind w:firstLine="720" w:firstLineChars="200"/>
        <w:jc w:val="center"/>
        <w:rPr>
          <w:rFonts w:ascii="方正小标宋_GBK" w:hAnsi="黑体" w:eastAsia="方正小标宋_GBK" w:cs="黑体"/>
          <w:sz w:val="36"/>
          <w:szCs w:val="36"/>
        </w:rPr>
      </w:pPr>
    </w:p>
    <w:p>
      <w:pPr>
        <w:pStyle w:val="10"/>
        <w:spacing w:line="600" w:lineRule="exact"/>
        <w:ind w:firstLine="720" w:firstLineChars="200"/>
        <w:jc w:val="center"/>
        <w:rPr>
          <w:rFonts w:ascii="方正小标宋_GBK" w:hAnsi="黑体" w:eastAsia="方正小标宋_GBK" w:cs="黑体"/>
          <w:sz w:val="36"/>
          <w:szCs w:val="36"/>
        </w:rPr>
      </w:pPr>
    </w:p>
    <w:p>
      <w:pPr>
        <w:pStyle w:val="10"/>
        <w:spacing w:line="600" w:lineRule="exact"/>
        <w:ind w:firstLine="800" w:firstLineChars="200"/>
        <w:jc w:val="center"/>
        <w:rPr>
          <w:rFonts w:hint="eastAsia" w:ascii="方正小标宋简体" w:hAnsi="方正小标宋简体" w:eastAsia="方正小标宋简体" w:cs="方正小标宋简体"/>
          <w:sz w:val="40"/>
          <w:szCs w:val="40"/>
        </w:rPr>
      </w:pPr>
      <w:bookmarkStart w:id="158" w:name="_Toc19350_WPSOffice_Level2"/>
      <w:bookmarkStart w:id="159" w:name="_Toc31090_WPSOffice_Level2"/>
      <w:r>
        <w:rPr>
          <w:rFonts w:hint="eastAsia" w:ascii="方正小标宋简体" w:hAnsi="方正小标宋简体" w:eastAsia="方正小标宋简体" w:cs="方正小标宋简体"/>
          <w:sz w:val="40"/>
          <w:szCs w:val="40"/>
        </w:rPr>
        <w:t>盐边县红果彝族乡人民政府</w:t>
      </w:r>
      <w:bookmarkEnd w:id="158"/>
      <w:bookmarkEnd w:id="159"/>
    </w:p>
    <w:p>
      <w:pPr>
        <w:pStyle w:val="10"/>
        <w:spacing w:line="600" w:lineRule="exact"/>
        <w:ind w:firstLine="800" w:firstLineChars="200"/>
        <w:jc w:val="center"/>
        <w:rPr>
          <w:rFonts w:hint="eastAsia" w:ascii="方正仿宋简体" w:hAnsi="方正仿宋简体" w:eastAsia="方正仿宋简体" w:cs="方正仿宋简体"/>
          <w:sz w:val="40"/>
          <w:szCs w:val="40"/>
        </w:rPr>
      </w:pPr>
      <w:bookmarkStart w:id="160" w:name="_Toc12763_WPSOffice_Level2"/>
      <w:bookmarkStart w:id="161" w:name="_Toc28837_WPSOffice_Level2"/>
      <w:r>
        <w:rPr>
          <w:rFonts w:hint="eastAsia" w:ascii="方正小标宋简体" w:hAnsi="方正小标宋简体" w:eastAsia="方正小标宋简体" w:cs="方正小标宋简体"/>
          <w:sz w:val="40"/>
          <w:szCs w:val="40"/>
        </w:rPr>
        <w:t>专项（项目）资金绩效自评报告</w:t>
      </w:r>
      <w:bookmarkEnd w:id="160"/>
      <w:bookmarkEnd w:id="161"/>
    </w:p>
    <w:p>
      <w:pPr>
        <w:pStyle w:val="10"/>
        <w:spacing w:line="600" w:lineRule="exact"/>
        <w:ind w:firstLine="720" w:firstLineChars="200"/>
        <w:jc w:val="center"/>
        <w:rPr>
          <w:sz w:val="32"/>
          <w:szCs w:val="32"/>
          <w:lang w:val="zh-CN"/>
        </w:rPr>
      </w:pPr>
      <w:r>
        <w:rPr>
          <w:rFonts w:hint="eastAsia" w:ascii="方正小标宋_GBK" w:hAnsi="黑体" w:eastAsia="方正小标宋_GBK" w:cs="黑体"/>
          <w:sz w:val="36"/>
          <w:szCs w:val="36"/>
        </w:rPr>
        <w:t xml:space="preserve"> （</w:t>
      </w:r>
      <w:r>
        <w:rPr>
          <w:rFonts w:ascii="Times New Roman" w:hAnsi="Times New Roman" w:eastAsia="仿宋_GB2312"/>
          <w:sz w:val="32"/>
          <w:szCs w:val="32"/>
        </w:rPr>
        <w:t>民族地区春节送温暖慰问金</w:t>
      </w:r>
      <w:r>
        <w:rPr>
          <w:rFonts w:hint="eastAsia" w:ascii="方正小标宋_GBK" w:hAnsi="黑体" w:eastAsia="方正小标宋_GBK" w:cs="黑体"/>
          <w:sz w:val="36"/>
          <w:szCs w:val="36"/>
        </w:rPr>
        <w:t>）</w:t>
      </w:r>
    </w:p>
    <w:p>
      <w:pPr>
        <w:spacing w:line="560" w:lineRule="exact"/>
        <w:ind w:firstLine="640" w:firstLineChars="200"/>
        <w:outlineLvl w:val="9"/>
        <w:rPr>
          <w:rFonts w:hint="eastAsia" w:ascii="黑体" w:hAnsi="黑体" w:eastAsia="黑体" w:cs="黑体"/>
          <w:sz w:val="32"/>
          <w:szCs w:val="32"/>
        </w:rPr>
      </w:pPr>
      <w:bookmarkStart w:id="162" w:name="_Toc15185_WPSOffice_Level2"/>
      <w:bookmarkStart w:id="163" w:name="_Toc7666_WPSOffice_Level2"/>
      <w:r>
        <w:rPr>
          <w:rFonts w:hint="eastAsia" w:ascii="黑体" w:hAnsi="黑体" w:eastAsia="黑体" w:cs="黑体"/>
          <w:sz w:val="32"/>
          <w:szCs w:val="32"/>
        </w:rPr>
        <w:t>一、项目概况</w:t>
      </w:r>
      <w:bookmarkEnd w:id="162"/>
      <w:bookmarkEnd w:id="163"/>
    </w:p>
    <w:p>
      <w:pPr>
        <w:spacing w:line="560" w:lineRule="exact"/>
        <w:ind w:firstLine="643" w:firstLineChars="200"/>
        <w:rPr>
          <w:rFonts w:eastAsia="方正仿宋_GBK"/>
          <w:sz w:val="32"/>
          <w:szCs w:val="32"/>
        </w:rPr>
      </w:pPr>
      <w:r>
        <w:rPr>
          <w:rFonts w:hint="eastAsia" w:ascii="楷体" w:hAnsi="楷体" w:eastAsia="楷体" w:cs="楷体"/>
          <w:b/>
          <w:bCs/>
          <w:sz w:val="32"/>
          <w:szCs w:val="32"/>
        </w:rPr>
        <w:t>（一）项目基本情况。</w:t>
      </w:r>
    </w:p>
    <w:p>
      <w:pPr>
        <w:spacing w:line="590" w:lineRule="exact"/>
        <w:ind w:firstLine="640"/>
        <w:rPr>
          <w:rFonts w:eastAsia="仿宋_GB2312"/>
          <w:sz w:val="32"/>
          <w:szCs w:val="32"/>
        </w:rPr>
      </w:pPr>
      <w:r>
        <w:rPr>
          <w:rFonts w:eastAsia="仿宋_GB2312"/>
          <w:sz w:val="32"/>
          <w:szCs w:val="32"/>
        </w:rPr>
        <w:t>1.项目主管单位：盐边县</w:t>
      </w:r>
      <w:r>
        <w:rPr>
          <w:rFonts w:hint="eastAsia" w:eastAsia="仿宋_GB2312"/>
          <w:sz w:val="32"/>
          <w:szCs w:val="32"/>
        </w:rPr>
        <w:t>民宗局</w:t>
      </w:r>
    </w:p>
    <w:p>
      <w:pPr>
        <w:spacing w:line="590" w:lineRule="exact"/>
        <w:ind w:firstLine="640"/>
        <w:rPr>
          <w:rFonts w:eastAsia="方正仿宋_GBK"/>
          <w:sz w:val="32"/>
          <w:szCs w:val="32"/>
        </w:rPr>
      </w:pPr>
      <w:r>
        <w:rPr>
          <w:rFonts w:eastAsia="方正仿宋_GBK"/>
          <w:sz w:val="32"/>
          <w:szCs w:val="32"/>
        </w:rPr>
        <w:t>项目主管单位牵头实施项目，编制实施方案，对该资金加强资金管理，确保专款专用，不得挪作他用，提高资金使用绩效。</w:t>
      </w:r>
    </w:p>
    <w:p>
      <w:pPr>
        <w:spacing w:line="590" w:lineRule="exact"/>
        <w:ind w:firstLine="640"/>
        <w:rPr>
          <w:rFonts w:eastAsia="仿宋_GB2312"/>
          <w:sz w:val="32"/>
          <w:szCs w:val="32"/>
        </w:rPr>
      </w:pPr>
      <w:r>
        <w:rPr>
          <w:rFonts w:eastAsia="仿宋_GB2312"/>
          <w:sz w:val="32"/>
          <w:szCs w:val="32"/>
        </w:rPr>
        <w:t>2. 项目立项、资金申报的依据。</w:t>
      </w:r>
    </w:p>
    <w:p>
      <w:pPr>
        <w:pStyle w:val="7"/>
        <w:ind w:firstLine="640"/>
        <w:rPr>
          <w:rFonts w:eastAsia="仿宋_GB2312"/>
          <w:sz w:val="32"/>
          <w:szCs w:val="32"/>
        </w:rPr>
      </w:pPr>
      <w:r>
        <w:rPr>
          <w:rFonts w:eastAsia="方正仿宋_GBK"/>
          <w:sz w:val="32"/>
          <w:szCs w:val="32"/>
        </w:rPr>
        <w:t>根据川财行【2021】4号下达2021年民族地区春节送温暖慰问金。主要用于民政地区访贫问苦送温暖，关爱困难群众。</w:t>
      </w:r>
    </w:p>
    <w:p>
      <w:pPr>
        <w:pStyle w:val="7"/>
        <w:ind w:firstLine="0" w:firstLineChars="0"/>
      </w:pPr>
      <w:r>
        <w:rPr>
          <w:rFonts w:eastAsia="仿宋_GB2312"/>
          <w:sz w:val="32"/>
          <w:szCs w:val="32"/>
        </w:rPr>
        <w:t xml:space="preserve">    3.资金管理办法制度情况，资金支持具体项目的条件、范围与支持方式概况。</w:t>
      </w:r>
    </w:p>
    <w:p>
      <w:pPr>
        <w:spacing w:line="560" w:lineRule="exact"/>
        <w:ind w:firstLine="640" w:firstLineChars="200"/>
        <w:rPr>
          <w:rFonts w:eastAsia="方正仿宋_GBK"/>
          <w:sz w:val="32"/>
          <w:szCs w:val="32"/>
        </w:rPr>
      </w:pPr>
      <w:r>
        <w:rPr>
          <w:rFonts w:eastAsia="方正仿宋_GBK"/>
          <w:sz w:val="32"/>
          <w:szCs w:val="32"/>
        </w:rPr>
        <w:t>我乡严格按照相应的业务管理制度，规范各项经费的开支。资金使用规范，符合国家财经法规和财务管理以及有关专项资金管理的规定。资金的拨付有完整的审批程序和手续；不存在截留、挤占、挪用、虚列支出等情况。保障会计核算准确、财务资料完整。</w:t>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（二）项目绩效目标。</w:t>
      </w:r>
    </w:p>
    <w:p>
      <w:pPr>
        <w:spacing w:line="560" w:lineRule="exact"/>
        <w:ind w:firstLine="640" w:firstLineChars="200"/>
        <w:rPr>
          <w:rFonts w:eastAsia="方正仿宋_GBK"/>
          <w:sz w:val="32"/>
          <w:szCs w:val="32"/>
        </w:rPr>
      </w:pPr>
      <w:r>
        <w:rPr>
          <w:rFonts w:eastAsia="方正仿宋_GBK"/>
          <w:sz w:val="32"/>
          <w:szCs w:val="32"/>
        </w:rPr>
        <w:t>1.项目主要内容。</w:t>
      </w:r>
    </w:p>
    <w:p>
      <w:pPr>
        <w:pStyle w:val="7"/>
        <w:ind w:firstLine="960" w:firstLineChars="300"/>
        <w:rPr>
          <w:rFonts w:eastAsia="仿宋_GB2312"/>
          <w:sz w:val="32"/>
          <w:szCs w:val="32"/>
        </w:rPr>
      </w:pPr>
      <w:r>
        <w:rPr>
          <w:rFonts w:eastAsia="方正仿宋_GBK"/>
          <w:sz w:val="32"/>
          <w:szCs w:val="32"/>
        </w:rPr>
        <w:t>民</w:t>
      </w:r>
      <w:r>
        <w:rPr>
          <w:rFonts w:hint="eastAsia" w:eastAsia="方正仿宋_GBK"/>
          <w:sz w:val="32"/>
          <w:szCs w:val="32"/>
          <w:lang w:val="en-US" w:eastAsia="zh-CN"/>
        </w:rPr>
        <w:t>族</w:t>
      </w:r>
      <w:r>
        <w:rPr>
          <w:rFonts w:eastAsia="方正仿宋_GBK"/>
          <w:sz w:val="32"/>
          <w:szCs w:val="32"/>
        </w:rPr>
        <w:t>地区访贫问苦送温暖，关爱困难群众。</w:t>
      </w:r>
    </w:p>
    <w:p>
      <w:pPr>
        <w:numPr>
          <w:ilvl w:val="0"/>
          <w:numId w:val="6"/>
        </w:num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项目应实现的具体绩效目标，包括目标的量化、细化情况以及项目实施进度计划等。</w:t>
      </w:r>
    </w:p>
    <w:p>
      <w:pPr>
        <w:autoSpaceDE w:val="0"/>
        <w:autoSpaceDN w:val="0"/>
        <w:adjustRightInd w:val="0"/>
        <w:spacing w:line="600" w:lineRule="exact"/>
        <w:jc w:val="left"/>
        <w:rPr>
          <w:rFonts w:eastAsia="仿宋_GB2312"/>
          <w:kern w:val="0"/>
          <w:sz w:val="32"/>
          <w:szCs w:val="32"/>
        </w:rPr>
      </w:pPr>
      <w:r>
        <w:rPr>
          <w:rFonts w:eastAsia="仿宋_GB2312"/>
          <w:kern w:val="0"/>
          <w:sz w:val="32"/>
          <w:szCs w:val="32"/>
        </w:rPr>
        <w:t xml:space="preserve">    慰问民族地区少数民族困难群众、受难群众、困难职工代表。</w:t>
      </w:r>
    </w:p>
    <w:p>
      <w:pPr>
        <w:numPr>
          <w:ilvl w:val="0"/>
          <w:numId w:val="0"/>
        </w:numPr>
        <w:autoSpaceDE w:val="0"/>
        <w:autoSpaceDN w:val="0"/>
        <w:adjustRightInd w:val="0"/>
        <w:spacing w:line="600" w:lineRule="exact"/>
        <w:ind w:firstLine="640" w:firstLineChars="200"/>
        <w:jc w:val="left"/>
        <w:outlineLvl w:val="9"/>
        <w:rPr>
          <w:rFonts w:eastAsia="黑体"/>
          <w:kern w:val="0"/>
          <w:sz w:val="32"/>
          <w:szCs w:val="32"/>
        </w:rPr>
      </w:pPr>
      <w:bookmarkStart w:id="164" w:name="_Toc21906_WPSOffice_Level2"/>
      <w:bookmarkStart w:id="165" w:name="_Toc26698_WPSOffice_Level2"/>
      <w:r>
        <w:rPr>
          <w:rFonts w:hint="eastAsia" w:eastAsia="黑体"/>
          <w:kern w:val="0"/>
          <w:sz w:val="32"/>
          <w:szCs w:val="32"/>
          <w:lang w:val="en-US" w:eastAsia="zh-CN"/>
        </w:rPr>
        <w:t>二、</w:t>
      </w:r>
      <w:r>
        <w:rPr>
          <w:rFonts w:eastAsia="黑体"/>
          <w:kern w:val="0"/>
          <w:sz w:val="32"/>
          <w:szCs w:val="32"/>
        </w:rPr>
        <w:t>项目资金申报及使用情况</w:t>
      </w:r>
      <w:bookmarkEnd w:id="164"/>
      <w:bookmarkEnd w:id="165"/>
    </w:p>
    <w:p>
      <w:pPr>
        <w:autoSpaceDE w:val="0"/>
        <w:autoSpaceDN w:val="0"/>
        <w:adjustRightInd w:val="0"/>
        <w:spacing w:line="600" w:lineRule="exact"/>
        <w:jc w:val="left"/>
        <w:rPr>
          <w:rFonts w:hint="eastAsia" w:ascii="仿宋_GB2312" w:hAnsi="仿宋_GB2312" w:eastAsia="仿宋_GB2312" w:cs="仿宋_GB2312"/>
          <w:sz w:val="32"/>
          <w:szCs w:val="32"/>
        </w:rPr>
      </w:pPr>
      <w:r>
        <w:rPr>
          <w:rFonts w:eastAsia="黑体"/>
          <w:kern w:val="0"/>
          <w:sz w:val="32"/>
          <w:szCs w:val="32"/>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首先申报项目，提交实施方案。通过财政预算审批下达该项目资金。</w:t>
      </w:r>
    </w:p>
    <w:p>
      <w:pPr>
        <w:spacing w:line="560" w:lineRule="exact"/>
        <w:outlineLvl w:val="9"/>
        <w:rPr>
          <w:rFonts w:hint="eastAsia" w:ascii="黑体" w:hAnsi="黑体" w:eastAsia="黑体" w:cs="黑体"/>
          <w:sz w:val="32"/>
          <w:szCs w:val="32"/>
        </w:rPr>
      </w:pPr>
      <w:r>
        <w:rPr>
          <w:rFonts w:eastAsia="方正仿宋_GBK"/>
          <w:sz w:val="32"/>
          <w:szCs w:val="32"/>
        </w:rPr>
        <w:t xml:space="preserve">  </w:t>
      </w:r>
      <w:r>
        <w:rPr>
          <w:rFonts w:hint="eastAsia" w:ascii="黑体" w:hAnsi="黑体" w:eastAsia="黑体" w:cs="黑体"/>
          <w:sz w:val="32"/>
          <w:szCs w:val="32"/>
        </w:rPr>
        <w:t xml:space="preserve">  </w:t>
      </w:r>
      <w:bookmarkStart w:id="166" w:name="_Toc24723_WPSOffice_Level2"/>
      <w:bookmarkStart w:id="167" w:name="_Toc12727_WPSOffice_Level2"/>
      <w:r>
        <w:rPr>
          <w:rFonts w:hint="eastAsia" w:ascii="黑体" w:hAnsi="黑体" w:eastAsia="黑体" w:cs="黑体"/>
          <w:sz w:val="32"/>
          <w:szCs w:val="32"/>
        </w:rPr>
        <w:t>三、项目资金使用情况</w:t>
      </w:r>
      <w:bookmarkEnd w:id="166"/>
      <w:bookmarkEnd w:id="167"/>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（一）资金计划、到位及使用情况。</w:t>
      </w:r>
    </w:p>
    <w:p>
      <w:pPr>
        <w:spacing w:line="560" w:lineRule="exact"/>
        <w:ind w:firstLine="640" w:firstLineChars="200"/>
        <w:rPr>
          <w:rFonts w:eastAsia="方正仿宋_GBK"/>
          <w:b/>
          <w:sz w:val="32"/>
          <w:szCs w:val="32"/>
        </w:rPr>
      </w:pPr>
      <w:r>
        <w:rPr>
          <w:rFonts w:hint="eastAsia" w:ascii="仿宋_GB2312" w:hAnsi="仿宋_GB2312" w:eastAsia="仿宋_GB2312" w:cs="仿宋_GB2312"/>
          <w:b w:val="0"/>
          <w:bCs/>
          <w:sz w:val="32"/>
          <w:szCs w:val="32"/>
        </w:rPr>
        <w:t>1.资金来源。</w:t>
      </w:r>
      <w:r>
        <w:rPr>
          <w:rFonts w:eastAsia="仿宋_GB2312"/>
          <w:sz w:val="32"/>
          <w:szCs w:val="32"/>
        </w:rPr>
        <w:t>根据川财行【2021】4号下达2021年民族地区春节送温暖慰问金，下达资金20000元。</w:t>
      </w:r>
    </w:p>
    <w:p>
      <w:pPr>
        <w:numPr>
          <w:ilvl w:val="0"/>
          <w:numId w:val="0"/>
        </w:numPr>
        <w:spacing w:line="560" w:lineRule="exact"/>
        <w:ind w:firstLine="640" w:firstLineChars="200"/>
        <w:rPr>
          <w:rFonts w:eastAsia="仿宋_GB2312"/>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资金到位。</w:t>
      </w:r>
      <w:r>
        <w:rPr>
          <w:rFonts w:eastAsia="仿宋_GB2312"/>
          <w:sz w:val="32"/>
          <w:szCs w:val="32"/>
        </w:rPr>
        <w:t>资金由2021年春节下达到位。</w:t>
      </w:r>
    </w:p>
    <w:p>
      <w:pPr>
        <w:spacing w:line="560" w:lineRule="exact"/>
        <w:rPr>
          <w:rFonts w:eastAsia="方正仿宋_GBK"/>
          <w:sz w:val="32"/>
          <w:szCs w:val="32"/>
        </w:rPr>
      </w:pPr>
      <w:r>
        <w:rPr>
          <w:rFonts w:eastAsia="方正仿宋_GBK"/>
          <w:b/>
          <w:sz w:val="32"/>
          <w:szCs w:val="32"/>
        </w:rPr>
        <w:t xml:space="preserve">   </w:t>
      </w:r>
      <w:r>
        <w:rPr>
          <w:rFonts w:hint="eastAsia" w:ascii="仿宋_GB2312" w:hAnsi="仿宋_GB2312" w:eastAsia="仿宋_GB2312" w:cs="仿宋_GB2312"/>
          <w:b w:val="0"/>
          <w:bCs/>
          <w:sz w:val="32"/>
          <w:szCs w:val="32"/>
        </w:rPr>
        <w:t xml:space="preserve"> 3.资金使用。</w:t>
      </w:r>
      <w:r>
        <w:rPr>
          <w:rFonts w:hint="eastAsia" w:ascii="仿宋_GB2312" w:hAnsi="仿宋_GB2312" w:eastAsia="仿宋_GB2312" w:cs="仿宋_GB2312"/>
          <w:sz w:val="32"/>
          <w:szCs w:val="32"/>
        </w:rPr>
        <w:t>我乡于2021年，下达该资金</w:t>
      </w:r>
      <w:r>
        <w:rPr>
          <w:rFonts w:hint="eastAsia" w:ascii="仿宋_GB2312" w:hAnsi="仿宋_GB2312" w:eastAsia="仿宋_GB2312" w:cs="仿宋_GB2312"/>
          <w:b/>
          <w:sz w:val="32"/>
          <w:szCs w:val="32"/>
        </w:rPr>
        <w:t>20000元，</w:t>
      </w:r>
      <w:r>
        <w:rPr>
          <w:rFonts w:hint="eastAsia" w:ascii="仿宋_GB2312" w:hAnsi="仿宋_GB2312" w:eastAsia="仿宋_GB2312" w:cs="仿宋_GB2312"/>
          <w:sz w:val="32"/>
          <w:szCs w:val="32"/>
        </w:rPr>
        <w:t>支付该资金20000元，完成支付进度100%</w:t>
      </w:r>
      <w:r>
        <w:rPr>
          <w:rFonts w:eastAsia="方正仿宋_GBK"/>
          <w:sz w:val="32"/>
          <w:szCs w:val="32"/>
        </w:rPr>
        <w:t>。</w:t>
      </w:r>
    </w:p>
    <w:p>
      <w:pPr>
        <w:spacing w:line="560" w:lineRule="exact"/>
        <w:ind w:firstLine="643" w:firstLineChars="200"/>
        <w:rPr>
          <w:rFonts w:eastAsia="方正仿宋_GBK"/>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）项目财务管理情况。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乡严格按照相应的财务管理制度，规范各项经费的开支。资金使用规范，符合国家财经法规和财务管理以及有关专项资金管理办公的规定。财务处理及时，会计核算严格按照规定，未出现违规等行为。经自查专项资金的使用无截留、挪用、挤占现象，资金支出范围和程序规范。</w:t>
      </w:r>
    </w:p>
    <w:p>
      <w:pPr>
        <w:spacing w:line="560" w:lineRule="exact"/>
        <w:outlineLvl w:val="9"/>
        <w:rPr>
          <w:rFonts w:hint="eastAsia" w:ascii="黑体" w:hAnsi="黑体" w:eastAsia="黑体" w:cs="黑体"/>
          <w:sz w:val="32"/>
          <w:szCs w:val="32"/>
        </w:rPr>
      </w:pPr>
      <w:r>
        <w:rPr>
          <w:rFonts w:eastAsia="方正仿宋_GBK"/>
          <w:sz w:val="32"/>
          <w:szCs w:val="32"/>
        </w:rPr>
        <w:t xml:space="preserve">   </w:t>
      </w:r>
      <w:r>
        <w:rPr>
          <w:rFonts w:hint="eastAsia" w:ascii="黑体" w:hAnsi="黑体" w:eastAsia="黑体" w:cs="黑体"/>
          <w:sz w:val="32"/>
          <w:szCs w:val="32"/>
        </w:rPr>
        <w:t xml:space="preserve">  </w:t>
      </w:r>
      <w:bookmarkStart w:id="168" w:name="_Toc31025_WPSOffice_Level2"/>
      <w:bookmarkStart w:id="169" w:name="_Toc16000_WPSOffice_Level2"/>
      <w:r>
        <w:rPr>
          <w:rFonts w:hint="eastAsia" w:ascii="黑体" w:hAnsi="黑体" w:eastAsia="黑体" w:cs="黑体"/>
          <w:sz w:val="32"/>
          <w:szCs w:val="32"/>
        </w:rPr>
        <w:t>四、项目实施及管理情况</w:t>
      </w:r>
      <w:bookmarkEnd w:id="168"/>
      <w:bookmarkEnd w:id="169"/>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（一）项目组织架构及实施流程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乡政府成立领导小组，由分管领导负责监督，由社会事务办主任负责实施。</w:t>
      </w:r>
    </w:p>
    <w:p>
      <w:pPr>
        <w:pStyle w:val="36"/>
        <w:numPr>
          <w:ilvl w:val="0"/>
          <w:numId w:val="0"/>
        </w:numPr>
        <w:spacing w:line="560" w:lineRule="exact"/>
        <w:ind w:left="640" w:leftChars="0"/>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项目管理情况</w:t>
      </w:r>
    </w:p>
    <w:p>
      <w:pPr>
        <w:spacing w:line="560" w:lineRule="exact"/>
        <w:ind w:firstLine="640" w:firstLineChars="200"/>
        <w:rPr>
          <w:rFonts w:eastAsia="方正仿宋_GBK"/>
          <w:sz w:val="32"/>
          <w:szCs w:val="32"/>
        </w:rPr>
      </w:pPr>
      <w:r>
        <w:rPr>
          <w:rFonts w:hint="eastAsia" w:ascii="仿宋_GB2312" w:hAnsi="仿宋_GB2312" w:eastAsia="仿宋_GB2312" w:cs="仿宋_GB2312"/>
          <w:sz w:val="32"/>
          <w:szCs w:val="32"/>
        </w:rPr>
        <w:t>我乡项目均按照项目实施方案要求的进度组织实施，根据质量指标、时效指标和成本指标，对项目进行要求和规范。</w:t>
      </w:r>
    </w:p>
    <w:p>
      <w:pPr>
        <w:pStyle w:val="36"/>
        <w:numPr>
          <w:ilvl w:val="0"/>
          <w:numId w:val="0"/>
        </w:numPr>
        <w:spacing w:line="560" w:lineRule="exact"/>
        <w:ind w:left="640" w:leftChars="0"/>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项目监管情况。</w:t>
      </w:r>
    </w:p>
    <w:p>
      <w:pPr>
        <w:spacing w:line="560" w:lineRule="exact"/>
        <w:ind w:firstLine="640" w:firstLineChars="200"/>
        <w:rPr>
          <w:rFonts w:eastAsia="方正仿宋_GBK"/>
          <w:sz w:val="32"/>
          <w:szCs w:val="32"/>
        </w:rPr>
      </w:pPr>
      <w:r>
        <w:rPr>
          <w:rFonts w:hint="eastAsia" w:ascii="仿宋_GB2312" w:hAnsi="仿宋_GB2312" w:eastAsia="仿宋_GB2312" w:cs="仿宋_GB2312"/>
          <w:sz w:val="32"/>
          <w:szCs w:val="32"/>
        </w:rPr>
        <w:t>我乡做好了项目实施的跟踪检查工作。定期对项目实施情况和经费使用情况进行跟踪检查，对能实现预期绩效目标的项目予以充分肯定，对进展缓慢，预期绩效目标较差的项目，及时进行协调和提出整改措施，确保项目实施工作正常运行，达到预期绩效目标。</w:t>
      </w:r>
    </w:p>
    <w:p>
      <w:pPr>
        <w:spacing w:line="560" w:lineRule="exact"/>
        <w:ind w:firstLine="640" w:firstLineChars="200"/>
        <w:outlineLvl w:val="9"/>
        <w:rPr>
          <w:rFonts w:hint="eastAsia" w:ascii="黑体" w:hAnsi="黑体" w:eastAsia="黑体" w:cs="黑体"/>
          <w:sz w:val="32"/>
          <w:szCs w:val="32"/>
        </w:rPr>
      </w:pPr>
      <w:bookmarkStart w:id="170" w:name="_Toc28068_WPSOffice_Level2"/>
      <w:bookmarkStart w:id="171" w:name="_Toc30120_WPSOffice_Level2"/>
      <w:r>
        <w:rPr>
          <w:rFonts w:hint="eastAsia" w:ascii="黑体" w:hAnsi="黑体" w:eastAsia="黑体" w:cs="黑体"/>
          <w:sz w:val="32"/>
          <w:szCs w:val="32"/>
        </w:rPr>
        <w:t>五、项目绩效情况</w:t>
      </w:r>
      <w:bookmarkEnd w:id="170"/>
      <w:bookmarkEnd w:id="171"/>
      <w:r>
        <w:rPr>
          <w:rFonts w:hint="eastAsia" w:ascii="黑体" w:hAnsi="黑体" w:eastAsia="黑体" w:cs="黑体"/>
          <w:sz w:val="32"/>
          <w:szCs w:val="32"/>
        </w:rPr>
        <w:tab/>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（一）项目完成情况。</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预算安排资金20000元，实际支出20000元，支付进度100%。</w:t>
      </w:r>
    </w:p>
    <w:p>
      <w:pPr>
        <w:spacing w:line="560" w:lineRule="exact"/>
        <w:ind w:firstLine="643" w:firstLineChars="200"/>
        <w:rPr>
          <w:rFonts w:eastAsia="方正仿宋_GBK"/>
          <w:sz w:val="32"/>
          <w:szCs w:val="32"/>
        </w:rPr>
      </w:pPr>
      <w:r>
        <w:rPr>
          <w:rFonts w:hint="eastAsia" w:ascii="楷体" w:hAnsi="楷体" w:eastAsia="楷体" w:cs="楷体"/>
          <w:b/>
          <w:bCs/>
          <w:sz w:val="32"/>
          <w:szCs w:val="32"/>
        </w:rPr>
        <w:t>（二）项目效益情况。</w:t>
      </w:r>
    </w:p>
    <w:p>
      <w:pPr>
        <w:spacing w:line="560" w:lineRule="exact"/>
        <w:ind w:firstLine="640" w:firstLineChars="200"/>
        <w:rPr>
          <w:rFonts w:eastAsia="方正仿宋_GBK"/>
          <w:sz w:val="32"/>
          <w:szCs w:val="32"/>
        </w:rPr>
      </w:pPr>
      <w:r>
        <w:rPr>
          <w:rFonts w:hint="eastAsia" w:ascii="仿宋_GB2312" w:hAnsi="仿宋_GB2312" w:eastAsia="仿宋_GB2312" w:cs="仿宋_GB2312"/>
          <w:b w:val="0"/>
          <w:bCs w:val="0"/>
          <w:sz w:val="32"/>
          <w:szCs w:val="32"/>
        </w:rPr>
        <w:t>我乡较好地完成了2021年初设定的工作任务，各项项目得到有序开展。资金拨付达到100%，已完工项目验收率达到100%。</w:t>
      </w:r>
    </w:p>
    <w:p>
      <w:pPr>
        <w:spacing w:line="560" w:lineRule="exact"/>
        <w:ind w:firstLine="640" w:firstLineChars="200"/>
        <w:rPr>
          <w:rFonts w:hint="eastAsia" w:ascii="黑体" w:hAnsi="黑体" w:eastAsia="黑体" w:cs="黑体"/>
          <w:sz w:val="32"/>
          <w:szCs w:val="32"/>
        </w:rPr>
      </w:pPr>
      <w:bookmarkStart w:id="172" w:name="_Toc21461_WPSOffice_Level2"/>
      <w:bookmarkStart w:id="173" w:name="_Toc11667_WPSOffice_Level2"/>
      <w:r>
        <w:rPr>
          <w:rFonts w:hint="eastAsia" w:ascii="黑体" w:hAnsi="黑体" w:eastAsia="黑体" w:cs="黑体"/>
          <w:sz w:val="32"/>
          <w:szCs w:val="32"/>
        </w:rPr>
        <w:t>六、评价结论及建议</w:t>
      </w:r>
      <w:bookmarkEnd w:id="172"/>
      <w:bookmarkEnd w:id="173"/>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（一）评价结论。</w:t>
      </w:r>
    </w:p>
    <w:p>
      <w:pPr>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我单位根据资金绩效自评表，我乡项目资金20000，实际完成20000元，完成率100%，总体评价良好，对于项目实施到位的项目进行了及时支付。</w:t>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（二）存在的问题。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通过总体情况分析和自查，发现存在以下问题：项目支付进度缓慢。</w:t>
      </w:r>
    </w:p>
    <w:p>
      <w:pPr>
        <w:pStyle w:val="36"/>
        <w:numPr>
          <w:ilvl w:val="0"/>
          <w:numId w:val="0"/>
        </w:numPr>
        <w:spacing w:line="560" w:lineRule="exact"/>
        <w:ind w:firstLine="321" w:firstLineChars="100"/>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(三）相关建议。</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1.进一步健全和完善财务管理制度及内部控制制度，创新管理手段，用新思路、新办法、改机完善财务管理方法。</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2.按照财政支出绩效管理的要求，建立科学的财政资金效益考评制度体系，不断提高财政资金使用管理的水平和效益。</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3.加快项目推进进度，进而提高我乡的支付进度。</w:t>
      </w:r>
    </w:p>
    <w:p>
      <w:pPr>
        <w:spacing w:line="560" w:lineRule="exact"/>
        <w:rPr>
          <w:rFonts w:hint="eastAsia" w:ascii="仿宋_GB2312" w:hAnsi="仿宋_GB2312" w:eastAsia="仿宋_GB2312" w:cs="仿宋_GB2312"/>
          <w:sz w:val="32"/>
          <w:szCs w:val="32"/>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10"/>
        <w:spacing w:line="600" w:lineRule="exact"/>
        <w:ind w:firstLine="880" w:firstLineChars="200"/>
        <w:jc w:val="center"/>
        <w:rPr>
          <w:rFonts w:hint="eastAsia" w:ascii="方正小标宋简体" w:hAnsi="方正小标宋简体" w:eastAsia="方正小标宋简体" w:cs="方正小标宋简体"/>
          <w:sz w:val="44"/>
          <w:szCs w:val="44"/>
        </w:rPr>
      </w:pPr>
      <w:bookmarkStart w:id="174" w:name="_Toc6996_WPSOffice_Level2"/>
      <w:bookmarkStart w:id="175" w:name="_Toc19420_WPSOffice_Level2"/>
      <w:r>
        <w:rPr>
          <w:rFonts w:hint="eastAsia" w:ascii="方正小标宋简体" w:hAnsi="方正小标宋简体" w:eastAsia="方正小标宋简体" w:cs="方正小标宋简体"/>
          <w:sz w:val="44"/>
          <w:szCs w:val="44"/>
        </w:rPr>
        <w:t>盐边县红果彝族乡人民政府</w:t>
      </w:r>
      <w:bookmarkEnd w:id="174"/>
      <w:bookmarkEnd w:id="175"/>
    </w:p>
    <w:p>
      <w:pPr>
        <w:pStyle w:val="10"/>
        <w:spacing w:line="600" w:lineRule="exact"/>
        <w:ind w:firstLine="880" w:firstLineChars="200"/>
        <w:jc w:val="center"/>
        <w:rPr>
          <w:rFonts w:eastAsia="方正小标宋_GBK"/>
          <w:sz w:val="44"/>
          <w:szCs w:val="44"/>
        </w:rPr>
      </w:pPr>
      <w:bookmarkStart w:id="176" w:name="_Toc17491_WPSOffice_Level2"/>
      <w:bookmarkStart w:id="177" w:name="_Toc18572_WPSOffice_Level2"/>
      <w:r>
        <w:rPr>
          <w:rFonts w:hint="eastAsia" w:ascii="方正小标宋简体" w:hAnsi="方正小标宋简体" w:eastAsia="方正小标宋简体" w:cs="方正小标宋简体"/>
          <w:sz w:val="44"/>
          <w:szCs w:val="44"/>
        </w:rPr>
        <w:t>专项（项目）资金绩效自评报告</w:t>
      </w:r>
      <w:bookmarkEnd w:id="176"/>
      <w:bookmarkEnd w:id="177"/>
    </w:p>
    <w:p>
      <w:pPr>
        <w:pStyle w:val="10"/>
        <w:spacing w:line="600" w:lineRule="exact"/>
        <w:ind w:firstLine="640" w:firstLineChars="200"/>
        <w:jc w:val="center"/>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（公共文化服务体系建设补助资金）</w:t>
      </w:r>
    </w:p>
    <w:p>
      <w:pPr>
        <w:spacing w:line="560" w:lineRule="exact"/>
        <w:ind w:firstLine="640" w:firstLineChars="200"/>
        <w:outlineLvl w:val="9"/>
        <w:rPr>
          <w:rFonts w:eastAsia="方正仿宋_GBK"/>
          <w:sz w:val="33"/>
          <w:szCs w:val="33"/>
        </w:rPr>
      </w:pPr>
      <w:bookmarkStart w:id="178" w:name="_Toc12461_WPSOffice_Level2"/>
      <w:bookmarkStart w:id="179" w:name="_Toc8182_WPSOffice_Level2"/>
      <w:r>
        <w:rPr>
          <w:rFonts w:hint="eastAsia" w:ascii="黑体" w:hAnsi="黑体" w:eastAsia="黑体" w:cs="黑体"/>
          <w:sz w:val="32"/>
          <w:szCs w:val="32"/>
        </w:rPr>
        <w:t>一、项目概况</w:t>
      </w:r>
      <w:bookmarkEnd w:id="178"/>
      <w:bookmarkEnd w:id="179"/>
    </w:p>
    <w:p>
      <w:pPr>
        <w:spacing w:line="56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rPr>
        <w:t>项目基本情况</w:t>
      </w:r>
      <w:r>
        <w:rPr>
          <w:rFonts w:hint="eastAsia" w:ascii="楷体" w:hAnsi="楷体" w:eastAsia="楷体" w:cs="楷体"/>
          <w:b/>
          <w:bCs/>
          <w:sz w:val="32"/>
          <w:szCs w:val="32"/>
          <w:lang w:eastAsia="zh-CN"/>
        </w:rPr>
        <w:t>：</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1.项目主管单位：盐边县文旅局</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项目主管单位牵头实施项目，编制实施方案，对该资金加强资金管理，确保专款专用，不得挪作他用，提高资金使用绩效。</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项目立项、资金申报的依据。</w:t>
      </w:r>
    </w:p>
    <w:p>
      <w:pPr>
        <w:pStyle w:val="7"/>
        <w:spacing w:line="5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根据川财教【2021】0040号下达2021年中央支持地方公共文化服务体系建设补助资金,主要用于保障服务站点正常开放运行，提供公益性电影放映服务。不断满足农民群众日益增长的文化需求。</w:t>
      </w:r>
    </w:p>
    <w:p>
      <w:pPr>
        <w:pStyle w:val="7"/>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3.资金管理办法制度情况，资金支持具体项目的条件、范围与支持方式概况。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乡严格按照相应的业务管理制度，规范各项经费的开支。资金使用规范，符合国家财经法规和财务管理以及有关专项资金管理的规定。资金的拨付有完整的审批程序和手续；不存在截留、挤占、挪用、虚列支出等情况。保障会计核算准确、财务资料完整。</w:t>
      </w:r>
    </w:p>
    <w:p>
      <w:pPr>
        <w:spacing w:line="560" w:lineRule="exact"/>
        <w:ind w:firstLine="643" w:firstLineChars="200"/>
        <w:rPr>
          <w:rFonts w:eastAsia="方正仿宋_GBK"/>
          <w:sz w:val="33"/>
          <w:szCs w:val="33"/>
        </w:rPr>
      </w:pPr>
      <w:bookmarkStart w:id="180" w:name="_Toc32244_WPSOffice_Level2"/>
      <w:bookmarkStart w:id="181" w:name="_Toc15184_WPSOffice_Level2"/>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项目绩效目标。</w:t>
      </w:r>
      <w:bookmarkEnd w:id="180"/>
      <w:bookmarkEnd w:id="181"/>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1.项目主要内容。</w:t>
      </w:r>
    </w:p>
    <w:p>
      <w:pPr>
        <w:pStyle w:val="7"/>
        <w:spacing w:line="5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用于保障服务站点正常开放运行，提供公益性电影放映服务。</w:t>
      </w:r>
    </w:p>
    <w:p>
      <w:pPr>
        <w:pStyle w:val="7"/>
        <w:spacing w:line="560" w:lineRule="exact"/>
        <w:ind w:firstLine="66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kern w:val="0"/>
          <w:sz w:val="32"/>
          <w:szCs w:val="32"/>
        </w:rPr>
        <w:t>项目应实现的具体绩效目标，包括目标的量化、细化情况以及项目实施进度计划等。</w:t>
      </w:r>
    </w:p>
    <w:p>
      <w:pPr>
        <w:pStyle w:val="7"/>
        <w:spacing w:line="5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保障服务站点正常开放运行，提供公益性电影放映服务。不断满足农民群众日益增长的文化需求。</w:t>
      </w:r>
    </w:p>
    <w:p>
      <w:pPr>
        <w:autoSpaceDE w:val="0"/>
        <w:autoSpaceDN w:val="0"/>
        <w:adjustRightInd w:val="0"/>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.项目资金申报及使用情况</w:t>
      </w:r>
    </w:p>
    <w:p>
      <w:pPr>
        <w:autoSpaceDE w:val="0"/>
        <w:autoSpaceDN w:val="0"/>
        <w:adjustRightIn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首先申报项目，提交实施方案。通过财政预算审批下达该项目资金。</w:t>
      </w:r>
    </w:p>
    <w:p>
      <w:pPr>
        <w:spacing w:line="560" w:lineRule="exact"/>
        <w:rPr>
          <w:rFonts w:hint="eastAsia" w:ascii="黑体" w:hAnsi="黑体" w:eastAsia="黑体" w:cs="黑体"/>
          <w:sz w:val="32"/>
          <w:szCs w:val="32"/>
        </w:rPr>
      </w:pPr>
      <w:r>
        <w:rPr>
          <w:rFonts w:eastAsia="方正仿宋_GBK"/>
          <w:sz w:val="33"/>
          <w:szCs w:val="33"/>
        </w:rPr>
        <w:t xml:space="preserve">  </w:t>
      </w:r>
      <w:r>
        <w:rPr>
          <w:rFonts w:hint="eastAsia" w:ascii="黑体" w:hAnsi="黑体" w:eastAsia="黑体" w:cs="黑体"/>
          <w:sz w:val="32"/>
          <w:szCs w:val="32"/>
        </w:rPr>
        <w:t xml:space="preserve">  </w:t>
      </w:r>
      <w:bookmarkStart w:id="182" w:name="_Toc29432_WPSOffice_Level2"/>
      <w:bookmarkStart w:id="183" w:name="_Toc31107_WPSOffice_Level2"/>
      <w:r>
        <w:rPr>
          <w:rFonts w:hint="eastAsia" w:ascii="黑体" w:hAnsi="黑体" w:eastAsia="黑体" w:cs="黑体"/>
          <w:sz w:val="32"/>
          <w:szCs w:val="32"/>
        </w:rPr>
        <w:t>三、项目资金使用情况</w:t>
      </w:r>
      <w:bookmarkEnd w:id="182"/>
      <w:bookmarkEnd w:id="183"/>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（一）资金计划、到位及使用情况。</w:t>
      </w:r>
    </w:p>
    <w:p>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1.资金来源。</w:t>
      </w:r>
    </w:p>
    <w:p>
      <w:pPr>
        <w:spacing w:line="560" w:lineRule="exac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 xml:space="preserve">  根据川财教【2021】0040号下达2021年中央支持地方公共文化服务体系建设补助资金,下达资金116000元。</w:t>
      </w:r>
    </w:p>
    <w:p>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资金到位。</w:t>
      </w:r>
    </w:p>
    <w:p>
      <w:pPr>
        <w:widowControl/>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该资金由2021下达到位。</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val="0"/>
          <w:bCs/>
          <w:sz w:val="32"/>
          <w:szCs w:val="32"/>
        </w:rPr>
        <w:t xml:space="preserve">   3.资金使用。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我乡于2021年，下达该资金</w:t>
      </w:r>
      <w:r>
        <w:rPr>
          <w:rFonts w:hint="eastAsia" w:ascii="仿宋_GB2312" w:hAnsi="仿宋_GB2312" w:eastAsia="仿宋_GB2312" w:cs="仿宋_GB2312"/>
          <w:b/>
          <w:sz w:val="32"/>
          <w:szCs w:val="32"/>
        </w:rPr>
        <w:t>116000元，</w:t>
      </w:r>
      <w:r>
        <w:rPr>
          <w:rFonts w:hint="eastAsia" w:ascii="仿宋_GB2312" w:hAnsi="仿宋_GB2312" w:eastAsia="仿宋_GB2312" w:cs="仿宋_GB2312"/>
          <w:sz w:val="32"/>
          <w:szCs w:val="32"/>
        </w:rPr>
        <w:t>支付该资金116000元，完成支付进度100%。</w:t>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）项目财务管理情况。</w:t>
      </w:r>
    </w:p>
    <w:p>
      <w:pPr>
        <w:spacing w:line="560" w:lineRule="exact"/>
        <w:ind w:firstLine="640" w:firstLineChars="200"/>
        <w:rPr>
          <w:rFonts w:eastAsia="方正仿宋_GBK"/>
          <w:sz w:val="33"/>
          <w:szCs w:val="33"/>
        </w:rPr>
      </w:pPr>
      <w:r>
        <w:rPr>
          <w:rFonts w:hint="eastAsia" w:ascii="仿宋_GB2312" w:hAnsi="仿宋_GB2312" w:eastAsia="仿宋_GB2312" w:cs="仿宋_GB2312"/>
          <w:sz w:val="32"/>
          <w:szCs w:val="32"/>
        </w:rPr>
        <w:t>我乡严格按照相应的财务管理制度，规范各项经费的开支。资金使用规范，符合国家财经法规和财务管理以及有关专项资金管理办公的规定。财务处理及时，会计核算严格按照规定，未出现违规等行为。经自查专项资金的使用无截留、挪用、挤占现象，资金支出范围和程序规范。</w:t>
      </w:r>
    </w:p>
    <w:p>
      <w:pPr>
        <w:spacing w:line="560" w:lineRule="exact"/>
        <w:outlineLvl w:val="9"/>
        <w:rPr>
          <w:rFonts w:hint="eastAsia" w:ascii="黑体" w:hAnsi="黑体" w:eastAsia="黑体" w:cs="黑体"/>
          <w:sz w:val="32"/>
          <w:szCs w:val="32"/>
        </w:rPr>
      </w:pPr>
      <w:r>
        <w:rPr>
          <w:rFonts w:eastAsia="方正仿宋_GBK"/>
          <w:sz w:val="33"/>
          <w:szCs w:val="33"/>
        </w:rPr>
        <w:t xml:space="preserve">   </w:t>
      </w:r>
      <w:r>
        <w:rPr>
          <w:rFonts w:hint="eastAsia" w:ascii="黑体" w:hAnsi="黑体" w:eastAsia="黑体" w:cs="黑体"/>
          <w:sz w:val="32"/>
          <w:szCs w:val="32"/>
        </w:rPr>
        <w:t xml:space="preserve">  </w:t>
      </w:r>
      <w:bookmarkStart w:id="184" w:name="_Toc29666_WPSOffice_Level2"/>
      <w:bookmarkStart w:id="185" w:name="_Toc32007_WPSOffice_Level2"/>
      <w:r>
        <w:rPr>
          <w:rFonts w:hint="eastAsia" w:ascii="黑体" w:hAnsi="黑体" w:eastAsia="黑体" w:cs="黑体"/>
          <w:sz w:val="32"/>
          <w:szCs w:val="32"/>
        </w:rPr>
        <w:t>四、项目实施及管理情况</w:t>
      </w:r>
      <w:bookmarkEnd w:id="184"/>
      <w:bookmarkEnd w:id="185"/>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（一）项目组织架构及实施流程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乡政府成立领导小组，由分管领导负责监督，由宣文中心负责实施。</w:t>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项目管理情况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我乡项目均按照项目实施方案要求的进度组织实施，根据质量指标、时效指标和成本指标，对项目进行要求和规范。</w:t>
      </w:r>
    </w:p>
    <w:p>
      <w:pPr>
        <w:pStyle w:val="36"/>
        <w:numPr>
          <w:ilvl w:val="0"/>
          <w:numId w:val="0"/>
        </w:numPr>
        <w:spacing w:line="560" w:lineRule="exact"/>
        <w:ind w:left="640" w:leftChars="0"/>
        <w:rPr>
          <w:rFonts w:eastAsia="方正仿宋_GBK"/>
          <w:sz w:val="33"/>
          <w:szCs w:val="33"/>
        </w:rPr>
      </w:pPr>
      <w:r>
        <w:rPr>
          <w:rFonts w:hint="eastAsia" w:ascii="楷体" w:hAnsi="楷体" w:eastAsia="楷体" w:cs="楷体"/>
          <w:b/>
          <w:bCs/>
          <w:kern w:val="2"/>
          <w:sz w:val="32"/>
          <w:szCs w:val="32"/>
          <w:lang w:val="en-US" w:eastAsia="zh-CN" w:bidi="ar-SA"/>
        </w:rPr>
        <w:t>(三）项目监管情况</w:t>
      </w:r>
      <w:r>
        <w:rPr>
          <w:rFonts w:eastAsia="方正仿宋_GBK"/>
          <w:sz w:val="33"/>
          <w:szCs w:val="33"/>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乡做好了项目实施的跟踪检查工作。定期对项目实施情况和经费使用情况进行跟踪检查，对能实现预期绩效目标的项目予以充分肯定，对进展缓慢，预期绩效目标较差的项目，及时进行协调和提出整改措施，确保项目实施工作正常运行，达到预期绩效目标。</w:t>
      </w:r>
    </w:p>
    <w:p>
      <w:pPr>
        <w:spacing w:line="560" w:lineRule="exact"/>
        <w:ind w:firstLine="640" w:firstLineChars="200"/>
        <w:rPr>
          <w:rFonts w:hint="eastAsia" w:ascii="黑体" w:hAnsi="黑体" w:eastAsia="黑体" w:cs="黑体"/>
          <w:sz w:val="32"/>
          <w:szCs w:val="32"/>
        </w:rPr>
      </w:pPr>
      <w:bookmarkStart w:id="186" w:name="_Toc27254_WPSOffice_Level2"/>
      <w:bookmarkStart w:id="187" w:name="_Toc28369_WPSOffice_Level2"/>
      <w:r>
        <w:rPr>
          <w:rFonts w:hint="eastAsia" w:ascii="黑体" w:hAnsi="黑体" w:eastAsia="黑体" w:cs="黑体"/>
          <w:sz w:val="32"/>
          <w:szCs w:val="32"/>
        </w:rPr>
        <w:t>五、项目绩效情况</w:t>
      </w:r>
      <w:bookmarkEnd w:id="186"/>
      <w:bookmarkEnd w:id="187"/>
      <w:r>
        <w:rPr>
          <w:rFonts w:hint="eastAsia" w:ascii="黑体" w:hAnsi="黑体" w:eastAsia="黑体" w:cs="黑体"/>
          <w:sz w:val="32"/>
          <w:szCs w:val="32"/>
        </w:rPr>
        <w:tab/>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（一）项目完成情况。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预算安排资金116000元，实际支出116000元，支付进度100%。</w:t>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（二）项目效益情况。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我乡较好地完成了2021年初设定的工作任务，各项项目得到有序开展。资金拨付达到100%，已完工项目验收率达到100%。</w:t>
      </w:r>
    </w:p>
    <w:p>
      <w:pPr>
        <w:spacing w:line="560" w:lineRule="exact"/>
        <w:ind w:firstLine="640" w:firstLineChars="200"/>
        <w:rPr>
          <w:rFonts w:hint="eastAsia" w:ascii="黑体" w:hAnsi="黑体" w:eastAsia="黑体" w:cs="黑体"/>
          <w:sz w:val="32"/>
          <w:szCs w:val="32"/>
        </w:rPr>
      </w:pPr>
      <w:bookmarkStart w:id="188" w:name="_Toc16482_WPSOffice_Level2"/>
      <w:bookmarkStart w:id="189" w:name="_Toc3891_WPSOffice_Level2"/>
      <w:r>
        <w:rPr>
          <w:rFonts w:hint="eastAsia" w:ascii="黑体" w:hAnsi="黑体" w:eastAsia="黑体" w:cs="黑体"/>
          <w:sz w:val="32"/>
          <w:szCs w:val="32"/>
        </w:rPr>
        <w:t>六、评价结论及建议</w:t>
      </w:r>
      <w:bookmarkEnd w:id="188"/>
      <w:bookmarkEnd w:id="189"/>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（一）评价结论。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我单位根据资金绩效自评表，我乡项目资金116000，实际完成116000元，完成率100%，总体评价良好，对于项目实施到位的项目进行了及时支付。</w:t>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（二）存在的问题。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通过总体情况分析和自查，发现存在以下问题：项目支付进度缓慢。</w:t>
      </w:r>
    </w:p>
    <w:p>
      <w:pPr>
        <w:pStyle w:val="36"/>
        <w:numPr>
          <w:ilvl w:val="0"/>
          <w:numId w:val="0"/>
        </w:numPr>
        <w:spacing w:line="560" w:lineRule="exact"/>
        <w:ind w:left="640" w:leftChars="0"/>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相关建议。</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1.进一步健全和完善财务管理制度及内部控制制度，创新管理手段，用新思路、新办法、改机完善财务管理方法。</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2.按照财政支出绩效管理的要求，建立科学的财政资金效益考评制度体系，不断提高财政资金使用管理的水平和效益。</w:t>
      </w:r>
    </w:p>
    <w:p>
      <w:pPr>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3.加快项目推进进度，进而提高我乡的支付进度。</w:t>
      </w:r>
    </w:p>
    <w:p>
      <w:pPr>
        <w:spacing w:line="560" w:lineRule="exact"/>
        <w:rPr>
          <w:rFonts w:eastAsia="方正仿宋_GBK"/>
          <w:sz w:val="33"/>
          <w:szCs w:val="33"/>
        </w:rPr>
      </w:pPr>
    </w:p>
    <w:p>
      <w:pPr>
        <w:pStyle w:val="10"/>
        <w:spacing w:line="600" w:lineRule="exact"/>
        <w:ind w:firstLine="720" w:firstLineChars="200"/>
        <w:jc w:val="center"/>
        <w:rPr>
          <w:rFonts w:ascii="方正小标宋_GBK" w:hAnsi="黑体" w:eastAsia="方正小标宋_GBK" w:cs="黑体"/>
          <w:sz w:val="36"/>
          <w:szCs w:val="36"/>
        </w:rPr>
      </w:pPr>
    </w:p>
    <w:p>
      <w:pPr>
        <w:pStyle w:val="10"/>
        <w:spacing w:line="600" w:lineRule="exact"/>
        <w:ind w:firstLine="720" w:firstLineChars="200"/>
        <w:jc w:val="center"/>
        <w:rPr>
          <w:rFonts w:ascii="方正小标宋_GBK" w:hAnsi="黑体" w:eastAsia="方正小标宋_GBK" w:cs="黑体"/>
          <w:sz w:val="36"/>
          <w:szCs w:val="36"/>
        </w:rPr>
      </w:pPr>
    </w:p>
    <w:p>
      <w:pPr>
        <w:pStyle w:val="10"/>
        <w:spacing w:line="600" w:lineRule="exact"/>
        <w:ind w:firstLine="720" w:firstLineChars="200"/>
        <w:jc w:val="center"/>
        <w:rPr>
          <w:rFonts w:ascii="方正小标宋_GBK" w:hAnsi="黑体" w:eastAsia="方正小标宋_GBK" w:cs="黑体"/>
          <w:sz w:val="36"/>
          <w:szCs w:val="36"/>
        </w:rPr>
      </w:pPr>
    </w:p>
    <w:p>
      <w:pPr>
        <w:pStyle w:val="10"/>
        <w:spacing w:line="600" w:lineRule="exact"/>
        <w:ind w:firstLine="720" w:firstLineChars="200"/>
        <w:jc w:val="center"/>
        <w:rPr>
          <w:rFonts w:ascii="方正小标宋_GBK" w:hAnsi="黑体" w:eastAsia="方正小标宋_GBK" w:cs="黑体"/>
          <w:sz w:val="36"/>
          <w:szCs w:val="36"/>
        </w:rPr>
      </w:pPr>
    </w:p>
    <w:p>
      <w:pPr>
        <w:pStyle w:val="10"/>
        <w:spacing w:line="600" w:lineRule="exact"/>
        <w:ind w:firstLine="720" w:firstLineChars="200"/>
        <w:jc w:val="center"/>
        <w:rPr>
          <w:rFonts w:ascii="方正小标宋_GBK" w:hAnsi="黑体" w:eastAsia="方正小标宋_GBK" w:cs="黑体"/>
          <w:sz w:val="36"/>
          <w:szCs w:val="36"/>
        </w:rPr>
      </w:pPr>
    </w:p>
    <w:p>
      <w:pPr>
        <w:pStyle w:val="10"/>
        <w:spacing w:line="600" w:lineRule="exact"/>
        <w:ind w:firstLine="720" w:firstLineChars="200"/>
        <w:jc w:val="center"/>
        <w:rPr>
          <w:rFonts w:ascii="方正小标宋_GBK" w:hAnsi="黑体" w:eastAsia="方正小标宋_GBK" w:cs="黑体"/>
          <w:sz w:val="36"/>
          <w:szCs w:val="36"/>
        </w:rPr>
      </w:pPr>
    </w:p>
    <w:p>
      <w:pPr>
        <w:pStyle w:val="10"/>
        <w:spacing w:line="600" w:lineRule="exact"/>
        <w:ind w:firstLine="720" w:firstLineChars="200"/>
        <w:jc w:val="center"/>
        <w:rPr>
          <w:rFonts w:ascii="方正小标宋_GBK" w:hAnsi="黑体" w:eastAsia="方正小标宋_GBK" w:cs="黑体"/>
          <w:sz w:val="36"/>
          <w:szCs w:val="36"/>
        </w:rPr>
      </w:pPr>
    </w:p>
    <w:p>
      <w:pPr>
        <w:pStyle w:val="10"/>
        <w:spacing w:line="600" w:lineRule="exact"/>
        <w:ind w:firstLine="720" w:firstLineChars="200"/>
        <w:jc w:val="center"/>
        <w:rPr>
          <w:rFonts w:ascii="方正小标宋_GBK" w:hAnsi="黑体" w:eastAsia="方正小标宋_GBK" w:cs="黑体"/>
          <w:sz w:val="36"/>
          <w:szCs w:val="36"/>
        </w:rPr>
      </w:pPr>
    </w:p>
    <w:p>
      <w:pPr>
        <w:pStyle w:val="10"/>
        <w:spacing w:line="600" w:lineRule="exact"/>
        <w:ind w:firstLine="720" w:firstLineChars="200"/>
        <w:jc w:val="center"/>
        <w:rPr>
          <w:rFonts w:ascii="方正小标宋_GBK" w:hAnsi="黑体" w:eastAsia="方正小标宋_GBK" w:cs="黑体"/>
          <w:sz w:val="36"/>
          <w:szCs w:val="36"/>
        </w:rPr>
      </w:pPr>
    </w:p>
    <w:p>
      <w:pPr>
        <w:pStyle w:val="10"/>
        <w:spacing w:line="600" w:lineRule="exact"/>
        <w:ind w:firstLine="720" w:firstLineChars="200"/>
        <w:jc w:val="center"/>
        <w:rPr>
          <w:rFonts w:ascii="方正小标宋_GBK" w:hAnsi="黑体" w:eastAsia="方正小标宋_GBK" w:cs="黑体"/>
          <w:sz w:val="36"/>
          <w:szCs w:val="36"/>
        </w:rPr>
      </w:pPr>
    </w:p>
    <w:p>
      <w:pPr>
        <w:pStyle w:val="10"/>
        <w:spacing w:line="600" w:lineRule="exact"/>
        <w:ind w:firstLine="720" w:firstLineChars="200"/>
        <w:jc w:val="center"/>
        <w:rPr>
          <w:rFonts w:ascii="方正小标宋_GBK" w:hAnsi="黑体" w:eastAsia="方正小标宋_GBK" w:cs="黑体"/>
          <w:sz w:val="36"/>
          <w:szCs w:val="36"/>
        </w:rPr>
      </w:pPr>
    </w:p>
    <w:p>
      <w:pPr>
        <w:pStyle w:val="10"/>
        <w:spacing w:line="600" w:lineRule="exact"/>
        <w:ind w:firstLine="880" w:firstLineChars="200"/>
        <w:jc w:val="center"/>
        <w:rPr>
          <w:rFonts w:hint="eastAsia" w:ascii="方正小标宋简体" w:hAnsi="方正小标宋简体" w:eastAsia="方正小标宋简体" w:cs="方正小标宋简体"/>
          <w:sz w:val="44"/>
          <w:szCs w:val="44"/>
        </w:rPr>
      </w:pPr>
      <w:bookmarkStart w:id="190" w:name="_Toc17174_WPSOffice_Level2"/>
      <w:bookmarkStart w:id="191" w:name="_Toc27202_WPSOffice_Level2"/>
      <w:r>
        <w:rPr>
          <w:rFonts w:hint="eastAsia" w:ascii="方正小标宋简体" w:hAnsi="方正小标宋简体" w:eastAsia="方正小标宋简体" w:cs="方正小标宋简体"/>
          <w:sz w:val="44"/>
          <w:szCs w:val="44"/>
        </w:rPr>
        <w:t>盐边县红果彝族乡人民政府</w:t>
      </w:r>
      <w:bookmarkEnd w:id="190"/>
      <w:bookmarkEnd w:id="191"/>
    </w:p>
    <w:p>
      <w:pPr>
        <w:pStyle w:val="10"/>
        <w:spacing w:line="600" w:lineRule="exact"/>
        <w:ind w:firstLine="880" w:firstLineChars="200"/>
        <w:jc w:val="center"/>
        <w:rPr>
          <w:rFonts w:hint="eastAsia" w:ascii="方正小标宋简体" w:hAnsi="方正小标宋简体" w:eastAsia="方正小标宋简体" w:cs="方正小标宋简体"/>
          <w:sz w:val="44"/>
          <w:szCs w:val="44"/>
        </w:rPr>
      </w:pPr>
      <w:bookmarkStart w:id="192" w:name="_Toc5429_WPSOffice_Level2"/>
      <w:bookmarkStart w:id="193" w:name="_Toc20528_WPSOffice_Level2"/>
      <w:r>
        <w:rPr>
          <w:rFonts w:hint="eastAsia" w:ascii="方正小标宋简体" w:hAnsi="方正小标宋简体" w:eastAsia="方正小标宋简体" w:cs="方正小标宋简体"/>
          <w:sz w:val="44"/>
          <w:szCs w:val="44"/>
        </w:rPr>
        <w:t>专项（项目）资金绩效自评报告</w:t>
      </w:r>
      <w:bookmarkEnd w:id="192"/>
      <w:bookmarkEnd w:id="193"/>
    </w:p>
    <w:p>
      <w:pPr>
        <w:spacing w:line="560" w:lineRule="exact"/>
        <w:jc w:val="center"/>
        <w:rPr>
          <w:rFonts w:eastAsia="方正仿宋_GBK"/>
          <w:sz w:val="32"/>
          <w:szCs w:val="32"/>
        </w:rPr>
      </w:pPr>
      <w:r>
        <w:rPr>
          <w:rFonts w:eastAsia="方正仿宋_GBK"/>
          <w:sz w:val="32"/>
          <w:szCs w:val="32"/>
        </w:rPr>
        <w:t>(</w:t>
      </w:r>
      <w:r>
        <w:rPr>
          <w:rFonts w:eastAsia="仿宋_GB2312"/>
          <w:sz w:val="32"/>
          <w:szCs w:val="32"/>
        </w:rPr>
        <w:t>旅游厕所管护资金</w:t>
      </w:r>
      <w:r>
        <w:rPr>
          <w:rFonts w:eastAsia="方正仿宋_GBK"/>
          <w:sz w:val="32"/>
          <w:szCs w:val="32"/>
        </w:rPr>
        <w:t>)</w:t>
      </w:r>
    </w:p>
    <w:p>
      <w:pPr>
        <w:spacing w:line="560" w:lineRule="exact"/>
        <w:ind w:firstLine="640" w:firstLineChars="200"/>
        <w:rPr>
          <w:rFonts w:hint="eastAsia" w:ascii="黑体" w:hAnsi="黑体" w:eastAsia="黑体" w:cs="黑体"/>
          <w:sz w:val="32"/>
          <w:szCs w:val="32"/>
        </w:rPr>
      </w:pPr>
      <w:bookmarkStart w:id="194" w:name="_Toc14060_WPSOffice_Level2"/>
      <w:bookmarkStart w:id="195" w:name="_Toc22571_WPSOffice_Level2"/>
      <w:r>
        <w:rPr>
          <w:rFonts w:hint="eastAsia" w:ascii="黑体" w:hAnsi="黑体" w:eastAsia="黑体" w:cs="黑体"/>
          <w:sz w:val="32"/>
          <w:szCs w:val="32"/>
        </w:rPr>
        <w:t>一、项目概况</w:t>
      </w:r>
      <w:bookmarkEnd w:id="194"/>
      <w:bookmarkEnd w:id="195"/>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（一）项目基本情况。</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1.项目主管单位：盐边县文旅局</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项目主管单位牵头实施项目，编制实施方案，对该资金加强资金管理，确保专款专用，不得挪作他用，提高资金使用绩效。</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项目立项、资金申报的依据。</w:t>
      </w:r>
    </w:p>
    <w:p>
      <w:pPr>
        <w:pStyle w:val="7"/>
        <w:spacing w:line="5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根据盐财资行【2021】278号下达旅游厕所管护资金,主要用于三滩旅游厕所日常管理维护。</w:t>
      </w:r>
    </w:p>
    <w:p>
      <w:pPr>
        <w:pStyle w:val="7"/>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3.资金管理办法制度情况，资金支持具体项目的条件、范围与支持方式概况。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乡严格按照相应的业务管理制度，规范各项经费的开支。资金使用规范，符合国家财经法规和财务管理以及有关专项资金管理的规定。资金的拨付有完整的审批程序和手续；不存在截留、挤占、挪用、虚列支出等情况。保障会计核算准确、财务资料完整。</w:t>
      </w:r>
    </w:p>
    <w:p>
      <w:pPr>
        <w:numPr>
          <w:ilvl w:val="0"/>
          <w:numId w:val="8"/>
        </w:numPr>
        <w:spacing w:line="560" w:lineRule="exact"/>
        <w:ind w:firstLine="321" w:firstLineChars="100"/>
        <w:rPr>
          <w:rFonts w:hint="eastAsia" w:ascii="楷体" w:hAnsi="楷体" w:eastAsia="楷体" w:cs="楷体"/>
          <w:b/>
          <w:bCs/>
          <w:sz w:val="32"/>
          <w:szCs w:val="32"/>
        </w:rPr>
      </w:pPr>
      <w:r>
        <w:rPr>
          <w:rFonts w:hint="eastAsia" w:ascii="楷体" w:hAnsi="楷体" w:eastAsia="楷体" w:cs="楷体"/>
          <w:b/>
          <w:bCs/>
          <w:sz w:val="32"/>
          <w:szCs w:val="32"/>
        </w:rPr>
        <w:t>项目绩效目标。</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1.项目主要内容。</w:t>
      </w:r>
    </w:p>
    <w:p>
      <w:pPr>
        <w:autoSpaceDE w:val="0"/>
        <w:autoSpaceDN w:val="0"/>
        <w:adjustRightIn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三滩旅游厕所日常管理维护</w:t>
      </w:r>
    </w:p>
    <w:p>
      <w:pPr>
        <w:autoSpaceDE w:val="0"/>
        <w:autoSpaceDN w:val="0"/>
        <w:adjustRightInd w:val="0"/>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kern w:val="0"/>
          <w:sz w:val="32"/>
          <w:szCs w:val="32"/>
        </w:rPr>
        <w:t>项目应实现的具体绩效目标，包括目标的量化、细化情况以及项目实施进度计划等。</w:t>
      </w:r>
    </w:p>
    <w:p>
      <w:pPr>
        <w:autoSpaceDE w:val="0"/>
        <w:autoSpaceDN w:val="0"/>
        <w:adjustRightInd w:val="0"/>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保障三滩旅游厕所正常维护运行，提高三滩旅游业形象。提高当地旅游业收入。</w:t>
      </w:r>
    </w:p>
    <w:p>
      <w:pPr>
        <w:numPr>
          <w:ilvl w:val="0"/>
          <w:numId w:val="0"/>
        </w:numPr>
        <w:autoSpaceDE w:val="0"/>
        <w:autoSpaceDN w:val="0"/>
        <w:adjustRightInd w:val="0"/>
        <w:spacing w:line="560" w:lineRule="exact"/>
        <w:ind w:firstLine="643" w:firstLineChars="200"/>
        <w:jc w:val="left"/>
        <w:rPr>
          <w:rFonts w:hint="eastAsia" w:ascii="楷体" w:hAnsi="楷体" w:eastAsia="楷体" w:cs="楷体"/>
          <w:b/>
          <w:bCs/>
          <w:kern w:val="0"/>
          <w:sz w:val="32"/>
          <w:szCs w:val="32"/>
        </w:rPr>
      </w:pPr>
      <w:bookmarkStart w:id="196" w:name="_Toc12173_WPSOffice_Level2"/>
      <w:bookmarkStart w:id="197" w:name="_Toc6988_WPSOffice_Level2"/>
      <w:r>
        <w:rPr>
          <w:rFonts w:hint="eastAsia" w:ascii="楷体" w:hAnsi="楷体" w:eastAsia="楷体" w:cs="楷体"/>
          <w:b/>
          <w:bCs/>
          <w:kern w:val="0"/>
          <w:sz w:val="32"/>
          <w:szCs w:val="32"/>
          <w:lang w:val="en-US" w:eastAsia="zh-CN"/>
        </w:rPr>
        <w:t>二、</w:t>
      </w:r>
      <w:r>
        <w:rPr>
          <w:rFonts w:hint="eastAsia" w:ascii="楷体" w:hAnsi="楷体" w:eastAsia="楷体" w:cs="楷体"/>
          <w:b/>
          <w:bCs/>
          <w:kern w:val="0"/>
          <w:sz w:val="32"/>
          <w:szCs w:val="32"/>
        </w:rPr>
        <w:t>项目资金申报及使用情况</w:t>
      </w:r>
      <w:bookmarkEnd w:id="196"/>
      <w:bookmarkEnd w:id="197"/>
    </w:p>
    <w:p>
      <w:pPr>
        <w:autoSpaceDE w:val="0"/>
        <w:autoSpaceDN w:val="0"/>
        <w:adjustRightIn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首先申报项目，提交实施方案。通过财政预算审批下达该项目资金。</w:t>
      </w:r>
    </w:p>
    <w:p>
      <w:pPr>
        <w:spacing w:line="560" w:lineRule="exact"/>
        <w:rPr>
          <w:rFonts w:hint="eastAsia" w:ascii="黑体" w:hAnsi="黑体" w:eastAsia="黑体" w:cs="黑体"/>
          <w:sz w:val="32"/>
          <w:szCs w:val="32"/>
        </w:rPr>
      </w:pPr>
      <w:r>
        <w:rPr>
          <w:rFonts w:eastAsia="方正仿宋_GBK"/>
          <w:sz w:val="33"/>
          <w:szCs w:val="33"/>
        </w:rPr>
        <w:t xml:space="preserve">   </w:t>
      </w:r>
      <w:r>
        <w:rPr>
          <w:rFonts w:hint="eastAsia" w:ascii="黑体" w:hAnsi="黑体" w:eastAsia="黑体" w:cs="黑体"/>
          <w:sz w:val="32"/>
          <w:szCs w:val="32"/>
        </w:rPr>
        <w:t xml:space="preserve"> </w:t>
      </w:r>
      <w:bookmarkStart w:id="198" w:name="_Toc31324_WPSOffice_Level2"/>
      <w:bookmarkStart w:id="199" w:name="_Toc26513_WPSOffice_Level2"/>
      <w:r>
        <w:rPr>
          <w:rFonts w:hint="eastAsia" w:ascii="黑体" w:hAnsi="黑体" w:eastAsia="黑体" w:cs="黑体"/>
          <w:sz w:val="32"/>
          <w:szCs w:val="32"/>
        </w:rPr>
        <w:t>三、项目资金使用情况</w:t>
      </w:r>
      <w:bookmarkEnd w:id="198"/>
      <w:bookmarkEnd w:id="199"/>
    </w:p>
    <w:p>
      <w:pPr>
        <w:spacing w:line="560" w:lineRule="exact"/>
        <w:ind w:firstLine="643" w:firstLineChars="200"/>
        <w:rPr>
          <w:rFonts w:eastAsia="方正仿宋_GBK"/>
          <w:sz w:val="33"/>
          <w:szCs w:val="33"/>
        </w:rPr>
      </w:pPr>
      <w:r>
        <w:rPr>
          <w:rFonts w:hint="eastAsia" w:ascii="楷体" w:hAnsi="楷体" w:eastAsia="楷体" w:cs="楷体"/>
          <w:b/>
          <w:bCs/>
          <w:sz w:val="32"/>
          <w:szCs w:val="32"/>
        </w:rPr>
        <w:t>（一）资金计划、到位及使用情况</w:t>
      </w:r>
      <w:r>
        <w:rPr>
          <w:rFonts w:eastAsia="方正仿宋_GBK"/>
          <w:sz w:val="33"/>
          <w:szCs w:val="33"/>
        </w:rPr>
        <w:t>。</w:t>
      </w:r>
    </w:p>
    <w:p>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1.资金来源。</w:t>
      </w:r>
    </w:p>
    <w:p>
      <w:pPr>
        <w:spacing w:line="560" w:lineRule="exac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根据盐财资行【2021】281号下达2021年省级民生工程公共图书馆文化馆（站）免费开放县级配套资金，下达资金6000元。</w:t>
      </w:r>
    </w:p>
    <w:p>
      <w:pPr>
        <w:numPr>
          <w:ilvl w:val="0"/>
          <w:numId w:val="0"/>
        </w:num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资金到位。</w:t>
      </w:r>
    </w:p>
    <w:p>
      <w:pPr>
        <w:widowControl/>
        <w:spacing w:line="560" w:lineRule="exact"/>
        <w:ind w:firstLine="64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该资金由2021下达到位。</w:t>
      </w:r>
    </w:p>
    <w:p>
      <w:pPr>
        <w:spacing w:line="560" w:lineRule="exac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3.资金使用。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我乡于2021年，下达该资金</w:t>
      </w:r>
      <w:r>
        <w:rPr>
          <w:rFonts w:hint="eastAsia" w:ascii="仿宋_GB2312" w:hAnsi="仿宋_GB2312" w:eastAsia="仿宋_GB2312" w:cs="仿宋_GB2312"/>
          <w:b/>
          <w:sz w:val="32"/>
          <w:szCs w:val="32"/>
        </w:rPr>
        <w:t>6000元，</w:t>
      </w:r>
      <w:r>
        <w:rPr>
          <w:rFonts w:hint="eastAsia" w:ascii="仿宋_GB2312" w:hAnsi="仿宋_GB2312" w:eastAsia="仿宋_GB2312" w:cs="仿宋_GB2312"/>
          <w:sz w:val="32"/>
          <w:szCs w:val="32"/>
        </w:rPr>
        <w:t>支付该资金6000元，完成支付进度100%。</w:t>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）项目财务管理情况。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乡严格按照相应的财务管理制度，规范各项经费的开支。资金使用规范，符合国家财经法规和财务管理以及有关专项资金管理办公的规定。财务处理及时，会计核算严格按照规定，未出现违规等行为。经自查专项资金的使用无截留、挪用、挤占现象，资金支出范围和程序规范。</w:t>
      </w:r>
    </w:p>
    <w:p>
      <w:pPr>
        <w:spacing w:line="560" w:lineRule="exact"/>
        <w:rPr>
          <w:rFonts w:hint="eastAsia" w:ascii="黑体" w:hAnsi="黑体" w:eastAsia="黑体" w:cs="黑体"/>
          <w:sz w:val="32"/>
          <w:szCs w:val="32"/>
        </w:rPr>
      </w:pPr>
      <w:r>
        <w:rPr>
          <w:rFonts w:eastAsia="方正仿宋_GBK"/>
          <w:sz w:val="33"/>
          <w:szCs w:val="33"/>
        </w:rPr>
        <w:t xml:space="preserve">   </w:t>
      </w:r>
      <w:r>
        <w:rPr>
          <w:rFonts w:hint="eastAsia" w:ascii="黑体" w:hAnsi="黑体" w:eastAsia="黑体" w:cs="黑体"/>
          <w:sz w:val="32"/>
          <w:szCs w:val="32"/>
        </w:rPr>
        <w:t xml:space="preserve">  </w:t>
      </w:r>
      <w:bookmarkStart w:id="200" w:name="_Toc21689_WPSOffice_Level2"/>
      <w:bookmarkStart w:id="201" w:name="_Toc2635_WPSOffice_Level2"/>
      <w:r>
        <w:rPr>
          <w:rFonts w:hint="eastAsia" w:ascii="黑体" w:hAnsi="黑体" w:eastAsia="黑体" w:cs="黑体"/>
          <w:sz w:val="32"/>
          <w:szCs w:val="32"/>
        </w:rPr>
        <w:t>四、项目实施及管理情况</w:t>
      </w:r>
      <w:bookmarkEnd w:id="200"/>
      <w:bookmarkEnd w:id="201"/>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（一）项目组织架构及实施流程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乡政府成立领导小组，由分管领导负责监督，由宣文中心负责实施。</w:t>
      </w:r>
    </w:p>
    <w:p>
      <w:pPr>
        <w:pStyle w:val="36"/>
        <w:numPr>
          <w:ilvl w:val="0"/>
          <w:numId w:val="0"/>
        </w:numPr>
        <w:spacing w:line="560" w:lineRule="exact"/>
        <w:ind w:left="640" w:leftChars="0"/>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项目管理情况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我乡项目均按照项目实施方案要求的进度组织实施，根据质量指标、时效指标和成本指标，对项目进行要求和规范。</w:t>
      </w:r>
    </w:p>
    <w:p>
      <w:pPr>
        <w:pStyle w:val="36"/>
        <w:numPr>
          <w:ilvl w:val="0"/>
          <w:numId w:val="0"/>
        </w:numPr>
        <w:spacing w:line="560" w:lineRule="exact"/>
        <w:ind w:left="640" w:leftChars="0"/>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项目监管情况。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乡做好了项目实施的跟踪检查工作。定期对项目实施情况和经费使用情况进行跟踪检查，对能实现预期绩效目标的项目予以充分肯定，对进展缓慢，预期绩效目标较差的项目，及时进行协调和提出整改措施，确保项目实施工作正常运行，达到预期绩效目标。</w:t>
      </w:r>
    </w:p>
    <w:p>
      <w:pPr>
        <w:spacing w:line="560" w:lineRule="exact"/>
        <w:ind w:firstLine="640" w:firstLineChars="200"/>
        <w:rPr>
          <w:rFonts w:hint="eastAsia" w:ascii="黑体" w:hAnsi="黑体" w:eastAsia="黑体" w:cs="黑体"/>
          <w:sz w:val="32"/>
          <w:szCs w:val="32"/>
        </w:rPr>
      </w:pPr>
      <w:bookmarkStart w:id="202" w:name="_Toc7704_WPSOffice_Level2"/>
      <w:bookmarkStart w:id="203" w:name="_Toc7815_WPSOffice_Level2"/>
      <w:r>
        <w:rPr>
          <w:rFonts w:hint="eastAsia" w:ascii="黑体" w:hAnsi="黑体" w:eastAsia="黑体" w:cs="黑体"/>
          <w:sz w:val="32"/>
          <w:szCs w:val="32"/>
        </w:rPr>
        <w:t>五、项目绩效情况</w:t>
      </w:r>
      <w:bookmarkEnd w:id="202"/>
      <w:bookmarkEnd w:id="203"/>
      <w:r>
        <w:rPr>
          <w:rFonts w:hint="eastAsia" w:ascii="黑体" w:hAnsi="黑体" w:eastAsia="黑体" w:cs="黑体"/>
          <w:sz w:val="32"/>
          <w:szCs w:val="32"/>
        </w:rPr>
        <w:tab/>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（一）项目完成情况。</w:t>
      </w:r>
    </w:p>
    <w:p>
      <w:pPr>
        <w:spacing w:line="560" w:lineRule="exact"/>
        <w:ind w:firstLine="640" w:firstLineChars="200"/>
        <w:rPr>
          <w:rFonts w:eastAsia="方正仿宋_GBK"/>
          <w:sz w:val="33"/>
          <w:szCs w:val="33"/>
        </w:rPr>
      </w:pPr>
      <w:r>
        <w:rPr>
          <w:rFonts w:hint="eastAsia" w:ascii="仿宋_GB2312" w:hAnsi="仿宋_GB2312" w:eastAsia="仿宋_GB2312" w:cs="仿宋_GB2312"/>
          <w:sz w:val="32"/>
          <w:szCs w:val="32"/>
        </w:rPr>
        <w:t>预算安排资金6000元，实际支出6000元，支付进度100%</w:t>
      </w:r>
      <w:r>
        <w:rPr>
          <w:rFonts w:eastAsia="方正仿宋_GBK"/>
          <w:sz w:val="33"/>
          <w:szCs w:val="33"/>
        </w:rPr>
        <w:t>。</w:t>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（二）项目效益情况。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效益指标完成情况。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我乡较好地完成了2021年初设定的工作任务，各项项目得到有序开展。资金拨付达到100%，已完工项目验收率达到100%。</w:t>
      </w:r>
    </w:p>
    <w:p>
      <w:pPr>
        <w:spacing w:line="560" w:lineRule="exact"/>
        <w:ind w:firstLine="640" w:firstLineChars="200"/>
        <w:rPr>
          <w:rFonts w:hint="eastAsia" w:ascii="黑体" w:hAnsi="黑体" w:eastAsia="黑体" w:cs="黑体"/>
          <w:sz w:val="32"/>
          <w:szCs w:val="32"/>
        </w:rPr>
      </w:pPr>
      <w:bookmarkStart w:id="204" w:name="_Toc6617_WPSOffice_Level2"/>
      <w:bookmarkStart w:id="205" w:name="_Toc14262_WPSOffice_Level2"/>
      <w:r>
        <w:rPr>
          <w:rFonts w:hint="eastAsia" w:ascii="黑体" w:hAnsi="黑体" w:eastAsia="黑体" w:cs="黑体"/>
          <w:sz w:val="32"/>
          <w:szCs w:val="32"/>
        </w:rPr>
        <w:t>六、评价结论及建议</w:t>
      </w:r>
      <w:bookmarkEnd w:id="204"/>
      <w:bookmarkEnd w:id="205"/>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（一）评价结论。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我单位根据资金绩效自评表，我乡项目资金6000，实际完成6000元，完成率100%，总体评价良好，对于项目实施到位的项目进行了及时支付。</w:t>
      </w:r>
    </w:p>
    <w:p>
      <w:pPr>
        <w:pStyle w:val="28"/>
        <w:numPr>
          <w:ilvl w:val="0"/>
          <w:numId w:val="9"/>
        </w:numPr>
        <w:spacing w:line="560" w:lineRule="exact"/>
        <w:ind w:firstLineChars="0"/>
        <w:rPr>
          <w:rFonts w:hint="eastAsia" w:ascii="楷体" w:hAnsi="楷体" w:eastAsia="楷体" w:cs="楷体"/>
          <w:b/>
          <w:bCs/>
          <w:sz w:val="32"/>
          <w:szCs w:val="32"/>
        </w:rPr>
      </w:pPr>
      <w:r>
        <w:rPr>
          <w:rFonts w:hint="eastAsia" w:ascii="楷体" w:hAnsi="楷体" w:eastAsia="楷体" w:cs="楷体"/>
          <w:b/>
          <w:bCs/>
          <w:sz w:val="32"/>
          <w:szCs w:val="32"/>
        </w:rPr>
        <w:t>存在的问题。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pStyle w:val="36"/>
        <w:spacing w:line="560" w:lineRule="exact"/>
        <w:ind w:left="640" w:firstLine="0" w:firstLineChars="0"/>
        <w:rPr>
          <w:rFonts w:hint="eastAsia" w:ascii="楷体" w:hAnsi="楷体" w:eastAsia="楷体" w:cs="楷体"/>
          <w:b/>
          <w:bCs/>
          <w:sz w:val="32"/>
          <w:szCs w:val="32"/>
        </w:rPr>
      </w:pPr>
      <w:r>
        <w:rPr>
          <w:rFonts w:hint="eastAsia" w:ascii="楷体" w:hAnsi="楷体" w:eastAsia="楷体" w:cs="楷体"/>
          <w:b/>
          <w:bCs/>
          <w:sz w:val="32"/>
          <w:szCs w:val="32"/>
        </w:rPr>
        <w:t>（三）相关建议。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560" w:lineRule="exact"/>
        <w:rPr>
          <w:rFonts w:eastAsia="方正仿宋_GBK"/>
          <w:sz w:val="32"/>
          <w:szCs w:val="32"/>
        </w:rPr>
      </w:pPr>
    </w:p>
    <w:p>
      <w:pPr>
        <w:spacing w:line="640" w:lineRule="exact"/>
        <w:jc w:val="center"/>
        <w:rPr>
          <w:rFonts w:ascii="方正小标宋_GBK" w:hAnsi="黑体" w:eastAsia="方正小标宋_GBK" w:cs="黑体"/>
          <w:sz w:val="36"/>
          <w:szCs w:val="36"/>
        </w:rPr>
      </w:pPr>
    </w:p>
    <w:p>
      <w:pPr>
        <w:spacing w:line="640" w:lineRule="exact"/>
        <w:jc w:val="center"/>
        <w:rPr>
          <w:rFonts w:ascii="方正小标宋_GBK" w:hAnsi="黑体" w:eastAsia="方正小标宋_GBK" w:cs="黑体"/>
          <w:sz w:val="36"/>
          <w:szCs w:val="36"/>
        </w:rPr>
      </w:pPr>
    </w:p>
    <w:p>
      <w:pPr>
        <w:spacing w:line="640" w:lineRule="exact"/>
        <w:jc w:val="center"/>
        <w:rPr>
          <w:rFonts w:ascii="方正小标宋_GBK" w:hAnsi="黑体" w:eastAsia="方正小标宋_GBK" w:cs="黑体"/>
          <w:sz w:val="36"/>
          <w:szCs w:val="36"/>
        </w:rPr>
      </w:pPr>
    </w:p>
    <w:p>
      <w:pPr>
        <w:spacing w:line="640" w:lineRule="exact"/>
        <w:jc w:val="center"/>
        <w:rPr>
          <w:rFonts w:ascii="方正小标宋_GBK" w:hAnsi="黑体" w:eastAsia="方正小标宋_GBK" w:cs="黑体"/>
          <w:sz w:val="36"/>
          <w:szCs w:val="36"/>
        </w:rPr>
      </w:pPr>
    </w:p>
    <w:p>
      <w:pPr>
        <w:spacing w:line="640" w:lineRule="exact"/>
        <w:jc w:val="center"/>
        <w:rPr>
          <w:rFonts w:ascii="方正小标宋_GBK" w:hAnsi="黑体" w:eastAsia="方正小标宋_GBK" w:cs="黑体"/>
          <w:sz w:val="36"/>
          <w:szCs w:val="36"/>
        </w:rPr>
      </w:pPr>
    </w:p>
    <w:p>
      <w:pPr>
        <w:spacing w:line="640" w:lineRule="exact"/>
        <w:jc w:val="center"/>
        <w:rPr>
          <w:rFonts w:ascii="方正小标宋_GBK" w:hAnsi="黑体" w:eastAsia="方正小标宋_GBK" w:cs="黑体"/>
          <w:sz w:val="36"/>
          <w:szCs w:val="36"/>
        </w:rPr>
      </w:pPr>
    </w:p>
    <w:p>
      <w:pPr>
        <w:spacing w:line="640" w:lineRule="exact"/>
        <w:jc w:val="center"/>
        <w:rPr>
          <w:rFonts w:ascii="方正小标宋_GBK" w:hAnsi="黑体" w:eastAsia="方正小标宋_GBK" w:cs="黑体"/>
          <w:sz w:val="36"/>
          <w:szCs w:val="36"/>
        </w:rPr>
      </w:pPr>
    </w:p>
    <w:p>
      <w:pPr>
        <w:spacing w:line="640" w:lineRule="exact"/>
        <w:jc w:val="center"/>
        <w:rPr>
          <w:rFonts w:ascii="方正小标宋_GBK" w:hAnsi="黑体" w:eastAsia="方正小标宋_GBK" w:cs="黑体"/>
          <w:sz w:val="36"/>
          <w:szCs w:val="36"/>
        </w:rPr>
      </w:pPr>
    </w:p>
    <w:p>
      <w:pPr>
        <w:spacing w:line="640" w:lineRule="exact"/>
        <w:jc w:val="center"/>
        <w:rPr>
          <w:rFonts w:ascii="方正小标宋_GBK" w:hAnsi="黑体" w:eastAsia="方正小标宋_GBK" w:cs="黑体"/>
          <w:sz w:val="36"/>
          <w:szCs w:val="36"/>
        </w:rPr>
      </w:pPr>
    </w:p>
    <w:p>
      <w:pPr>
        <w:spacing w:line="640" w:lineRule="exact"/>
        <w:jc w:val="center"/>
        <w:rPr>
          <w:rFonts w:ascii="方正小标宋_GBK" w:hAnsi="黑体" w:eastAsia="方正小标宋_GBK" w:cs="黑体"/>
          <w:sz w:val="36"/>
          <w:szCs w:val="36"/>
        </w:rPr>
      </w:pPr>
    </w:p>
    <w:p>
      <w:pPr>
        <w:spacing w:line="640" w:lineRule="exact"/>
        <w:jc w:val="center"/>
        <w:rPr>
          <w:rFonts w:ascii="方正小标宋_GBK" w:hAnsi="黑体" w:eastAsia="方正小标宋_GBK" w:cs="黑体"/>
          <w:sz w:val="36"/>
          <w:szCs w:val="36"/>
        </w:rPr>
      </w:pPr>
    </w:p>
    <w:p>
      <w:pPr>
        <w:pStyle w:val="2"/>
      </w:pPr>
    </w:p>
    <w:p/>
    <w:p>
      <w:pPr>
        <w:pStyle w:val="2"/>
      </w:pPr>
    </w:p>
    <w:p/>
    <w:p>
      <w:pPr>
        <w:pStyle w:val="2"/>
      </w:pPr>
    </w:p>
    <w:p>
      <w:pPr>
        <w:spacing w:line="640" w:lineRule="exact"/>
        <w:jc w:val="center"/>
        <w:rPr>
          <w:rFonts w:ascii="方正小标宋_GBK" w:hAnsi="黑体" w:eastAsia="方正小标宋_GBK" w:cs="黑体"/>
          <w:sz w:val="36"/>
          <w:szCs w:val="36"/>
        </w:rPr>
      </w:pPr>
    </w:p>
    <w:p>
      <w:pPr>
        <w:spacing w:line="640" w:lineRule="exact"/>
        <w:jc w:val="center"/>
        <w:rPr>
          <w:rFonts w:ascii="方正小标宋_GBK" w:hAnsi="黑体" w:eastAsia="方正小标宋_GBK" w:cs="黑体"/>
          <w:sz w:val="36"/>
          <w:szCs w:val="36"/>
        </w:rPr>
      </w:pPr>
    </w:p>
    <w:p>
      <w:pPr>
        <w:spacing w:line="640" w:lineRule="exact"/>
        <w:jc w:val="center"/>
        <w:rPr>
          <w:rFonts w:hint="eastAsia" w:ascii="方正小标宋简体" w:hAnsi="方正小标宋简体" w:eastAsia="方正小标宋简体" w:cs="方正小标宋简体"/>
          <w:sz w:val="44"/>
          <w:szCs w:val="44"/>
        </w:rPr>
      </w:pPr>
      <w:bookmarkStart w:id="206" w:name="_Toc18706_WPSOffice_Level2"/>
      <w:bookmarkStart w:id="207" w:name="_Toc15179_WPSOffice_Level2"/>
      <w:r>
        <w:rPr>
          <w:rFonts w:hint="eastAsia" w:ascii="方正小标宋简体" w:hAnsi="方正小标宋简体" w:eastAsia="方正小标宋简体" w:cs="方正小标宋简体"/>
          <w:sz w:val="44"/>
          <w:szCs w:val="44"/>
        </w:rPr>
        <w:t>盐边县红果彝族乡人民政府</w:t>
      </w:r>
      <w:bookmarkEnd w:id="206"/>
      <w:bookmarkEnd w:id="207"/>
    </w:p>
    <w:p>
      <w:pPr>
        <w:pStyle w:val="10"/>
        <w:spacing w:line="600" w:lineRule="exact"/>
        <w:ind w:firstLine="880" w:firstLineChars="200"/>
        <w:jc w:val="center"/>
        <w:rPr>
          <w:rFonts w:hint="eastAsia" w:ascii="方正小标宋简体" w:hAnsi="方正小标宋简体" w:eastAsia="方正小标宋简体" w:cs="方正小标宋简体"/>
          <w:sz w:val="44"/>
          <w:szCs w:val="44"/>
        </w:rPr>
      </w:pPr>
      <w:bookmarkStart w:id="208" w:name="_Toc10819_WPSOffice_Level2"/>
      <w:bookmarkStart w:id="209" w:name="_Toc31801_WPSOffice_Level2"/>
      <w:r>
        <w:rPr>
          <w:rFonts w:hint="eastAsia" w:ascii="方正小标宋简体" w:hAnsi="方正小标宋简体" w:eastAsia="方正小标宋简体" w:cs="方正小标宋简体"/>
          <w:sz w:val="44"/>
          <w:szCs w:val="44"/>
        </w:rPr>
        <w:t>专项（项目）资金绩效自评报告</w:t>
      </w:r>
      <w:bookmarkEnd w:id="208"/>
      <w:bookmarkEnd w:id="209"/>
    </w:p>
    <w:p>
      <w:pPr>
        <w:spacing w:line="560" w:lineRule="exact"/>
        <w:jc w:val="center"/>
        <w:rPr>
          <w:rFonts w:hint="eastAsia" w:ascii="仿宋_GB2312" w:hAnsi="仿宋_GB2312" w:eastAsia="仿宋_GB2312" w:cs="仿宋_GB2312"/>
          <w:sz w:val="32"/>
          <w:szCs w:val="32"/>
        </w:rPr>
      </w:pPr>
      <w:r>
        <w:rPr>
          <w:rFonts w:hint="eastAsia" w:ascii="方正小标宋_GBK" w:hAnsi="黑体" w:eastAsia="方正小标宋_GBK" w:cs="黑体"/>
          <w:sz w:val="36"/>
          <w:szCs w:val="36"/>
        </w:rPr>
        <w:t xml:space="preserve">  </w:t>
      </w:r>
      <w:r>
        <w:rPr>
          <w:rFonts w:hint="eastAsia" w:ascii="仿宋_GB2312" w:hAnsi="仿宋_GB2312" w:eastAsia="仿宋_GB2312" w:cs="仿宋_GB2312"/>
          <w:sz w:val="32"/>
          <w:szCs w:val="32"/>
        </w:rPr>
        <w:t xml:space="preserve">  (乡镇应急和安全监管补助经费)</w:t>
      </w:r>
    </w:p>
    <w:p>
      <w:pPr>
        <w:spacing w:line="560" w:lineRule="exact"/>
        <w:rPr>
          <w:rFonts w:hint="eastAsia" w:ascii="黑体" w:hAnsi="黑体" w:eastAsia="黑体" w:cs="黑体"/>
          <w:sz w:val="32"/>
          <w:szCs w:val="32"/>
        </w:rPr>
      </w:pPr>
      <w:r>
        <w:rPr>
          <w:rFonts w:eastAsia="方正仿宋_GBK"/>
          <w:sz w:val="33"/>
          <w:szCs w:val="33"/>
        </w:rPr>
        <w:t xml:space="preserve">    </w:t>
      </w:r>
      <w:r>
        <w:rPr>
          <w:rFonts w:hint="eastAsia" w:ascii="黑体" w:hAnsi="黑体" w:eastAsia="黑体" w:cs="黑体"/>
          <w:sz w:val="32"/>
          <w:szCs w:val="32"/>
        </w:rPr>
        <w:t xml:space="preserve"> </w:t>
      </w:r>
      <w:bookmarkStart w:id="210" w:name="_Toc28445_WPSOffice_Level2"/>
      <w:bookmarkStart w:id="211" w:name="_Toc29504_WPSOffice_Level2"/>
      <w:r>
        <w:rPr>
          <w:rFonts w:hint="eastAsia" w:ascii="黑体" w:hAnsi="黑体" w:eastAsia="黑体" w:cs="黑体"/>
          <w:sz w:val="32"/>
          <w:szCs w:val="32"/>
        </w:rPr>
        <w:t>一、项目概况</w:t>
      </w:r>
      <w:bookmarkEnd w:id="210"/>
      <w:bookmarkEnd w:id="211"/>
    </w:p>
    <w:p>
      <w:pPr>
        <w:spacing w:line="560"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（一）项目基本情况。</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1.项目主管单位：盐边县应急管理局</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项目主管单位牵头实施项目，编制实施方案，对该资金加强资金管理，确保专款专用，不得挪作他用，提高资金使用绩效。</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项目立项、资金申报的依据。</w:t>
      </w:r>
    </w:p>
    <w:p>
      <w:pPr>
        <w:pStyle w:val="7"/>
        <w:spacing w:line="5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根据盐财资建【2021】153号下达2021年乡镇应急和安全监管补助经费，用于保障汛期道路，水上交通安全得到及时清理维护，煤矿安全、应急救援，确保生产安全，提高我乡应急安全能力。</w:t>
      </w:r>
    </w:p>
    <w:p>
      <w:pPr>
        <w:pStyle w:val="7"/>
        <w:spacing w:line="5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3.资金管理办法制度情况，资金支持具体项目的条件、范围与支持方式概况。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乡严格按照相应的业务管理制度，规范各项经费的开支。资金使用规范，符合国家财经法规和财务管理以及有关专项资金管理的规定。资金的拨付有完整的审批程序和手续；不存在截留、挤占、挪用、虚列支出等情况。保障会计核算准确、财务资料完整。</w:t>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（二）项目绩效目标。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1.项目主要内容。</w:t>
      </w:r>
    </w:p>
    <w:p>
      <w:pPr>
        <w:pStyle w:val="7"/>
        <w:spacing w:line="5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用于煤矿、消防、森防、防灾减灾、应急救援、道路交通安全。</w:t>
      </w:r>
    </w:p>
    <w:p>
      <w:pPr>
        <w:autoSpaceDE w:val="0"/>
        <w:autoSpaceDN w:val="0"/>
        <w:adjustRightInd w:val="0"/>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2.项目应实现的具体绩效目标，包括目标的量化、细化情况以及项目实施进度计划等。</w:t>
      </w:r>
    </w:p>
    <w:p>
      <w:pPr>
        <w:pStyle w:val="7"/>
        <w:spacing w:line="5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确保生产安全，提高我乡应急安全能力。</w:t>
      </w:r>
    </w:p>
    <w:p>
      <w:pPr>
        <w:autoSpaceDE w:val="0"/>
        <w:autoSpaceDN w:val="0"/>
        <w:adjustRightInd w:val="0"/>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3.项目资金申报及使用情况</w:t>
      </w:r>
    </w:p>
    <w:p>
      <w:pPr>
        <w:autoSpaceDE w:val="0"/>
        <w:autoSpaceDN w:val="0"/>
        <w:adjustRightInd w:val="0"/>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首先申报项目，提交实施方案。通过财政预算审批下达该项目资金。</w:t>
      </w:r>
    </w:p>
    <w:p>
      <w:pPr>
        <w:spacing w:line="560" w:lineRule="exact"/>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w:t>
      </w:r>
      <w:bookmarkStart w:id="212" w:name="_Toc2104_WPSOffice_Level2"/>
      <w:bookmarkStart w:id="213" w:name="_Toc18982_WPSOffice_Level2"/>
      <w:r>
        <w:rPr>
          <w:rFonts w:hint="eastAsia" w:ascii="黑体" w:hAnsi="黑体" w:eastAsia="黑体" w:cs="黑体"/>
          <w:sz w:val="32"/>
          <w:szCs w:val="32"/>
          <w:lang w:val="en-US" w:eastAsia="zh-CN"/>
        </w:rPr>
        <w:t>二</w:t>
      </w:r>
      <w:r>
        <w:rPr>
          <w:rFonts w:hint="eastAsia" w:ascii="黑体" w:hAnsi="黑体" w:eastAsia="黑体" w:cs="黑体"/>
          <w:sz w:val="32"/>
          <w:szCs w:val="32"/>
        </w:rPr>
        <w:t>、项目资金使用情况</w:t>
      </w:r>
      <w:bookmarkEnd w:id="212"/>
      <w:bookmarkEnd w:id="213"/>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（一）资金计划、到位及使用情况。</w:t>
      </w:r>
    </w:p>
    <w:p>
      <w:pPr>
        <w:spacing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1.资金来源。</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根据盐财资建【2021】153号下达2021年乡镇应急和安全监管补助经费,下达资金200000元。</w:t>
      </w:r>
    </w:p>
    <w:p>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资金到位。</w:t>
      </w:r>
    </w:p>
    <w:p>
      <w:pPr>
        <w:widowControl/>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该资金由2021下达到位。</w:t>
      </w:r>
    </w:p>
    <w:p>
      <w:pPr>
        <w:spacing w:line="560" w:lineRule="exact"/>
        <w:rPr>
          <w:rFonts w:hint="eastAsia" w:ascii="仿宋_GB2312" w:hAnsi="仿宋_GB2312" w:eastAsia="仿宋_GB2312" w:cs="仿宋_GB2312"/>
          <w:b w:val="0"/>
          <w:bCs/>
          <w:sz w:val="32"/>
          <w:szCs w:val="32"/>
        </w:rPr>
      </w:pP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 w:val="0"/>
          <w:bCs/>
          <w:sz w:val="32"/>
          <w:szCs w:val="32"/>
        </w:rPr>
        <w:t xml:space="preserve">   3.资金使用。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我乡于2021年，下达该资金200000</w:t>
      </w:r>
      <w:r>
        <w:rPr>
          <w:rFonts w:hint="eastAsia" w:ascii="仿宋_GB2312" w:hAnsi="仿宋_GB2312" w:eastAsia="仿宋_GB2312" w:cs="仿宋_GB2312"/>
          <w:b/>
          <w:sz w:val="32"/>
          <w:szCs w:val="32"/>
        </w:rPr>
        <w:t>元，</w:t>
      </w:r>
      <w:r>
        <w:rPr>
          <w:rFonts w:hint="eastAsia" w:ascii="仿宋_GB2312" w:hAnsi="仿宋_GB2312" w:eastAsia="仿宋_GB2312" w:cs="仿宋_GB2312"/>
          <w:sz w:val="32"/>
          <w:szCs w:val="32"/>
        </w:rPr>
        <w:t>支付该资金200000元，完成支付进度100%。</w:t>
      </w:r>
    </w:p>
    <w:p>
      <w:pPr>
        <w:spacing w:line="560"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）项目财务管理情况。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乡严格按照相应的财务管理制度，规范各项经费的开支。资金使用规范，符合国家财经法规和财务管理以及有关专项资金管理办公的规定。财务处理及时，会计核算严格按照规定，未出现违规等行为。经自查专项资金的使用无截留、挪用、挤占现象，资金支出范围和程序规范。</w:t>
      </w:r>
    </w:p>
    <w:p>
      <w:pPr>
        <w:spacing w:line="560" w:lineRule="exact"/>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w:t>
      </w:r>
      <w:bookmarkStart w:id="214" w:name="_Toc2356_WPSOffice_Level2"/>
      <w:bookmarkStart w:id="215" w:name="_Toc28446_WPSOffice_Level2"/>
      <w:r>
        <w:rPr>
          <w:rFonts w:hint="eastAsia" w:ascii="黑体" w:hAnsi="黑体" w:eastAsia="黑体" w:cs="黑体"/>
          <w:sz w:val="32"/>
          <w:szCs w:val="32"/>
          <w:lang w:val="en-US" w:eastAsia="zh-CN"/>
        </w:rPr>
        <w:t>三</w:t>
      </w:r>
      <w:r>
        <w:rPr>
          <w:rFonts w:hint="eastAsia" w:ascii="黑体" w:hAnsi="黑体" w:eastAsia="黑体" w:cs="黑体"/>
          <w:sz w:val="32"/>
          <w:szCs w:val="32"/>
        </w:rPr>
        <w:t>、项目实施及管理情况</w:t>
      </w:r>
      <w:bookmarkEnd w:id="214"/>
      <w:bookmarkEnd w:id="215"/>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（一）项目组织架构及实施流程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乡政府成立领导小组，由分管领导负责监督，由蒿枝坪村组织负责实施。</w:t>
      </w:r>
    </w:p>
    <w:p>
      <w:pPr>
        <w:pStyle w:val="36"/>
        <w:numPr>
          <w:ilvl w:val="0"/>
          <w:numId w:val="0"/>
        </w:numPr>
        <w:spacing w:line="560" w:lineRule="exact"/>
        <w:ind w:left="640" w:leftChars="0"/>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项目管理情况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我乡项目均按照项目实施方案要求的进度组织实施，根据质量指标、时效指标和成本指标，对项目进行要求和规范。</w:t>
      </w:r>
    </w:p>
    <w:p>
      <w:pPr>
        <w:pStyle w:val="36"/>
        <w:numPr>
          <w:ilvl w:val="0"/>
          <w:numId w:val="0"/>
        </w:numPr>
        <w:spacing w:line="560" w:lineRule="exact"/>
        <w:ind w:left="630" w:leftChars="0"/>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项目监管情况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乡做好了项目实施的跟踪检查工作。定期对项目实施情况和经费使用情况进行跟踪检查，对能实现预期绩效目标的项目予以充分肯定，对进展缓慢，预期绩效目标较差的项目，及时进行协调和提出整改措施，确保项目实施工作正常运行，达到预期绩效目标。</w:t>
      </w:r>
    </w:p>
    <w:p>
      <w:pPr>
        <w:spacing w:line="560" w:lineRule="exact"/>
        <w:ind w:firstLine="640" w:firstLineChars="200"/>
        <w:rPr>
          <w:rFonts w:hint="eastAsia" w:ascii="黑体" w:hAnsi="黑体" w:eastAsia="黑体" w:cs="黑体"/>
          <w:sz w:val="32"/>
          <w:szCs w:val="32"/>
        </w:rPr>
      </w:pPr>
      <w:bookmarkStart w:id="216" w:name="_Toc22967_WPSOffice_Level2"/>
      <w:bookmarkStart w:id="217" w:name="_Toc10299_WPSOffice_Level2"/>
      <w:r>
        <w:rPr>
          <w:rFonts w:hint="eastAsia" w:ascii="黑体" w:hAnsi="黑体" w:eastAsia="黑体" w:cs="黑体"/>
          <w:sz w:val="32"/>
          <w:szCs w:val="32"/>
          <w:lang w:val="en-US" w:eastAsia="zh-CN"/>
        </w:rPr>
        <w:t>四</w:t>
      </w:r>
      <w:r>
        <w:rPr>
          <w:rFonts w:hint="eastAsia" w:ascii="黑体" w:hAnsi="黑体" w:eastAsia="黑体" w:cs="黑体"/>
          <w:sz w:val="32"/>
          <w:szCs w:val="32"/>
        </w:rPr>
        <w:t>、项目绩效情况</w:t>
      </w:r>
      <w:bookmarkEnd w:id="216"/>
      <w:bookmarkEnd w:id="217"/>
      <w:r>
        <w:rPr>
          <w:rFonts w:hint="eastAsia" w:ascii="黑体" w:hAnsi="黑体" w:eastAsia="黑体" w:cs="黑体"/>
          <w:sz w:val="32"/>
          <w:szCs w:val="32"/>
        </w:rPr>
        <w:tab/>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（一）项目完成情况。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预算安排资金200000元，实际支出200000元，支付进度100%。</w:t>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（二）项目效益情况。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我乡较好地完成了2021年初设定的工作任务，各项项目得到有序开展。资金拨付达到100%，已完工项目验收率达到100%。</w:t>
      </w:r>
    </w:p>
    <w:p>
      <w:pPr>
        <w:spacing w:line="560" w:lineRule="exact"/>
        <w:ind w:firstLine="640" w:firstLineChars="200"/>
        <w:rPr>
          <w:rFonts w:hint="eastAsia" w:ascii="黑体" w:hAnsi="黑体" w:eastAsia="黑体" w:cs="黑体"/>
          <w:sz w:val="32"/>
          <w:szCs w:val="32"/>
        </w:rPr>
      </w:pPr>
      <w:bookmarkStart w:id="218" w:name="_Toc26157_WPSOffice_Level2"/>
      <w:bookmarkStart w:id="219" w:name="_Toc29787_WPSOffice_Level2"/>
      <w:r>
        <w:rPr>
          <w:rFonts w:hint="eastAsia" w:ascii="黑体" w:hAnsi="黑体" w:eastAsia="黑体" w:cs="黑体"/>
          <w:sz w:val="32"/>
          <w:szCs w:val="32"/>
          <w:lang w:val="en-US" w:eastAsia="zh-CN"/>
        </w:rPr>
        <w:t>五</w:t>
      </w:r>
      <w:r>
        <w:rPr>
          <w:rFonts w:hint="eastAsia" w:ascii="黑体" w:hAnsi="黑体" w:eastAsia="黑体" w:cs="黑体"/>
          <w:sz w:val="32"/>
          <w:szCs w:val="32"/>
        </w:rPr>
        <w:t>、评价结论及建议</w:t>
      </w:r>
      <w:bookmarkEnd w:id="218"/>
      <w:bookmarkEnd w:id="219"/>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（一）评价结论。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我单位根据资金绩效自评表，我乡项目资金200000，实际完成200000元，完成率100%，总体评价良好，对于项目实施到位的项目进行了及时支付。</w:t>
      </w:r>
    </w:p>
    <w:p>
      <w:pPr>
        <w:pStyle w:val="28"/>
        <w:numPr>
          <w:ilvl w:val="0"/>
          <w:numId w:val="0"/>
        </w:numPr>
        <w:spacing w:line="560" w:lineRule="exact"/>
        <w:ind w:left="660" w:leftChars="0"/>
        <w:rPr>
          <w:rFonts w:hint="eastAsia" w:ascii="仿宋_GB2312" w:hAnsi="仿宋_GB2312" w:eastAsia="仿宋_GB2312" w:cs="仿宋_GB2312"/>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存在的问题</w:t>
      </w:r>
      <w:r>
        <w:rPr>
          <w:rFonts w:hint="eastAsia" w:ascii="仿宋_GB2312" w:hAnsi="仿宋_GB2312" w:eastAsia="仿宋_GB2312" w:cs="仿宋_GB2312"/>
          <w:sz w:val="32"/>
          <w:szCs w:val="32"/>
        </w:rPr>
        <w:t>。</w:t>
      </w:r>
    </w:p>
    <w:p>
      <w:pPr>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pStyle w:val="36"/>
        <w:spacing w:line="560" w:lineRule="exact"/>
        <w:ind w:left="640" w:firstLine="0" w:firstLineChars="0"/>
        <w:rPr>
          <w:rFonts w:hint="eastAsia" w:ascii="楷体" w:hAnsi="楷体" w:eastAsia="楷体" w:cs="楷体"/>
          <w:b/>
          <w:bCs/>
          <w:sz w:val="32"/>
          <w:szCs w:val="32"/>
        </w:rPr>
      </w:pPr>
      <w:r>
        <w:rPr>
          <w:rFonts w:hint="eastAsia" w:ascii="楷体" w:hAnsi="楷体" w:eastAsia="楷体" w:cs="楷体"/>
          <w:b/>
          <w:bCs/>
          <w:sz w:val="32"/>
          <w:szCs w:val="32"/>
        </w:rPr>
        <w:t>（三）相关建议。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spacing w:line="640" w:lineRule="exact"/>
        <w:jc w:val="center"/>
        <w:rPr>
          <w:rFonts w:hint="eastAsia" w:ascii="仿宋_GB2312" w:hAnsi="仿宋_GB2312" w:eastAsia="仿宋_GB2312" w:cs="仿宋_GB2312"/>
          <w:sz w:val="32"/>
          <w:szCs w:val="32"/>
          <w:lang w:val="zh-CN"/>
        </w:rPr>
      </w:pPr>
    </w:p>
    <w:p>
      <w:pPr>
        <w:pStyle w:val="8"/>
        <w:spacing w:before="93"/>
        <w:rPr>
          <w:rFonts w:hint="eastAsia" w:ascii="仿宋_GB2312" w:hAnsi="仿宋_GB2312" w:eastAsia="仿宋_GB2312" w:cs="仿宋_GB2312"/>
          <w:sz w:val="32"/>
          <w:szCs w:val="32"/>
          <w:lang w:val="zh-CN"/>
        </w:rPr>
      </w:pPr>
    </w:p>
    <w:p>
      <w:pPr>
        <w:pStyle w:val="8"/>
        <w:spacing w:before="93"/>
        <w:rPr>
          <w:rFonts w:hint="eastAsia" w:ascii="仿宋_GB2312" w:hAnsi="仿宋_GB2312" w:eastAsia="仿宋_GB2312" w:cs="仿宋_GB2312"/>
          <w:sz w:val="32"/>
          <w:szCs w:val="32"/>
          <w:lang w:val="zh-CN"/>
        </w:rPr>
      </w:pPr>
    </w:p>
    <w:p>
      <w:pPr>
        <w:pStyle w:val="8"/>
        <w:spacing w:before="93"/>
        <w:rPr>
          <w:rFonts w:hint="eastAsia" w:ascii="仿宋_GB2312" w:hAnsi="仿宋_GB2312" w:eastAsia="仿宋_GB2312" w:cs="仿宋_GB2312"/>
          <w:sz w:val="32"/>
          <w:szCs w:val="32"/>
          <w:lang w:val="zh-CN"/>
        </w:rPr>
      </w:pPr>
    </w:p>
    <w:p>
      <w:pPr>
        <w:pStyle w:val="8"/>
        <w:spacing w:beforeLines="0"/>
        <w:rPr>
          <w:rFonts w:hint="eastAsia" w:ascii="仿宋_GB2312" w:hAnsi="仿宋_GB2312" w:eastAsia="仿宋_GB2312" w:cs="仿宋_GB2312"/>
          <w:sz w:val="32"/>
          <w:szCs w:val="32"/>
          <w:lang w:val="zh-CN"/>
        </w:rPr>
      </w:pPr>
    </w:p>
    <w:p>
      <w:pPr>
        <w:pStyle w:val="8"/>
        <w:spacing w:beforeLines="0"/>
        <w:rPr>
          <w:rFonts w:hint="eastAsia" w:ascii="仿宋_GB2312" w:hAnsi="仿宋_GB2312" w:eastAsia="仿宋_GB2312" w:cs="仿宋_GB2312"/>
          <w:sz w:val="32"/>
          <w:szCs w:val="32"/>
          <w:lang w:val="zh-CN"/>
        </w:rPr>
      </w:pPr>
    </w:p>
    <w:p>
      <w:pPr>
        <w:pStyle w:val="8"/>
        <w:spacing w:beforeLines="0"/>
        <w:rPr>
          <w:rFonts w:hint="eastAsia" w:ascii="仿宋_GB2312" w:hAnsi="仿宋_GB2312" w:eastAsia="仿宋_GB2312" w:cs="仿宋_GB2312"/>
          <w:sz w:val="32"/>
          <w:szCs w:val="32"/>
          <w:lang w:val="zh-CN"/>
        </w:rPr>
      </w:pPr>
    </w:p>
    <w:p>
      <w:pPr>
        <w:pStyle w:val="8"/>
        <w:spacing w:beforeLines="0"/>
        <w:rPr>
          <w:rFonts w:hint="eastAsia" w:ascii="仿宋_GB2312" w:hAnsi="仿宋_GB2312" w:eastAsia="仿宋_GB2312" w:cs="仿宋_GB2312"/>
          <w:sz w:val="32"/>
          <w:szCs w:val="32"/>
          <w:lang w:val="zh-CN"/>
        </w:rPr>
      </w:pPr>
    </w:p>
    <w:p>
      <w:pPr>
        <w:pStyle w:val="8"/>
        <w:spacing w:beforeLines="0"/>
        <w:rPr>
          <w:rFonts w:hint="eastAsia" w:ascii="仿宋_GB2312" w:hAnsi="仿宋_GB2312" w:eastAsia="仿宋_GB2312" w:cs="仿宋_GB2312"/>
          <w:sz w:val="32"/>
          <w:szCs w:val="32"/>
          <w:lang w:val="zh-CN"/>
        </w:rPr>
      </w:pPr>
    </w:p>
    <w:p>
      <w:pPr>
        <w:pStyle w:val="8"/>
        <w:spacing w:beforeLines="0"/>
        <w:rPr>
          <w:rFonts w:hint="eastAsia" w:ascii="仿宋_GB2312" w:hAnsi="仿宋_GB2312" w:eastAsia="仿宋_GB2312" w:cs="仿宋_GB2312"/>
          <w:sz w:val="32"/>
          <w:szCs w:val="32"/>
          <w:lang w:val="zh-CN"/>
        </w:rPr>
      </w:pPr>
    </w:p>
    <w:p>
      <w:pPr>
        <w:pStyle w:val="8"/>
        <w:spacing w:beforeLines="0"/>
        <w:rPr>
          <w:rFonts w:hint="eastAsia" w:ascii="仿宋_GB2312" w:hAnsi="仿宋_GB2312" w:eastAsia="仿宋_GB2312" w:cs="仿宋_GB2312"/>
          <w:sz w:val="32"/>
          <w:szCs w:val="32"/>
          <w:lang w:val="zh-CN"/>
        </w:rPr>
      </w:pPr>
    </w:p>
    <w:tbl>
      <w:tblPr>
        <w:tblStyle w:val="16"/>
        <w:tblpPr w:leftFromText="180" w:rightFromText="180" w:vertAnchor="text" w:horzAnchor="page" w:tblpXSpec="center" w:tblpY="423"/>
        <w:tblOverlap w:val="never"/>
        <w:tblW w:w="10498" w:type="dxa"/>
        <w:jc w:val="center"/>
        <w:tblLayout w:type="fixed"/>
        <w:tblCellMar>
          <w:top w:w="0" w:type="dxa"/>
          <w:left w:w="0" w:type="dxa"/>
          <w:bottom w:w="0" w:type="dxa"/>
          <w:right w:w="0" w:type="dxa"/>
        </w:tblCellMar>
      </w:tblPr>
      <w:tblGrid>
        <w:gridCol w:w="928"/>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10498" w:type="dxa"/>
            <w:gridSpan w:val="6"/>
            <w:tcBorders>
              <w:top w:val="nil"/>
              <w:left w:val="nil"/>
              <w:bottom w:val="nil"/>
              <w:right w:val="nil"/>
            </w:tcBorders>
            <w:tcMar>
              <w:top w:w="15" w:type="dxa"/>
              <w:left w:w="15" w:type="dxa"/>
              <w:right w:w="15" w:type="dxa"/>
            </w:tcMar>
            <w:vAlign w:val="center"/>
          </w:tcPr>
          <w:p>
            <w:pPr>
              <w:widowControl/>
              <w:spacing w:line="560" w:lineRule="exact"/>
              <w:jc w:val="center"/>
              <w:textAlignment w:val="center"/>
              <w:rPr>
                <w:rFonts w:hint="eastAsia" w:ascii="宋体" w:hAnsi="宋体" w:cs="宋体"/>
                <w:b/>
                <w:bCs/>
                <w:color w:val="000000"/>
                <w:kern w:val="0"/>
                <w:sz w:val="36"/>
                <w:szCs w:val="36"/>
              </w:rPr>
            </w:pPr>
          </w:p>
          <w:p>
            <w:pPr>
              <w:widowControl/>
              <w:spacing w:line="560" w:lineRule="exact"/>
              <w:jc w:val="center"/>
              <w:textAlignment w:val="center"/>
              <w:rPr>
                <w:rFonts w:hint="eastAsia" w:ascii="宋体" w:hAnsi="宋体" w:cs="宋体"/>
                <w:b/>
                <w:bCs/>
                <w:color w:val="000000"/>
                <w:kern w:val="0"/>
                <w:sz w:val="36"/>
                <w:szCs w:val="36"/>
              </w:rPr>
            </w:pPr>
          </w:p>
          <w:p>
            <w:pPr>
              <w:widowControl/>
              <w:spacing w:line="560" w:lineRule="exact"/>
              <w:jc w:val="center"/>
              <w:textAlignment w:val="center"/>
              <w:rPr>
                <w:rFonts w:hint="eastAsia" w:ascii="宋体" w:hAnsi="宋体" w:cs="宋体"/>
                <w:b/>
                <w:bCs/>
                <w:color w:val="000000"/>
                <w:kern w:val="0"/>
                <w:sz w:val="36"/>
                <w:szCs w:val="36"/>
              </w:rPr>
            </w:pPr>
          </w:p>
          <w:p>
            <w:pPr>
              <w:widowControl/>
              <w:spacing w:line="560" w:lineRule="exact"/>
              <w:jc w:val="center"/>
              <w:textAlignment w:val="center"/>
              <w:rPr>
                <w:rFonts w:hint="eastAsia" w:ascii="宋体" w:hAnsi="宋体" w:cs="宋体"/>
                <w:b/>
                <w:bCs/>
                <w:color w:val="000000"/>
                <w:kern w:val="0"/>
                <w:sz w:val="36"/>
                <w:szCs w:val="36"/>
              </w:rPr>
            </w:pPr>
          </w:p>
          <w:p>
            <w:pPr>
              <w:pStyle w:val="2"/>
              <w:rPr>
                <w:rFonts w:hint="eastAsia"/>
              </w:rPr>
            </w:pPr>
          </w:p>
          <w:p>
            <w:pPr>
              <w:widowControl/>
              <w:spacing w:line="560" w:lineRule="exact"/>
              <w:jc w:val="center"/>
              <w:textAlignment w:val="center"/>
              <w:rPr>
                <w:rFonts w:hint="eastAsia" w:ascii="宋体" w:hAnsi="宋体" w:cs="宋体"/>
                <w:b/>
                <w:bCs/>
                <w:color w:val="000000"/>
                <w:kern w:val="0"/>
                <w:sz w:val="36"/>
                <w:szCs w:val="36"/>
              </w:rPr>
            </w:pPr>
          </w:p>
          <w:p>
            <w:pPr>
              <w:widowControl/>
              <w:spacing w:line="560" w:lineRule="exact"/>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(2021年度）</w:t>
            </w:r>
          </w:p>
        </w:tc>
      </w:tr>
      <w:tr>
        <w:tblPrEx>
          <w:tblCellMar>
            <w:top w:w="0" w:type="dxa"/>
            <w:left w:w="0" w:type="dxa"/>
            <w:bottom w:w="0" w:type="dxa"/>
            <w:right w:w="0" w:type="dxa"/>
          </w:tblCellMar>
        </w:tblPrEx>
        <w:trPr>
          <w:trHeight w:val="698" w:hRule="atLeast"/>
          <w:jc w:val="center"/>
        </w:trPr>
        <w:tc>
          <w:tcPr>
            <w:tcW w:w="33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textAlignment w:val="center"/>
              <w:rPr>
                <w:rFonts w:ascii="宋体" w:hAnsi="宋体" w:cs="宋体"/>
                <w:color w:val="000000"/>
                <w:sz w:val="24"/>
              </w:rPr>
            </w:pPr>
            <w:r>
              <w:rPr>
                <w:rFonts w:hint="eastAsia" w:ascii="宋体" w:hAnsi="宋体" w:cs="宋体"/>
                <w:color w:val="000000"/>
                <w:sz w:val="24"/>
              </w:rPr>
              <w:t>根据盐财资预【2021】69号下达2021年基层组织活动和公共运行服务费</w:t>
            </w:r>
          </w:p>
        </w:tc>
      </w:tr>
      <w:tr>
        <w:tblPrEx>
          <w:tblCellMar>
            <w:top w:w="0" w:type="dxa"/>
            <w:left w:w="0" w:type="dxa"/>
            <w:bottom w:w="0" w:type="dxa"/>
            <w:right w:w="0" w:type="dxa"/>
          </w:tblCellMar>
        </w:tblPrEx>
        <w:trPr>
          <w:trHeight w:val="276" w:hRule="atLeast"/>
          <w:jc w:val="center"/>
        </w:trPr>
        <w:tc>
          <w:tcPr>
            <w:tcW w:w="33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929"/>
              </w:tabs>
              <w:spacing w:line="560" w:lineRule="exact"/>
              <w:jc w:val="left"/>
              <w:textAlignment w:val="center"/>
              <w:rPr>
                <w:rFonts w:ascii="宋体" w:hAnsi="宋体" w:cs="宋体"/>
                <w:color w:val="000000"/>
                <w:sz w:val="24"/>
              </w:rPr>
            </w:pPr>
            <w:r>
              <w:rPr>
                <w:rFonts w:hint="eastAsia" w:ascii="宋体" w:hAnsi="宋体" w:cs="宋体"/>
                <w:color w:val="000000"/>
                <w:sz w:val="24"/>
              </w:rPr>
              <w:tab/>
            </w:r>
            <w:r>
              <w:rPr>
                <w:rFonts w:hint="eastAsia" w:ascii="宋体" w:hAnsi="宋体" w:cs="宋体"/>
                <w:color w:val="000000"/>
                <w:sz w:val="24"/>
              </w:rPr>
              <w:t>盐边县红果彝族乡人民政府</w:t>
            </w:r>
          </w:p>
        </w:tc>
      </w:tr>
      <w:tr>
        <w:tblPrEx>
          <w:tblCellMar>
            <w:top w:w="0" w:type="dxa"/>
            <w:left w:w="0" w:type="dxa"/>
            <w:bottom w:w="0" w:type="dxa"/>
            <w:right w:w="0" w:type="dxa"/>
          </w:tblCellMar>
        </w:tblPrEx>
        <w:trPr>
          <w:trHeight w:val="276" w:hRule="atLeast"/>
          <w:jc w:val="center"/>
        </w:trPr>
        <w:tc>
          <w:tcPr>
            <w:tcW w:w="9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69万元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69万元</w:t>
            </w:r>
          </w:p>
        </w:tc>
      </w:tr>
      <w:tr>
        <w:tblPrEx>
          <w:tblCellMar>
            <w:top w:w="0" w:type="dxa"/>
            <w:left w:w="0" w:type="dxa"/>
            <w:bottom w:w="0" w:type="dxa"/>
            <w:right w:w="0" w:type="dxa"/>
          </w:tblCellMar>
        </w:tblPrEx>
        <w:trPr>
          <w:trHeight w:val="276"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69万元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69万元</w:t>
            </w:r>
          </w:p>
        </w:tc>
      </w:tr>
      <w:tr>
        <w:tblPrEx>
          <w:tblCellMar>
            <w:top w:w="0" w:type="dxa"/>
            <w:left w:w="0" w:type="dxa"/>
            <w:bottom w:w="0" w:type="dxa"/>
            <w:right w:w="0" w:type="dxa"/>
          </w:tblCellMar>
        </w:tblPrEx>
        <w:trPr>
          <w:trHeight w:val="1511"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其他资金：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其他资金：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9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180"/>
              </w:tabs>
              <w:spacing w:line="560" w:lineRule="exact"/>
              <w:jc w:val="center"/>
            </w:pPr>
            <w:r>
              <w:rPr>
                <w:rFonts w:hint="eastAsia" w:ascii="宋体" w:hAnsi="宋体" w:cs="宋体"/>
                <w:color w:val="000000"/>
                <w:sz w:val="24"/>
              </w:rPr>
              <w:t>完成7个村（社区）基层组织活动和基础设施建设</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开展2021年基层组织活动，建设基础设施项目</w:t>
            </w:r>
          </w:p>
        </w:tc>
      </w:tr>
      <w:tr>
        <w:tblPrEx>
          <w:tblCellMar>
            <w:top w:w="0" w:type="dxa"/>
            <w:left w:w="0" w:type="dxa"/>
            <w:bottom w:w="0" w:type="dxa"/>
            <w:right w:w="0" w:type="dxa"/>
          </w:tblCellMar>
        </w:tblPrEx>
        <w:trPr>
          <w:trHeight w:val="814" w:hRule="atLeast"/>
          <w:jc w:val="center"/>
        </w:trPr>
        <w:tc>
          <w:tcPr>
            <w:tcW w:w="92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928" w:type="dxa"/>
            <w:vMerge w:val="continue"/>
            <w:tcBorders>
              <w:left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left"/>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2021年基层组织活动和公共运行服务费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7个村（社区）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100%</w:t>
            </w:r>
          </w:p>
        </w:tc>
      </w:tr>
      <w:tr>
        <w:tblPrEx>
          <w:tblCellMar>
            <w:top w:w="0" w:type="dxa"/>
            <w:left w:w="0" w:type="dxa"/>
            <w:bottom w:w="0" w:type="dxa"/>
            <w:right w:w="0" w:type="dxa"/>
          </w:tblCellMar>
        </w:tblPrEx>
        <w:trPr>
          <w:trHeight w:val="795" w:hRule="atLeast"/>
          <w:jc w:val="center"/>
        </w:trPr>
        <w:tc>
          <w:tcPr>
            <w:tcW w:w="928" w:type="dxa"/>
            <w:vMerge w:val="continue"/>
            <w:tcBorders>
              <w:left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left"/>
              <w:textAlignment w:val="center"/>
              <w:rPr>
                <w:rFonts w:ascii="宋体" w:hAnsi="宋体" w:cs="宋体"/>
                <w:color w:val="000000"/>
                <w:sz w:val="24"/>
              </w:rPr>
            </w:pPr>
            <w:r>
              <w:rPr>
                <w:rFonts w:hint="eastAsia" w:ascii="宋体" w:hAnsi="宋体" w:cs="宋体"/>
                <w:color w:val="000000"/>
                <w:sz w:val="24"/>
              </w:rPr>
              <w:t>69万元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100%</w:t>
            </w:r>
          </w:p>
        </w:tc>
      </w:tr>
      <w:tr>
        <w:tblPrEx>
          <w:tblCellMar>
            <w:top w:w="0" w:type="dxa"/>
            <w:left w:w="0" w:type="dxa"/>
            <w:bottom w:w="0" w:type="dxa"/>
            <w:right w:w="0" w:type="dxa"/>
          </w:tblCellMar>
        </w:tblPrEx>
        <w:trPr>
          <w:trHeight w:val="822" w:hRule="atLeast"/>
          <w:jc w:val="center"/>
        </w:trPr>
        <w:tc>
          <w:tcPr>
            <w:tcW w:w="928" w:type="dxa"/>
            <w:vMerge w:val="continue"/>
            <w:tcBorders>
              <w:left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left"/>
              <w:textAlignment w:val="center"/>
              <w:rPr>
                <w:rFonts w:ascii="宋体" w:hAnsi="宋体" w:cs="宋体"/>
                <w:color w:val="000000"/>
                <w:sz w:val="24"/>
              </w:rPr>
            </w:pPr>
            <w:r>
              <w:rPr>
                <w:rFonts w:hint="eastAsia" w:ascii="宋体" w:hAnsi="宋体" w:cs="宋体"/>
                <w:color w:val="000000"/>
                <w:sz w:val="24"/>
              </w:rPr>
              <w:t>69万元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100%</w:t>
            </w:r>
          </w:p>
        </w:tc>
      </w:tr>
      <w:tr>
        <w:tblPrEx>
          <w:tblCellMar>
            <w:top w:w="0" w:type="dxa"/>
            <w:left w:w="0" w:type="dxa"/>
            <w:bottom w:w="0" w:type="dxa"/>
            <w:right w:w="0" w:type="dxa"/>
          </w:tblCellMar>
        </w:tblPrEx>
        <w:trPr>
          <w:trHeight w:val="90" w:hRule="atLeast"/>
          <w:jc w:val="center"/>
        </w:trPr>
        <w:tc>
          <w:tcPr>
            <w:tcW w:w="928" w:type="dxa"/>
            <w:vMerge w:val="continue"/>
            <w:tcBorders>
              <w:left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textAlignment w:val="center"/>
              <w:rPr>
                <w:rFonts w:ascii="宋体" w:hAnsi="宋体" w:cs="宋体"/>
                <w:color w:val="000000"/>
                <w:sz w:val="24"/>
              </w:rPr>
            </w:pPr>
            <w:r>
              <w:rPr>
                <w:rFonts w:hint="eastAsia" w:ascii="宋体" w:hAnsi="宋体" w:cs="宋体"/>
                <w:color w:val="000000"/>
                <w:sz w:val="24"/>
              </w:rPr>
              <w:t>运行正常</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rPr>
                <w:rFonts w:ascii="宋体" w:hAnsi="宋体" w:cs="宋体"/>
                <w:color w:val="000000"/>
                <w:sz w:val="24"/>
              </w:rPr>
            </w:pPr>
            <w:r>
              <w:rPr>
                <w:rFonts w:hint="eastAsia" w:ascii="宋体" w:hAnsi="宋体" w:cs="宋体"/>
                <w:color w:val="000000"/>
                <w:kern w:val="0"/>
                <w:sz w:val="24"/>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745" w:hRule="atLeast"/>
          <w:jc w:val="center"/>
        </w:trPr>
        <w:tc>
          <w:tcPr>
            <w:tcW w:w="92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r>
    </w:tbl>
    <w:p>
      <w:pPr>
        <w:pStyle w:val="2"/>
        <w:rPr>
          <w:rFonts w:hint="eastAsia"/>
        </w:rPr>
      </w:pPr>
    </w:p>
    <w:tbl>
      <w:tblPr>
        <w:tblStyle w:val="16"/>
        <w:tblpPr w:leftFromText="180" w:rightFromText="180" w:vertAnchor="text" w:horzAnchor="page" w:tblpXSpec="center" w:tblpY="423"/>
        <w:tblOverlap w:val="never"/>
        <w:tblW w:w="10498" w:type="dxa"/>
        <w:jc w:val="center"/>
        <w:tblLayout w:type="fixed"/>
        <w:tblCellMar>
          <w:top w:w="0" w:type="dxa"/>
          <w:left w:w="0" w:type="dxa"/>
          <w:bottom w:w="0" w:type="dxa"/>
          <w:right w:w="0" w:type="dxa"/>
        </w:tblCellMar>
      </w:tblPr>
      <w:tblGrid>
        <w:gridCol w:w="928"/>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10498" w:type="dxa"/>
            <w:gridSpan w:val="6"/>
            <w:tcBorders>
              <w:top w:val="nil"/>
              <w:left w:val="nil"/>
              <w:bottom w:val="nil"/>
              <w:right w:val="nil"/>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(2021年度）</w:t>
            </w:r>
          </w:p>
        </w:tc>
      </w:tr>
      <w:tr>
        <w:tblPrEx>
          <w:tblCellMar>
            <w:top w:w="0" w:type="dxa"/>
            <w:left w:w="0" w:type="dxa"/>
            <w:bottom w:w="0" w:type="dxa"/>
            <w:right w:w="0" w:type="dxa"/>
          </w:tblCellMar>
        </w:tblPrEx>
        <w:trPr>
          <w:trHeight w:val="698" w:hRule="atLeast"/>
          <w:jc w:val="center"/>
        </w:trPr>
        <w:tc>
          <w:tcPr>
            <w:tcW w:w="33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textAlignment w:val="center"/>
              <w:rPr>
                <w:rFonts w:ascii="宋体" w:hAnsi="宋体" w:cs="宋体"/>
                <w:color w:val="000000"/>
                <w:sz w:val="24"/>
              </w:rPr>
            </w:pPr>
            <w:r>
              <w:rPr>
                <w:rFonts w:hint="eastAsia" w:ascii="宋体" w:hAnsi="宋体" w:cs="宋体"/>
                <w:color w:val="000000"/>
                <w:sz w:val="24"/>
              </w:rPr>
              <w:t>根据盐财资建【2021】153号下达2021年应急和安全监管补助经费</w:t>
            </w:r>
          </w:p>
        </w:tc>
      </w:tr>
      <w:tr>
        <w:tblPrEx>
          <w:tblCellMar>
            <w:top w:w="0" w:type="dxa"/>
            <w:left w:w="0" w:type="dxa"/>
            <w:bottom w:w="0" w:type="dxa"/>
            <w:right w:w="0" w:type="dxa"/>
          </w:tblCellMar>
        </w:tblPrEx>
        <w:trPr>
          <w:trHeight w:val="276" w:hRule="atLeast"/>
          <w:jc w:val="center"/>
        </w:trPr>
        <w:tc>
          <w:tcPr>
            <w:tcW w:w="33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929"/>
              </w:tabs>
              <w:spacing w:line="560" w:lineRule="exact"/>
              <w:jc w:val="left"/>
              <w:textAlignment w:val="center"/>
              <w:rPr>
                <w:rFonts w:ascii="宋体" w:hAnsi="宋体" w:cs="宋体"/>
                <w:color w:val="000000"/>
                <w:sz w:val="24"/>
              </w:rPr>
            </w:pPr>
            <w:r>
              <w:rPr>
                <w:rFonts w:hint="eastAsia" w:ascii="宋体" w:hAnsi="宋体" w:cs="宋体"/>
                <w:color w:val="000000"/>
                <w:sz w:val="24"/>
              </w:rPr>
              <w:tab/>
            </w:r>
            <w:r>
              <w:rPr>
                <w:rFonts w:hint="eastAsia" w:ascii="宋体" w:hAnsi="宋体" w:cs="宋体"/>
                <w:color w:val="000000"/>
                <w:sz w:val="24"/>
              </w:rPr>
              <w:t>盐边县红果彝族乡人民政府</w:t>
            </w:r>
          </w:p>
        </w:tc>
      </w:tr>
      <w:tr>
        <w:tblPrEx>
          <w:tblCellMar>
            <w:top w:w="0" w:type="dxa"/>
            <w:left w:w="0" w:type="dxa"/>
            <w:bottom w:w="0" w:type="dxa"/>
            <w:right w:w="0" w:type="dxa"/>
          </w:tblCellMar>
        </w:tblPrEx>
        <w:trPr>
          <w:trHeight w:val="276" w:hRule="atLeast"/>
          <w:jc w:val="center"/>
        </w:trPr>
        <w:tc>
          <w:tcPr>
            <w:tcW w:w="9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20万元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20万元</w:t>
            </w:r>
          </w:p>
        </w:tc>
      </w:tr>
      <w:tr>
        <w:tblPrEx>
          <w:tblCellMar>
            <w:top w:w="0" w:type="dxa"/>
            <w:left w:w="0" w:type="dxa"/>
            <w:bottom w:w="0" w:type="dxa"/>
            <w:right w:w="0" w:type="dxa"/>
          </w:tblCellMar>
        </w:tblPrEx>
        <w:trPr>
          <w:trHeight w:val="276"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20万元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20万元</w:t>
            </w:r>
          </w:p>
        </w:tc>
      </w:tr>
      <w:tr>
        <w:tblPrEx>
          <w:tblCellMar>
            <w:top w:w="0" w:type="dxa"/>
            <w:left w:w="0" w:type="dxa"/>
            <w:bottom w:w="0" w:type="dxa"/>
            <w:right w:w="0" w:type="dxa"/>
          </w:tblCellMar>
        </w:tblPrEx>
        <w:trPr>
          <w:trHeight w:val="1511"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其他资金：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其他资金：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9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180"/>
              </w:tabs>
              <w:spacing w:line="560" w:lineRule="exact"/>
              <w:jc w:val="center"/>
            </w:pPr>
            <w:r>
              <w:rPr>
                <w:rFonts w:hint="eastAsia" w:ascii="宋体" w:hAnsi="宋体" w:cs="宋体"/>
                <w:color w:val="000000"/>
                <w:sz w:val="24"/>
              </w:rPr>
              <w:t>保障汛期道路安全、水上交通安全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保障汛期道路安全及水上交通安全及时清理维护，确保安全生产、提高应急安全能力</w:t>
            </w:r>
          </w:p>
        </w:tc>
      </w:tr>
      <w:tr>
        <w:tblPrEx>
          <w:tblCellMar>
            <w:top w:w="0" w:type="dxa"/>
            <w:left w:w="0" w:type="dxa"/>
            <w:bottom w:w="0" w:type="dxa"/>
            <w:right w:w="0" w:type="dxa"/>
          </w:tblCellMar>
        </w:tblPrEx>
        <w:trPr>
          <w:trHeight w:val="814" w:hRule="atLeast"/>
          <w:jc w:val="center"/>
        </w:trPr>
        <w:tc>
          <w:tcPr>
            <w:tcW w:w="92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928" w:type="dxa"/>
            <w:vMerge w:val="continue"/>
            <w:tcBorders>
              <w:left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left"/>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2021年应急和安全监管补助经费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7个村（社）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100%</w:t>
            </w:r>
          </w:p>
        </w:tc>
      </w:tr>
      <w:tr>
        <w:tblPrEx>
          <w:tblCellMar>
            <w:top w:w="0" w:type="dxa"/>
            <w:left w:w="0" w:type="dxa"/>
            <w:bottom w:w="0" w:type="dxa"/>
            <w:right w:w="0" w:type="dxa"/>
          </w:tblCellMar>
        </w:tblPrEx>
        <w:trPr>
          <w:trHeight w:val="795" w:hRule="atLeast"/>
          <w:jc w:val="center"/>
        </w:trPr>
        <w:tc>
          <w:tcPr>
            <w:tcW w:w="928" w:type="dxa"/>
            <w:vMerge w:val="continue"/>
            <w:tcBorders>
              <w:left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left"/>
              <w:textAlignment w:val="center"/>
              <w:rPr>
                <w:rFonts w:ascii="宋体" w:hAnsi="宋体" w:cs="宋体"/>
                <w:color w:val="000000"/>
                <w:sz w:val="24"/>
              </w:rPr>
            </w:pPr>
            <w:r>
              <w:rPr>
                <w:rFonts w:hint="eastAsia" w:ascii="宋体" w:hAnsi="宋体" w:cs="宋体"/>
                <w:color w:val="000000"/>
                <w:sz w:val="24"/>
              </w:rPr>
              <w:t>20万元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100%</w:t>
            </w:r>
          </w:p>
        </w:tc>
      </w:tr>
      <w:tr>
        <w:tblPrEx>
          <w:tblCellMar>
            <w:top w:w="0" w:type="dxa"/>
            <w:left w:w="0" w:type="dxa"/>
            <w:bottom w:w="0" w:type="dxa"/>
            <w:right w:w="0" w:type="dxa"/>
          </w:tblCellMar>
        </w:tblPrEx>
        <w:trPr>
          <w:trHeight w:val="822" w:hRule="atLeast"/>
          <w:jc w:val="center"/>
        </w:trPr>
        <w:tc>
          <w:tcPr>
            <w:tcW w:w="928" w:type="dxa"/>
            <w:vMerge w:val="continue"/>
            <w:tcBorders>
              <w:left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left"/>
              <w:textAlignment w:val="center"/>
              <w:rPr>
                <w:rFonts w:ascii="宋体" w:hAnsi="宋体" w:cs="宋体"/>
                <w:color w:val="000000"/>
                <w:sz w:val="24"/>
              </w:rPr>
            </w:pPr>
            <w:r>
              <w:rPr>
                <w:rFonts w:hint="eastAsia" w:ascii="宋体" w:hAnsi="宋体" w:cs="宋体"/>
                <w:color w:val="000000"/>
                <w:sz w:val="24"/>
              </w:rPr>
              <w:t>20万元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100%</w:t>
            </w:r>
          </w:p>
        </w:tc>
      </w:tr>
      <w:tr>
        <w:tblPrEx>
          <w:tblCellMar>
            <w:top w:w="0" w:type="dxa"/>
            <w:left w:w="0" w:type="dxa"/>
            <w:bottom w:w="0" w:type="dxa"/>
            <w:right w:w="0" w:type="dxa"/>
          </w:tblCellMar>
        </w:tblPrEx>
        <w:trPr>
          <w:trHeight w:val="90" w:hRule="atLeast"/>
          <w:jc w:val="center"/>
        </w:trPr>
        <w:tc>
          <w:tcPr>
            <w:tcW w:w="928" w:type="dxa"/>
            <w:vMerge w:val="continue"/>
            <w:tcBorders>
              <w:left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textAlignment w:val="center"/>
              <w:rPr>
                <w:rFonts w:ascii="宋体" w:hAnsi="宋体" w:cs="宋体"/>
                <w:color w:val="000000"/>
                <w:sz w:val="24"/>
              </w:rPr>
            </w:pPr>
            <w:r>
              <w:rPr>
                <w:rFonts w:hint="eastAsia" w:ascii="宋体" w:hAnsi="宋体" w:cs="宋体"/>
                <w:color w:val="000000"/>
                <w:sz w:val="24"/>
              </w:rPr>
              <w:t>运行正常</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rPr>
                <w:rFonts w:ascii="宋体" w:hAnsi="宋体" w:cs="宋体"/>
                <w:color w:val="000000"/>
                <w:sz w:val="24"/>
              </w:rPr>
            </w:pPr>
            <w:r>
              <w:rPr>
                <w:rFonts w:hint="eastAsia" w:ascii="宋体" w:hAnsi="宋体" w:cs="宋体"/>
                <w:color w:val="000000"/>
                <w:kern w:val="0"/>
                <w:sz w:val="24"/>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745" w:hRule="atLeast"/>
          <w:jc w:val="center"/>
        </w:trPr>
        <w:tc>
          <w:tcPr>
            <w:tcW w:w="92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34" w:hRule="atLeast"/>
          <w:jc w:val="center"/>
        </w:trPr>
        <w:tc>
          <w:tcPr>
            <w:tcW w:w="10498" w:type="dxa"/>
            <w:gridSpan w:val="6"/>
            <w:tcBorders>
              <w:top w:val="nil"/>
              <w:left w:val="nil"/>
              <w:bottom w:val="nil"/>
              <w:right w:val="nil"/>
            </w:tcBorders>
            <w:tcMar>
              <w:top w:w="15" w:type="dxa"/>
              <w:left w:w="15" w:type="dxa"/>
              <w:right w:w="15" w:type="dxa"/>
            </w:tcMar>
            <w:vAlign w:val="center"/>
          </w:tcPr>
          <w:p>
            <w:pPr>
              <w:widowControl/>
              <w:spacing w:line="560" w:lineRule="exact"/>
              <w:jc w:val="center"/>
              <w:textAlignment w:val="center"/>
              <w:rPr>
                <w:rFonts w:hint="eastAsia" w:ascii="宋体" w:hAnsi="宋体" w:cs="宋体"/>
                <w:b/>
                <w:bCs/>
                <w:color w:val="000000"/>
                <w:kern w:val="0"/>
                <w:sz w:val="36"/>
                <w:szCs w:val="36"/>
              </w:rPr>
            </w:pPr>
          </w:p>
          <w:p>
            <w:pPr>
              <w:widowControl/>
              <w:spacing w:line="560" w:lineRule="exact"/>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(2021年度）</w:t>
            </w:r>
          </w:p>
        </w:tc>
      </w:tr>
      <w:tr>
        <w:tblPrEx>
          <w:tblCellMar>
            <w:top w:w="0" w:type="dxa"/>
            <w:left w:w="0" w:type="dxa"/>
            <w:bottom w:w="0" w:type="dxa"/>
            <w:right w:w="0" w:type="dxa"/>
          </w:tblCellMar>
        </w:tblPrEx>
        <w:trPr>
          <w:trHeight w:val="698" w:hRule="atLeast"/>
          <w:jc w:val="center"/>
        </w:trPr>
        <w:tc>
          <w:tcPr>
            <w:tcW w:w="33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textAlignment w:val="center"/>
              <w:rPr>
                <w:rFonts w:ascii="宋体" w:hAnsi="宋体" w:cs="宋体"/>
                <w:color w:val="000000"/>
                <w:sz w:val="24"/>
              </w:rPr>
            </w:pPr>
            <w:r>
              <w:rPr>
                <w:rFonts w:hint="eastAsia" w:ascii="宋体" w:hAnsi="宋体" w:cs="宋体"/>
                <w:color w:val="000000"/>
                <w:sz w:val="24"/>
              </w:rPr>
              <w:t>根据盐财资行【2021】278号下达旅游厕所管护资金</w:t>
            </w:r>
          </w:p>
        </w:tc>
      </w:tr>
      <w:tr>
        <w:tblPrEx>
          <w:tblCellMar>
            <w:top w:w="0" w:type="dxa"/>
            <w:left w:w="0" w:type="dxa"/>
            <w:bottom w:w="0" w:type="dxa"/>
            <w:right w:w="0" w:type="dxa"/>
          </w:tblCellMar>
        </w:tblPrEx>
        <w:trPr>
          <w:trHeight w:val="276" w:hRule="atLeast"/>
          <w:jc w:val="center"/>
        </w:trPr>
        <w:tc>
          <w:tcPr>
            <w:tcW w:w="33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929"/>
              </w:tabs>
              <w:spacing w:line="560" w:lineRule="exact"/>
              <w:jc w:val="left"/>
              <w:textAlignment w:val="center"/>
              <w:rPr>
                <w:rFonts w:ascii="宋体" w:hAnsi="宋体" w:cs="宋体"/>
                <w:color w:val="000000"/>
                <w:sz w:val="24"/>
              </w:rPr>
            </w:pPr>
            <w:r>
              <w:rPr>
                <w:rFonts w:hint="eastAsia" w:ascii="宋体" w:hAnsi="宋体" w:cs="宋体"/>
                <w:color w:val="000000"/>
                <w:sz w:val="24"/>
              </w:rPr>
              <w:tab/>
            </w:r>
            <w:r>
              <w:rPr>
                <w:rFonts w:hint="eastAsia" w:ascii="宋体" w:hAnsi="宋体" w:cs="宋体"/>
                <w:color w:val="000000"/>
                <w:sz w:val="24"/>
              </w:rPr>
              <w:t>盐边县红果彝族乡人民政府</w:t>
            </w:r>
          </w:p>
        </w:tc>
      </w:tr>
      <w:tr>
        <w:tblPrEx>
          <w:tblCellMar>
            <w:top w:w="0" w:type="dxa"/>
            <w:left w:w="0" w:type="dxa"/>
            <w:bottom w:w="0" w:type="dxa"/>
            <w:right w:w="0" w:type="dxa"/>
          </w:tblCellMar>
        </w:tblPrEx>
        <w:trPr>
          <w:trHeight w:val="276" w:hRule="atLeast"/>
          <w:jc w:val="center"/>
        </w:trPr>
        <w:tc>
          <w:tcPr>
            <w:tcW w:w="9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2.48万元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2.48万元</w:t>
            </w:r>
          </w:p>
        </w:tc>
      </w:tr>
      <w:tr>
        <w:tblPrEx>
          <w:tblCellMar>
            <w:top w:w="0" w:type="dxa"/>
            <w:left w:w="0" w:type="dxa"/>
            <w:bottom w:w="0" w:type="dxa"/>
            <w:right w:w="0" w:type="dxa"/>
          </w:tblCellMar>
        </w:tblPrEx>
        <w:trPr>
          <w:trHeight w:val="276"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2.48万元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2.48万元</w:t>
            </w:r>
          </w:p>
        </w:tc>
      </w:tr>
      <w:tr>
        <w:tblPrEx>
          <w:tblCellMar>
            <w:top w:w="0" w:type="dxa"/>
            <w:left w:w="0" w:type="dxa"/>
            <w:bottom w:w="0" w:type="dxa"/>
            <w:right w:w="0" w:type="dxa"/>
          </w:tblCellMar>
        </w:tblPrEx>
        <w:trPr>
          <w:trHeight w:val="1511"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其他资金：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其他资金：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9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180"/>
              </w:tabs>
              <w:spacing w:line="560" w:lineRule="exact"/>
              <w:jc w:val="center"/>
            </w:pPr>
            <w:r>
              <w:rPr>
                <w:rFonts w:hint="eastAsia" w:ascii="宋体" w:hAnsi="宋体" w:cs="宋体"/>
                <w:color w:val="000000"/>
                <w:sz w:val="24"/>
              </w:rPr>
              <w:t>保障三滩旅游厕所正常运行</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保障三滩旅游厕所正常运行，提高三滩旅游业形象，提高收入</w:t>
            </w:r>
          </w:p>
        </w:tc>
      </w:tr>
      <w:tr>
        <w:tblPrEx>
          <w:tblCellMar>
            <w:top w:w="0" w:type="dxa"/>
            <w:left w:w="0" w:type="dxa"/>
            <w:bottom w:w="0" w:type="dxa"/>
            <w:right w:w="0" w:type="dxa"/>
          </w:tblCellMar>
        </w:tblPrEx>
        <w:trPr>
          <w:trHeight w:val="814" w:hRule="atLeast"/>
          <w:jc w:val="center"/>
        </w:trPr>
        <w:tc>
          <w:tcPr>
            <w:tcW w:w="92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928" w:type="dxa"/>
            <w:vMerge w:val="continue"/>
            <w:tcBorders>
              <w:left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left"/>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旅游厕所管护资金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三滩村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100%</w:t>
            </w:r>
          </w:p>
        </w:tc>
      </w:tr>
      <w:tr>
        <w:tblPrEx>
          <w:tblCellMar>
            <w:top w:w="0" w:type="dxa"/>
            <w:left w:w="0" w:type="dxa"/>
            <w:bottom w:w="0" w:type="dxa"/>
            <w:right w:w="0" w:type="dxa"/>
          </w:tblCellMar>
        </w:tblPrEx>
        <w:trPr>
          <w:trHeight w:val="795" w:hRule="atLeast"/>
          <w:jc w:val="center"/>
        </w:trPr>
        <w:tc>
          <w:tcPr>
            <w:tcW w:w="928" w:type="dxa"/>
            <w:vMerge w:val="continue"/>
            <w:tcBorders>
              <w:left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left"/>
              <w:textAlignment w:val="center"/>
              <w:rPr>
                <w:rFonts w:ascii="宋体" w:hAnsi="宋体" w:cs="宋体"/>
                <w:color w:val="000000"/>
                <w:sz w:val="24"/>
              </w:rPr>
            </w:pPr>
            <w:r>
              <w:rPr>
                <w:rFonts w:hint="eastAsia" w:ascii="宋体" w:hAnsi="宋体" w:cs="宋体"/>
                <w:color w:val="000000"/>
                <w:sz w:val="24"/>
              </w:rPr>
              <w:t>2.48万元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100%</w:t>
            </w:r>
          </w:p>
        </w:tc>
      </w:tr>
      <w:tr>
        <w:tblPrEx>
          <w:tblCellMar>
            <w:top w:w="0" w:type="dxa"/>
            <w:left w:w="0" w:type="dxa"/>
            <w:bottom w:w="0" w:type="dxa"/>
            <w:right w:w="0" w:type="dxa"/>
          </w:tblCellMar>
        </w:tblPrEx>
        <w:trPr>
          <w:trHeight w:val="822" w:hRule="atLeast"/>
          <w:jc w:val="center"/>
        </w:trPr>
        <w:tc>
          <w:tcPr>
            <w:tcW w:w="928" w:type="dxa"/>
            <w:vMerge w:val="continue"/>
            <w:tcBorders>
              <w:left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left"/>
              <w:textAlignment w:val="center"/>
              <w:rPr>
                <w:rFonts w:ascii="宋体" w:hAnsi="宋体" w:cs="宋体"/>
                <w:color w:val="000000"/>
                <w:sz w:val="24"/>
              </w:rPr>
            </w:pPr>
            <w:r>
              <w:rPr>
                <w:rFonts w:hint="eastAsia" w:ascii="宋体" w:hAnsi="宋体" w:cs="宋体"/>
                <w:color w:val="000000"/>
                <w:sz w:val="24"/>
              </w:rPr>
              <w:t>2.48万元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100%</w:t>
            </w:r>
          </w:p>
        </w:tc>
      </w:tr>
      <w:tr>
        <w:tblPrEx>
          <w:tblCellMar>
            <w:top w:w="0" w:type="dxa"/>
            <w:left w:w="0" w:type="dxa"/>
            <w:bottom w:w="0" w:type="dxa"/>
            <w:right w:w="0" w:type="dxa"/>
          </w:tblCellMar>
        </w:tblPrEx>
        <w:trPr>
          <w:trHeight w:val="90" w:hRule="atLeast"/>
          <w:jc w:val="center"/>
        </w:trPr>
        <w:tc>
          <w:tcPr>
            <w:tcW w:w="928" w:type="dxa"/>
            <w:vMerge w:val="continue"/>
            <w:tcBorders>
              <w:left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textAlignment w:val="center"/>
              <w:rPr>
                <w:rFonts w:ascii="宋体" w:hAnsi="宋体" w:cs="宋体"/>
                <w:color w:val="000000"/>
                <w:sz w:val="24"/>
              </w:rPr>
            </w:pPr>
            <w:r>
              <w:rPr>
                <w:rFonts w:hint="eastAsia" w:ascii="宋体" w:hAnsi="宋体" w:cs="宋体"/>
                <w:color w:val="000000"/>
                <w:sz w:val="24"/>
              </w:rPr>
              <w:t>运行正常</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rPr>
                <w:rFonts w:ascii="宋体" w:hAnsi="宋体" w:cs="宋体"/>
                <w:color w:val="000000"/>
                <w:sz w:val="24"/>
              </w:rPr>
            </w:pPr>
            <w:r>
              <w:rPr>
                <w:rFonts w:hint="eastAsia" w:ascii="宋体" w:hAnsi="宋体" w:cs="宋体"/>
                <w:color w:val="000000"/>
                <w:kern w:val="0"/>
                <w:sz w:val="24"/>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745" w:hRule="atLeast"/>
          <w:jc w:val="center"/>
        </w:trPr>
        <w:tc>
          <w:tcPr>
            <w:tcW w:w="92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34" w:hRule="atLeast"/>
          <w:jc w:val="center"/>
        </w:trPr>
        <w:tc>
          <w:tcPr>
            <w:tcW w:w="10498" w:type="dxa"/>
            <w:gridSpan w:val="6"/>
            <w:tcBorders>
              <w:top w:val="nil"/>
              <w:left w:val="nil"/>
              <w:bottom w:val="nil"/>
              <w:right w:val="nil"/>
            </w:tcBorders>
            <w:tcMar>
              <w:top w:w="15" w:type="dxa"/>
              <w:left w:w="15" w:type="dxa"/>
              <w:right w:w="15" w:type="dxa"/>
            </w:tcMar>
            <w:vAlign w:val="center"/>
          </w:tcPr>
          <w:p>
            <w:pPr>
              <w:widowControl/>
              <w:spacing w:line="560" w:lineRule="exact"/>
              <w:textAlignment w:val="center"/>
              <w:rPr>
                <w:rFonts w:hint="eastAsia" w:ascii="宋体" w:hAnsi="宋体" w:cs="宋体"/>
                <w:b/>
                <w:bCs/>
                <w:color w:val="000000"/>
                <w:kern w:val="0"/>
                <w:sz w:val="36"/>
                <w:szCs w:val="36"/>
              </w:rPr>
            </w:pPr>
          </w:p>
          <w:p>
            <w:pPr>
              <w:widowControl/>
              <w:spacing w:line="560" w:lineRule="exact"/>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(2021年度）</w:t>
            </w:r>
          </w:p>
        </w:tc>
      </w:tr>
      <w:tr>
        <w:tblPrEx>
          <w:tblCellMar>
            <w:top w:w="0" w:type="dxa"/>
            <w:left w:w="0" w:type="dxa"/>
            <w:bottom w:w="0" w:type="dxa"/>
            <w:right w:w="0" w:type="dxa"/>
          </w:tblCellMar>
        </w:tblPrEx>
        <w:trPr>
          <w:trHeight w:val="698" w:hRule="atLeast"/>
          <w:jc w:val="center"/>
        </w:trPr>
        <w:tc>
          <w:tcPr>
            <w:tcW w:w="33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textAlignment w:val="center"/>
              <w:rPr>
                <w:rFonts w:ascii="宋体" w:hAnsi="宋体" w:cs="宋体"/>
                <w:color w:val="000000"/>
                <w:sz w:val="24"/>
              </w:rPr>
            </w:pPr>
            <w:r>
              <w:rPr>
                <w:rFonts w:hint="eastAsia" w:ascii="宋体" w:hAnsi="宋体" w:cs="宋体"/>
                <w:color w:val="000000"/>
                <w:sz w:val="24"/>
              </w:rPr>
              <w:t>根据盐财资行【2021】96号下达2021年集体经济扶持村补助资金</w:t>
            </w:r>
          </w:p>
        </w:tc>
      </w:tr>
      <w:tr>
        <w:tblPrEx>
          <w:tblCellMar>
            <w:top w:w="0" w:type="dxa"/>
            <w:left w:w="0" w:type="dxa"/>
            <w:bottom w:w="0" w:type="dxa"/>
            <w:right w:w="0" w:type="dxa"/>
          </w:tblCellMar>
        </w:tblPrEx>
        <w:trPr>
          <w:trHeight w:val="276" w:hRule="atLeast"/>
          <w:jc w:val="center"/>
        </w:trPr>
        <w:tc>
          <w:tcPr>
            <w:tcW w:w="33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929"/>
              </w:tabs>
              <w:spacing w:line="560" w:lineRule="exact"/>
              <w:jc w:val="left"/>
              <w:textAlignment w:val="center"/>
              <w:rPr>
                <w:rFonts w:ascii="宋体" w:hAnsi="宋体" w:cs="宋体"/>
                <w:color w:val="000000"/>
                <w:sz w:val="24"/>
              </w:rPr>
            </w:pPr>
            <w:r>
              <w:rPr>
                <w:rFonts w:hint="eastAsia" w:ascii="宋体" w:hAnsi="宋体" w:cs="宋体"/>
                <w:color w:val="000000"/>
                <w:sz w:val="24"/>
              </w:rPr>
              <w:tab/>
            </w:r>
            <w:r>
              <w:rPr>
                <w:rFonts w:hint="eastAsia" w:ascii="宋体" w:hAnsi="宋体" w:cs="宋体"/>
                <w:color w:val="000000"/>
                <w:sz w:val="24"/>
              </w:rPr>
              <w:t>盐边县红果彝族乡人民政府</w:t>
            </w:r>
          </w:p>
        </w:tc>
      </w:tr>
      <w:tr>
        <w:tblPrEx>
          <w:tblCellMar>
            <w:top w:w="0" w:type="dxa"/>
            <w:left w:w="0" w:type="dxa"/>
            <w:bottom w:w="0" w:type="dxa"/>
            <w:right w:w="0" w:type="dxa"/>
          </w:tblCellMar>
        </w:tblPrEx>
        <w:trPr>
          <w:trHeight w:val="276" w:hRule="atLeast"/>
          <w:jc w:val="center"/>
        </w:trPr>
        <w:tc>
          <w:tcPr>
            <w:tcW w:w="9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10万元</w:t>
            </w:r>
          </w:p>
        </w:tc>
      </w:tr>
      <w:tr>
        <w:tblPrEx>
          <w:tblCellMar>
            <w:top w:w="0" w:type="dxa"/>
            <w:left w:w="0" w:type="dxa"/>
            <w:bottom w:w="0" w:type="dxa"/>
            <w:right w:w="0" w:type="dxa"/>
          </w:tblCellMar>
        </w:tblPrEx>
        <w:trPr>
          <w:trHeight w:val="276"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10万元</w:t>
            </w:r>
          </w:p>
        </w:tc>
      </w:tr>
      <w:tr>
        <w:tblPrEx>
          <w:tblCellMar>
            <w:top w:w="0" w:type="dxa"/>
            <w:left w:w="0" w:type="dxa"/>
            <w:bottom w:w="0" w:type="dxa"/>
            <w:right w:w="0" w:type="dxa"/>
          </w:tblCellMar>
        </w:tblPrEx>
        <w:trPr>
          <w:trHeight w:val="1511"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其他资金：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其他资金：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9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180"/>
              </w:tabs>
              <w:spacing w:line="560" w:lineRule="exact"/>
              <w:jc w:val="center"/>
            </w:pPr>
            <w:r>
              <w:rPr>
                <w:rFonts w:hint="eastAsia" w:ascii="宋体" w:hAnsi="宋体" w:cs="宋体"/>
                <w:color w:val="000000"/>
                <w:sz w:val="24"/>
              </w:rPr>
              <w:t>花地村集体经济项目建设</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持续建设花地村集体经济配套项目</w:t>
            </w:r>
          </w:p>
        </w:tc>
      </w:tr>
      <w:tr>
        <w:tblPrEx>
          <w:tblCellMar>
            <w:top w:w="0" w:type="dxa"/>
            <w:left w:w="0" w:type="dxa"/>
            <w:bottom w:w="0" w:type="dxa"/>
            <w:right w:w="0" w:type="dxa"/>
          </w:tblCellMar>
        </w:tblPrEx>
        <w:trPr>
          <w:trHeight w:val="814" w:hRule="atLeast"/>
          <w:jc w:val="center"/>
        </w:trPr>
        <w:tc>
          <w:tcPr>
            <w:tcW w:w="92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928" w:type="dxa"/>
            <w:vMerge w:val="continue"/>
            <w:tcBorders>
              <w:left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left"/>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2021年集体经济扶持村补助资金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花地村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100%</w:t>
            </w:r>
          </w:p>
        </w:tc>
      </w:tr>
      <w:tr>
        <w:tblPrEx>
          <w:tblCellMar>
            <w:top w:w="0" w:type="dxa"/>
            <w:left w:w="0" w:type="dxa"/>
            <w:bottom w:w="0" w:type="dxa"/>
            <w:right w:w="0" w:type="dxa"/>
          </w:tblCellMar>
        </w:tblPrEx>
        <w:trPr>
          <w:trHeight w:val="795" w:hRule="atLeast"/>
          <w:jc w:val="center"/>
        </w:trPr>
        <w:tc>
          <w:tcPr>
            <w:tcW w:w="928" w:type="dxa"/>
            <w:vMerge w:val="continue"/>
            <w:tcBorders>
              <w:left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left"/>
              <w:textAlignment w:val="center"/>
              <w:rPr>
                <w:rFonts w:ascii="宋体" w:hAnsi="宋体" w:cs="宋体"/>
                <w:color w:val="000000"/>
                <w:sz w:val="24"/>
              </w:rPr>
            </w:pPr>
            <w:r>
              <w:rPr>
                <w:rFonts w:hint="eastAsia" w:ascii="宋体" w:hAnsi="宋体" w:cs="宋体"/>
                <w:color w:val="000000"/>
                <w:sz w:val="24"/>
              </w:rPr>
              <w:t>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100%</w:t>
            </w:r>
          </w:p>
        </w:tc>
      </w:tr>
      <w:tr>
        <w:tblPrEx>
          <w:tblCellMar>
            <w:top w:w="0" w:type="dxa"/>
            <w:left w:w="0" w:type="dxa"/>
            <w:bottom w:w="0" w:type="dxa"/>
            <w:right w:w="0" w:type="dxa"/>
          </w:tblCellMar>
        </w:tblPrEx>
        <w:trPr>
          <w:trHeight w:val="822" w:hRule="atLeast"/>
          <w:jc w:val="center"/>
        </w:trPr>
        <w:tc>
          <w:tcPr>
            <w:tcW w:w="928" w:type="dxa"/>
            <w:vMerge w:val="continue"/>
            <w:tcBorders>
              <w:left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left"/>
              <w:textAlignment w:val="center"/>
              <w:rPr>
                <w:rFonts w:ascii="宋体" w:hAnsi="宋体" w:cs="宋体"/>
                <w:color w:val="000000"/>
                <w:sz w:val="24"/>
              </w:rPr>
            </w:pPr>
            <w:r>
              <w:rPr>
                <w:rFonts w:hint="eastAsia" w:ascii="宋体" w:hAnsi="宋体" w:cs="宋体"/>
                <w:color w:val="000000"/>
                <w:sz w:val="24"/>
              </w:rPr>
              <w:t>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100%</w:t>
            </w:r>
          </w:p>
        </w:tc>
      </w:tr>
      <w:tr>
        <w:tblPrEx>
          <w:tblCellMar>
            <w:top w:w="0" w:type="dxa"/>
            <w:left w:w="0" w:type="dxa"/>
            <w:bottom w:w="0" w:type="dxa"/>
            <w:right w:w="0" w:type="dxa"/>
          </w:tblCellMar>
        </w:tblPrEx>
        <w:trPr>
          <w:trHeight w:val="90" w:hRule="atLeast"/>
          <w:jc w:val="center"/>
        </w:trPr>
        <w:tc>
          <w:tcPr>
            <w:tcW w:w="928" w:type="dxa"/>
            <w:vMerge w:val="continue"/>
            <w:tcBorders>
              <w:left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textAlignment w:val="center"/>
              <w:rPr>
                <w:rFonts w:ascii="宋体" w:hAnsi="宋体" w:cs="宋体"/>
                <w:color w:val="000000"/>
                <w:sz w:val="24"/>
              </w:rPr>
            </w:pPr>
            <w:r>
              <w:rPr>
                <w:rFonts w:hint="eastAsia" w:ascii="宋体" w:hAnsi="宋体" w:cs="宋体"/>
                <w:color w:val="000000"/>
                <w:sz w:val="24"/>
              </w:rPr>
              <w:t>运行正常</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rPr>
                <w:rFonts w:ascii="宋体" w:hAnsi="宋体" w:cs="宋体"/>
                <w:color w:val="000000"/>
                <w:sz w:val="24"/>
              </w:rPr>
            </w:pPr>
            <w:r>
              <w:rPr>
                <w:rFonts w:hint="eastAsia" w:ascii="宋体" w:hAnsi="宋体" w:cs="宋体"/>
                <w:color w:val="000000"/>
                <w:kern w:val="0"/>
                <w:sz w:val="24"/>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745" w:hRule="atLeast"/>
          <w:jc w:val="center"/>
        </w:trPr>
        <w:tc>
          <w:tcPr>
            <w:tcW w:w="92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34" w:hRule="atLeast"/>
          <w:jc w:val="center"/>
        </w:trPr>
        <w:tc>
          <w:tcPr>
            <w:tcW w:w="10498" w:type="dxa"/>
            <w:gridSpan w:val="6"/>
            <w:tcBorders>
              <w:top w:val="nil"/>
              <w:left w:val="nil"/>
              <w:bottom w:val="nil"/>
              <w:right w:val="nil"/>
            </w:tcBorders>
            <w:tcMar>
              <w:top w:w="15" w:type="dxa"/>
              <w:left w:w="15" w:type="dxa"/>
              <w:right w:w="15" w:type="dxa"/>
            </w:tcMar>
            <w:vAlign w:val="center"/>
          </w:tcPr>
          <w:p>
            <w:pPr>
              <w:widowControl/>
              <w:spacing w:line="560" w:lineRule="exact"/>
              <w:textAlignment w:val="center"/>
              <w:rPr>
                <w:rFonts w:hint="eastAsia" w:ascii="宋体" w:hAnsi="宋体" w:cs="宋体"/>
                <w:b/>
                <w:bCs/>
                <w:color w:val="000000"/>
                <w:kern w:val="0"/>
                <w:sz w:val="36"/>
                <w:szCs w:val="36"/>
              </w:rPr>
            </w:pPr>
          </w:p>
          <w:p>
            <w:pPr>
              <w:widowControl/>
              <w:spacing w:line="560" w:lineRule="exact"/>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(2021年度）</w:t>
            </w:r>
          </w:p>
        </w:tc>
      </w:tr>
      <w:tr>
        <w:tblPrEx>
          <w:tblCellMar>
            <w:top w:w="0" w:type="dxa"/>
            <w:left w:w="0" w:type="dxa"/>
            <w:bottom w:w="0" w:type="dxa"/>
            <w:right w:w="0" w:type="dxa"/>
          </w:tblCellMar>
        </w:tblPrEx>
        <w:trPr>
          <w:trHeight w:val="698" w:hRule="atLeast"/>
          <w:jc w:val="center"/>
        </w:trPr>
        <w:tc>
          <w:tcPr>
            <w:tcW w:w="33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textAlignment w:val="center"/>
              <w:rPr>
                <w:rFonts w:ascii="宋体" w:hAnsi="宋体" w:cs="宋体"/>
                <w:color w:val="000000"/>
                <w:sz w:val="24"/>
              </w:rPr>
            </w:pPr>
            <w:r>
              <w:rPr>
                <w:rFonts w:hint="eastAsia" w:ascii="宋体" w:hAnsi="宋体" w:cs="宋体"/>
                <w:color w:val="000000"/>
                <w:sz w:val="24"/>
              </w:rPr>
              <w:t>根据川财教【2021】40号下达2021年中央支持地方公共文化服务体系建设补助资金</w:t>
            </w:r>
          </w:p>
        </w:tc>
      </w:tr>
      <w:tr>
        <w:tblPrEx>
          <w:tblCellMar>
            <w:top w:w="0" w:type="dxa"/>
            <w:left w:w="0" w:type="dxa"/>
            <w:bottom w:w="0" w:type="dxa"/>
            <w:right w:w="0" w:type="dxa"/>
          </w:tblCellMar>
        </w:tblPrEx>
        <w:trPr>
          <w:trHeight w:val="276" w:hRule="atLeast"/>
          <w:jc w:val="center"/>
        </w:trPr>
        <w:tc>
          <w:tcPr>
            <w:tcW w:w="33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929"/>
              </w:tabs>
              <w:spacing w:line="560" w:lineRule="exact"/>
              <w:jc w:val="left"/>
              <w:textAlignment w:val="center"/>
              <w:rPr>
                <w:rFonts w:ascii="宋体" w:hAnsi="宋体" w:cs="宋体"/>
                <w:color w:val="000000"/>
                <w:sz w:val="24"/>
              </w:rPr>
            </w:pPr>
            <w:r>
              <w:rPr>
                <w:rFonts w:hint="eastAsia" w:ascii="宋体" w:hAnsi="宋体" w:cs="宋体"/>
                <w:color w:val="000000"/>
                <w:sz w:val="24"/>
              </w:rPr>
              <w:tab/>
            </w:r>
            <w:r>
              <w:rPr>
                <w:rFonts w:hint="eastAsia" w:ascii="宋体" w:hAnsi="宋体" w:cs="宋体"/>
                <w:color w:val="000000"/>
                <w:sz w:val="24"/>
              </w:rPr>
              <w:t>盐边县红果彝族乡人民政府</w:t>
            </w:r>
          </w:p>
        </w:tc>
      </w:tr>
      <w:tr>
        <w:tblPrEx>
          <w:tblCellMar>
            <w:top w:w="0" w:type="dxa"/>
            <w:left w:w="0" w:type="dxa"/>
            <w:bottom w:w="0" w:type="dxa"/>
            <w:right w:w="0" w:type="dxa"/>
          </w:tblCellMar>
        </w:tblPrEx>
        <w:trPr>
          <w:trHeight w:val="276" w:hRule="atLeast"/>
          <w:jc w:val="center"/>
        </w:trPr>
        <w:tc>
          <w:tcPr>
            <w:tcW w:w="9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11.6万元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11.6万元</w:t>
            </w:r>
          </w:p>
        </w:tc>
      </w:tr>
      <w:tr>
        <w:tblPrEx>
          <w:tblCellMar>
            <w:top w:w="0" w:type="dxa"/>
            <w:left w:w="0" w:type="dxa"/>
            <w:bottom w:w="0" w:type="dxa"/>
            <w:right w:w="0" w:type="dxa"/>
          </w:tblCellMar>
        </w:tblPrEx>
        <w:trPr>
          <w:trHeight w:val="276"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11.6万元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11.6万元</w:t>
            </w:r>
          </w:p>
        </w:tc>
      </w:tr>
      <w:tr>
        <w:tblPrEx>
          <w:tblCellMar>
            <w:top w:w="0" w:type="dxa"/>
            <w:left w:w="0" w:type="dxa"/>
            <w:bottom w:w="0" w:type="dxa"/>
            <w:right w:w="0" w:type="dxa"/>
          </w:tblCellMar>
        </w:tblPrEx>
        <w:trPr>
          <w:trHeight w:val="1511"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其他资金：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其他资金：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9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180"/>
              </w:tabs>
              <w:spacing w:line="560" w:lineRule="exact"/>
              <w:jc w:val="center"/>
            </w:pPr>
            <w:r>
              <w:rPr>
                <w:rFonts w:hint="eastAsia" w:ascii="宋体" w:hAnsi="宋体" w:cs="宋体"/>
                <w:color w:val="000000"/>
                <w:sz w:val="24"/>
              </w:rPr>
              <w:t>提高公共文化服务体系建设、丰富文化宣传活动。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提高公共文化服务体系建设、丰富文化宣传活动、满足群众日益增长的文化需求。</w:t>
            </w:r>
          </w:p>
        </w:tc>
      </w:tr>
      <w:tr>
        <w:tblPrEx>
          <w:tblCellMar>
            <w:top w:w="0" w:type="dxa"/>
            <w:left w:w="0" w:type="dxa"/>
            <w:bottom w:w="0" w:type="dxa"/>
            <w:right w:w="0" w:type="dxa"/>
          </w:tblCellMar>
        </w:tblPrEx>
        <w:trPr>
          <w:trHeight w:val="814" w:hRule="atLeast"/>
          <w:jc w:val="center"/>
        </w:trPr>
        <w:tc>
          <w:tcPr>
            <w:tcW w:w="92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928" w:type="dxa"/>
            <w:vMerge w:val="continue"/>
            <w:tcBorders>
              <w:left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left"/>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公共文化服务体系建设补助资金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7个村（社）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100%</w:t>
            </w:r>
          </w:p>
        </w:tc>
      </w:tr>
      <w:tr>
        <w:tblPrEx>
          <w:tblCellMar>
            <w:top w:w="0" w:type="dxa"/>
            <w:left w:w="0" w:type="dxa"/>
            <w:bottom w:w="0" w:type="dxa"/>
            <w:right w:w="0" w:type="dxa"/>
          </w:tblCellMar>
        </w:tblPrEx>
        <w:trPr>
          <w:trHeight w:val="795" w:hRule="atLeast"/>
          <w:jc w:val="center"/>
        </w:trPr>
        <w:tc>
          <w:tcPr>
            <w:tcW w:w="928" w:type="dxa"/>
            <w:vMerge w:val="continue"/>
            <w:tcBorders>
              <w:left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left"/>
              <w:textAlignment w:val="center"/>
              <w:rPr>
                <w:rFonts w:ascii="宋体" w:hAnsi="宋体" w:cs="宋体"/>
                <w:color w:val="000000"/>
                <w:sz w:val="24"/>
              </w:rPr>
            </w:pPr>
            <w:r>
              <w:rPr>
                <w:rFonts w:hint="eastAsia" w:ascii="宋体" w:hAnsi="宋体" w:cs="宋体"/>
                <w:color w:val="000000"/>
                <w:sz w:val="24"/>
              </w:rPr>
              <w:t>11.6万元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100%</w:t>
            </w:r>
          </w:p>
        </w:tc>
      </w:tr>
      <w:tr>
        <w:tblPrEx>
          <w:tblCellMar>
            <w:top w:w="0" w:type="dxa"/>
            <w:left w:w="0" w:type="dxa"/>
            <w:bottom w:w="0" w:type="dxa"/>
            <w:right w:w="0" w:type="dxa"/>
          </w:tblCellMar>
        </w:tblPrEx>
        <w:trPr>
          <w:trHeight w:val="822" w:hRule="atLeast"/>
          <w:jc w:val="center"/>
        </w:trPr>
        <w:tc>
          <w:tcPr>
            <w:tcW w:w="928" w:type="dxa"/>
            <w:vMerge w:val="continue"/>
            <w:tcBorders>
              <w:left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left"/>
              <w:textAlignment w:val="center"/>
              <w:rPr>
                <w:rFonts w:ascii="宋体" w:hAnsi="宋体" w:cs="宋体"/>
                <w:color w:val="000000"/>
                <w:sz w:val="24"/>
              </w:rPr>
            </w:pPr>
            <w:r>
              <w:rPr>
                <w:rFonts w:hint="eastAsia" w:ascii="宋体" w:hAnsi="宋体" w:cs="宋体"/>
                <w:color w:val="000000"/>
                <w:sz w:val="24"/>
              </w:rPr>
              <w:t>11.6万元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100%</w:t>
            </w:r>
          </w:p>
        </w:tc>
      </w:tr>
      <w:tr>
        <w:tblPrEx>
          <w:tblCellMar>
            <w:top w:w="0" w:type="dxa"/>
            <w:left w:w="0" w:type="dxa"/>
            <w:bottom w:w="0" w:type="dxa"/>
            <w:right w:w="0" w:type="dxa"/>
          </w:tblCellMar>
        </w:tblPrEx>
        <w:trPr>
          <w:trHeight w:val="90" w:hRule="atLeast"/>
          <w:jc w:val="center"/>
        </w:trPr>
        <w:tc>
          <w:tcPr>
            <w:tcW w:w="928" w:type="dxa"/>
            <w:vMerge w:val="continue"/>
            <w:tcBorders>
              <w:left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textAlignment w:val="center"/>
              <w:rPr>
                <w:rFonts w:ascii="宋体" w:hAnsi="宋体" w:cs="宋体"/>
                <w:color w:val="000000"/>
                <w:sz w:val="24"/>
              </w:rPr>
            </w:pPr>
            <w:r>
              <w:rPr>
                <w:rFonts w:hint="eastAsia" w:ascii="宋体" w:hAnsi="宋体" w:cs="宋体"/>
                <w:color w:val="000000"/>
                <w:sz w:val="24"/>
              </w:rPr>
              <w:t>运行正常</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rPr>
                <w:rFonts w:ascii="宋体" w:hAnsi="宋体" w:cs="宋体"/>
                <w:color w:val="000000"/>
                <w:sz w:val="24"/>
              </w:rPr>
            </w:pPr>
            <w:r>
              <w:rPr>
                <w:rFonts w:hint="eastAsia" w:ascii="宋体" w:hAnsi="宋体" w:cs="宋体"/>
                <w:color w:val="000000"/>
                <w:kern w:val="0"/>
                <w:sz w:val="24"/>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745" w:hRule="atLeast"/>
          <w:jc w:val="center"/>
        </w:trPr>
        <w:tc>
          <w:tcPr>
            <w:tcW w:w="92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34" w:hRule="atLeast"/>
          <w:jc w:val="center"/>
        </w:trPr>
        <w:tc>
          <w:tcPr>
            <w:tcW w:w="10498" w:type="dxa"/>
            <w:gridSpan w:val="6"/>
            <w:tcBorders>
              <w:top w:val="nil"/>
              <w:left w:val="nil"/>
              <w:bottom w:val="nil"/>
              <w:right w:val="nil"/>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(2021年度）</w:t>
            </w:r>
          </w:p>
        </w:tc>
      </w:tr>
      <w:tr>
        <w:tblPrEx>
          <w:tblCellMar>
            <w:top w:w="0" w:type="dxa"/>
            <w:left w:w="0" w:type="dxa"/>
            <w:bottom w:w="0" w:type="dxa"/>
            <w:right w:w="0" w:type="dxa"/>
          </w:tblCellMar>
        </w:tblPrEx>
        <w:trPr>
          <w:trHeight w:val="698" w:hRule="atLeast"/>
          <w:jc w:val="center"/>
        </w:trPr>
        <w:tc>
          <w:tcPr>
            <w:tcW w:w="33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textAlignment w:val="center"/>
              <w:rPr>
                <w:rFonts w:ascii="宋体" w:hAnsi="宋体" w:cs="宋体"/>
                <w:color w:val="000000"/>
                <w:sz w:val="24"/>
              </w:rPr>
            </w:pPr>
            <w:r>
              <w:rPr>
                <w:rFonts w:hint="eastAsia" w:ascii="宋体" w:hAnsi="宋体" w:cs="宋体"/>
                <w:color w:val="000000"/>
                <w:sz w:val="24"/>
              </w:rPr>
              <w:t>根据川财行【2021】4号下达2021年民族地区春节送温暖慰问金</w:t>
            </w:r>
          </w:p>
        </w:tc>
      </w:tr>
      <w:tr>
        <w:tblPrEx>
          <w:tblCellMar>
            <w:top w:w="0" w:type="dxa"/>
            <w:left w:w="0" w:type="dxa"/>
            <w:bottom w:w="0" w:type="dxa"/>
            <w:right w:w="0" w:type="dxa"/>
          </w:tblCellMar>
        </w:tblPrEx>
        <w:trPr>
          <w:trHeight w:val="276" w:hRule="atLeast"/>
          <w:jc w:val="center"/>
        </w:trPr>
        <w:tc>
          <w:tcPr>
            <w:tcW w:w="332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abs>
                <w:tab w:val="left" w:pos="929"/>
              </w:tabs>
              <w:spacing w:line="560" w:lineRule="exact"/>
              <w:jc w:val="left"/>
              <w:textAlignment w:val="center"/>
              <w:rPr>
                <w:rFonts w:ascii="宋体" w:hAnsi="宋体" w:cs="宋体"/>
                <w:color w:val="000000"/>
                <w:sz w:val="24"/>
              </w:rPr>
            </w:pPr>
            <w:r>
              <w:rPr>
                <w:rFonts w:hint="eastAsia" w:ascii="宋体" w:hAnsi="宋体" w:cs="宋体"/>
                <w:color w:val="000000"/>
                <w:sz w:val="24"/>
              </w:rPr>
              <w:tab/>
            </w:r>
            <w:r>
              <w:rPr>
                <w:rFonts w:hint="eastAsia" w:ascii="宋体" w:hAnsi="宋体" w:cs="宋体"/>
                <w:color w:val="000000"/>
                <w:sz w:val="24"/>
              </w:rPr>
              <w:t>盐边县红果彝族乡人民政府</w:t>
            </w:r>
          </w:p>
        </w:tc>
      </w:tr>
      <w:tr>
        <w:tblPrEx>
          <w:tblCellMar>
            <w:top w:w="0" w:type="dxa"/>
            <w:left w:w="0" w:type="dxa"/>
            <w:bottom w:w="0" w:type="dxa"/>
            <w:right w:w="0" w:type="dxa"/>
          </w:tblCellMar>
        </w:tblPrEx>
        <w:trPr>
          <w:trHeight w:val="276" w:hRule="atLeast"/>
          <w:jc w:val="center"/>
        </w:trPr>
        <w:tc>
          <w:tcPr>
            <w:tcW w:w="9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2万元</w:t>
            </w:r>
          </w:p>
        </w:tc>
      </w:tr>
      <w:tr>
        <w:tblPrEx>
          <w:tblCellMar>
            <w:top w:w="0" w:type="dxa"/>
            <w:left w:w="0" w:type="dxa"/>
            <w:bottom w:w="0" w:type="dxa"/>
            <w:right w:w="0" w:type="dxa"/>
          </w:tblCellMar>
        </w:tblPrEx>
        <w:trPr>
          <w:trHeight w:val="276"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2万元</w:t>
            </w:r>
          </w:p>
        </w:tc>
      </w:tr>
      <w:tr>
        <w:tblPrEx>
          <w:tblCellMar>
            <w:top w:w="0" w:type="dxa"/>
            <w:left w:w="0" w:type="dxa"/>
            <w:bottom w:w="0" w:type="dxa"/>
            <w:right w:w="0" w:type="dxa"/>
          </w:tblCellMar>
        </w:tblPrEx>
        <w:trPr>
          <w:trHeight w:val="1511"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其他资金：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其他资金：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92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92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abs>
                <w:tab w:val="left" w:pos="1180"/>
              </w:tabs>
              <w:spacing w:line="560" w:lineRule="exact"/>
              <w:jc w:val="center"/>
            </w:pPr>
            <w:r>
              <w:rPr>
                <w:rFonts w:hint="eastAsia" w:ascii="宋体" w:hAnsi="宋体" w:cs="宋体"/>
                <w:color w:val="000000"/>
                <w:sz w:val="24"/>
              </w:rPr>
              <w:t>慰问困难群众、受难群众、困难职工代表等</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慰问少数民族困难群众、受难群众、困难职工代表等</w:t>
            </w:r>
          </w:p>
        </w:tc>
      </w:tr>
      <w:tr>
        <w:tblPrEx>
          <w:tblCellMar>
            <w:top w:w="0" w:type="dxa"/>
            <w:left w:w="0" w:type="dxa"/>
            <w:bottom w:w="0" w:type="dxa"/>
            <w:right w:w="0" w:type="dxa"/>
          </w:tblCellMar>
        </w:tblPrEx>
        <w:trPr>
          <w:trHeight w:val="814" w:hRule="atLeast"/>
          <w:jc w:val="center"/>
        </w:trPr>
        <w:tc>
          <w:tcPr>
            <w:tcW w:w="92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928" w:type="dxa"/>
            <w:vMerge w:val="continue"/>
            <w:tcBorders>
              <w:left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left"/>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2021年民族地区春节送温暖慰问金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7个村（社）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100%</w:t>
            </w:r>
          </w:p>
        </w:tc>
      </w:tr>
      <w:tr>
        <w:tblPrEx>
          <w:tblCellMar>
            <w:top w:w="0" w:type="dxa"/>
            <w:left w:w="0" w:type="dxa"/>
            <w:bottom w:w="0" w:type="dxa"/>
            <w:right w:w="0" w:type="dxa"/>
          </w:tblCellMar>
        </w:tblPrEx>
        <w:trPr>
          <w:trHeight w:val="795" w:hRule="atLeast"/>
          <w:jc w:val="center"/>
        </w:trPr>
        <w:tc>
          <w:tcPr>
            <w:tcW w:w="928" w:type="dxa"/>
            <w:vMerge w:val="continue"/>
            <w:tcBorders>
              <w:left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left"/>
              <w:textAlignment w:val="center"/>
              <w:rPr>
                <w:rFonts w:ascii="宋体" w:hAnsi="宋体" w:cs="宋体"/>
                <w:color w:val="000000"/>
                <w:sz w:val="24"/>
              </w:rPr>
            </w:pPr>
            <w:r>
              <w:rPr>
                <w:rFonts w:hint="eastAsia" w:ascii="宋体" w:hAnsi="宋体" w:cs="宋体"/>
                <w:color w:val="000000"/>
                <w:sz w:val="24"/>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100%</w:t>
            </w:r>
          </w:p>
        </w:tc>
      </w:tr>
      <w:tr>
        <w:tblPrEx>
          <w:tblCellMar>
            <w:top w:w="0" w:type="dxa"/>
            <w:left w:w="0" w:type="dxa"/>
            <w:bottom w:w="0" w:type="dxa"/>
            <w:right w:w="0" w:type="dxa"/>
          </w:tblCellMar>
        </w:tblPrEx>
        <w:trPr>
          <w:trHeight w:val="822" w:hRule="atLeast"/>
          <w:jc w:val="center"/>
        </w:trPr>
        <w:tc>
          <w:tcPr>
            <w:tcW w:w="928" w:type="dxa"/>
            <w:vMerge w:val="continue"/>
            <w:tcBorders>
              <w:left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left"/>
              <w:textAlignment w:val="center"/>
              <w:rPr>
                <w:rFonts w:ascii="宋体" w:hAnsi="宋体" w:cs="宋体"/>
                <w:color w:val="000000"/>
                <w:sz w:val="24"/>
              </w:rPr>
            </w:pPr>
            <w:r>
              <w:rPr>
                <w:rFonts w:hint="eastAsia" w:ascii="宋体" w:hAnsi="宋体" w:cs="宋体"/>
                <w:color w:val="000000"/>
                <w:sz w:val="24"/>
              </w:rPr>
              <w:t>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100%</w:t>
            </w:r>
          </w:p>
        </w:tc>
      </w:tr>
      <w:tr>
        <w:tblPrEx>
          <w:tblCellMar>
            <w:top w:w="0" w:type="dxa"/>
            <w:left w:w="0" w:type="dxa"/>
            <w:bottom w:w="0" w:type="dxa"/>
            <w:right w:w="0" w:type="dxa"/>
          </w:tblCellMar>
        </w:tblPrEx>
        <w:trPr>
          <w:trHeight w:val="90" w:hRule="atLeast"/>
          <w:jc w:val="center"/>
        </w:trPr>
        <w:tc>
          <w:tcPr>
            <w:tcW w:w="928" w:type="dxa"/>
            <w:vMerge w:val="continue"/>
            <w:tcBorders>
              <w:left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textAlignment w:val="center"/>
              <w:rPr>
                <w:rFonts w:ascii="宋体" w:hAnsi="宋体" w:cs="宋体"/>
                <w:color w:val="000000"/>
                <w:sz w:val="24"/>
              </w:rPr>
            </w:pPr>
            <w:r>
              <w:rPr>
                <w:rFonts w:hint="eastAsia" w:ascii="宋体" w:hAnsi="宋体" w:cs="宋体"/>
                <w:color w:val="000000"/>
                <w:sz w:val="24"/>
              </w:rPr>
              <w:t>运行正常</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560" w:lineRule="exact"/>
              <w:rPr>
                <w:rFonts w:ascii="宋体" w:hAnsi="宋体" w:cs="宋体"/>
                <w:color w:val="000000"/>
                <w:sz w:val="24"/>
              </w:rPr>
            </w:pPr>
            <w:r>
              <w:rPr>
                <w:rFonts w:hint="eastAsia" w:ascii="宋体" w:hAnsi="宋体" w:cs="宋体"/>
                <w:color w:val="000000"/>
                <w:kern w:val="0"/>
                <w:sz w:val="24"/>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745" w:hRule="atLeast"/>
          <w:jc w:val="center"/>
        </w:trPr>
        <w:tc>
          <w:tcPr>
            <w:tcW w:w="92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560" w:lineRule="exact"/>
              <w:jc w:val="center"/>
              <w:textAlignment w:val="center"/>
              <w:rPr>
                <w:rFonts w:ascii="宋体" w:hAnsi="宋体" w:cs="宋体"/>
                <w:color w:val="000000"/>
                <w:sz w:val="24"/>
              </w:rPr>
            </w:pPr>
          </w:p>
        </w:tc>
      </w:tr>
    </w:tbl>
    <w:p>
      <w:pPr>
        <w:pStyle w:val="6"/>
      </w:pPr>
      <w:bookmarkStart w:id="220" w:name="_Toc17147"/>
      <w:bookmarkStart w:id="221" w:name="_Toc15396618"/>
      <w:r>
        <w:rPr>
          <w:rFonts w:hint="eastAsia"/>
        </w:rPr>
        <w:t>2.部门绩效评价结果。</w:t>
      </w:r>
      <w:bookmarkEnd w:id="22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本部门按要求对2021年部门整体支出绩效评价情况开展自评，《红果彝族乡2021年部门整体支出绩效评价报告》见附件（附件1）。</w:t>
      </w:r>
    </w:p>
    <w:p>
      <w:pPr>
        <w:spacing w:line="56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本部门自行组织对18个项目开展了绩效评价，《红果彝族乡项目2021年绩效评价报告》，选取6个开展项目绩效目标完成情况评价，见附件（附件2）。</w:t>
      </w:r>
    </w:p>
    <w:p>
      <w:pPr>
        <w:pStyle w:val="2"/>
        <w:rPr>
          <w:rFonts w:hint="eastAsia"/>
        </w:rPr>
      </w:pPr>
    </w:p>
    <w:p>
      <w:pPr>
        <w:pStyle w:val="2"/>
      </w:pPr>
    </w:p>
    <w:bookmarkEnd w:id="127"/>
    <w:bookmarkEnd w:id="221"/>
    <w:p>
      <w:pPr>
        <w:spacing w:line="600" w:lineRule="exact"/>
        <w:jc w:val="center"/>
        <w:outlineLvl w:val="0"/>
        <w:rPr>
          <w:rFonts w:hint="eastAsia" w:ascii="黑体" w:hAnsi="黑体" w:eastAsia="黑体"/>
          <w:sz w:val="44"/>
          <w:szCs w:val="44"/>
        </w:rPr>
      </w:pPr>
      <w:bookmarkStart w:id="222" w:name="_Toc15396619"/>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pStyle w:val="2"/>
        <w:rPr>
          <w:rFonts w:hint="eastAsia" w:ascii="黑体" w:hAnsi="黑体" w:eastAsia="黑体"/>
          <w:sz w:val="44"/>
          <w:szCs w:val="44"/>
        </w:rPr>
      </w:pPr>
    </w:p>
    <w:p>
      <w:pPr>
        <w:rPr>
          <w:rFonts w:hint="eastAsia"/>
        </w:rPr>
      </w:pPr>
    </w:p>
    <w:p>
      <w:pPr>
        <w:spacing w:line="600" w:lineRule="exact"/>
        <w:jc w:val="center"/>
        <w:outlineLvl w:val="0"/>
        <w:rPr>
          <w:rFonts w:hint="eastAsia" w:ascii="黑体" w:hAnsi="黑体" w:eastAsia="黑体"/>
          <w:sz w:val="44"/>
          <w:szCs w:val="44"/>
        </w:rPr>
      </w:pPr>
    </w:p>
    <w:p>
      <w:pPr>
        <w:spacing w:line="600" w:lineRule="exact"/>
        <w:jc w:val="center"/>
        <w:outlineLvl w:val="0"/>
        <w:rPr>
          <w:rStyle w:val="29"/>
          <w:rFonts w:hint="eastAsia" w:ascii="黑体" w:hAnsi="黑体" w:eastAsia="黑体"/>
          <w:b w:val="0"/>
        </w:rPr>
      </w:pPr>
      <w:bookmarkStart w:id="223" w:name="_Toc8780_WPSOffice_Level1"/>
      <w:bookmarkStart w:id="224" w:name="_Toc27176"/>
      <w:r>
        <w:rPr>
          <w:rFonts w:hint="eastAsia" w:ascii="黑体" w:hAnsi="黑体" w:eastAsia="黑体"/>
          <w:sz w:val="44"/>
          <w:szCs w:val="44"/>
        </w:rPr>
        <w:t>第</w:t>
      </w:r>
      <w:r>
        <w:rPr>
          <w:rStyle w:val="29"/>
          <w:rFonts w:hint="eastAsia" w:ascii="黑体" w:hAnsi="黑体" w:eastAsia="黑体"/>
          <w:b w:val="0"/>
        </w:rPr>
        <w:t>五部分 附表</w:t>
      </w:r>
      <w:bookmarkEnd w:id="223"/>
      <w:bookmarkEnd w:id="224"/>
    </w:p>
    <w:p>
      <w:pPr>
        <w:pStyle w:val="2"/>
        <w:rPr>
          <w:rFonts w:hint="eastAsia"/>
        </w:rPr>
      </w:pPr>
    </w:p>
    <w:p>
      <w:pPr>
        <w:pStyle w:val="5"/>
        <w:outlineLvl w:val="1"/>
        <w:rPr>
          <w:rStyle w:val="30"/>
          <w:rFonts w:ascii="仿宋" w:hAnsi="仿宋" w:eastAsia="仿宋"/>
          <w:b w:val="0"/>
          <w:bCs w:val="0"/>
        </w:rPr>
      </w:pPr>
      <w:bookmarkStart w:id="225" w:name="_Toc29747"/>
      <w:bookmarkStart w:id="226" w:name="_Toc6250_WPSOffice_Level2"/>
      <w:r>
        <w:rPr>
          <w:rStyle w:val="30"/>
          <w:rFonts w:hint="eastAsia" w:ascii="仿宋" w:hAnsi="仿宋" w:eastAsia="仿宋"/>
          <w:b w:val="0"/>
          <w:bCs w:val="0"/>
        </w:rPr>
        <w:t>一、收入支出决算总表</w:t>
      </w:r>
      <w:bookmarkEnd w:id="222"/>
      <w:bookmarkEnd w:id="225"/>
      <w:bookmarkEnd w:id="226"/>
    </w:p>
    <w:p>
      <w:pPr>
        <w:pStyle w:val="5"/>
        <w:outlineLvl w:val="1"/>
        <w:rPr>
          <w:rFonts w:ascii="仿宋" w:hAnsi="仿宋" w:eastAsia="仿宋"/>
        </w:rPr>
      </w:pPr>
      <w:bookmarkStart w:id="227" w:name="_Toc1447_WPSOffice_Level2"/>
      <w:bookmarkStart w:id="228" w:name="_Toc15396620"/>
      <w:bookmarkStart w:id="229" w:name="_Toc31752"/>
      <w:r>
        <w:rPr>
          <w:rFonts w:hint="eastAsia" w:ascii="仿宋" w:hAnsi="仿宋" w:eastAsia="仿宋"/>
          <w:b w:val="0"/>
        </w:rPr>
        <w:t>二、收</w:t>
      </w:r>
      <w:r>
        <w:rPr>
          <w:rStyle w:val="30"/>
          <w:rFonts w:hint="eastAsia" w:ascii="仿宋" w:hAnsi="仿宋" w:eastAsia="仿宋"/>
          <w:b w:val="0"/>
          <w:bCs w:val="0"/>
        </w:rPr>
        <w:t>入决算表</w:t>
      </w:r>
      <w:bookmarkEnd w:id="227"/>
      <w:bookmarkEnd w:id="228"/>
      <w:bookmarkEnd w:id="229"/>
    </w:p>
    <w:p>
      <w:pPr>
        <w:pStyle w:val="5"/>
        <w:outlineLvl w:val="1"/>
        <w:rPr>
          <w:rFonts w:ascii="仿宋" w:hAnsi="仿宋" w:eastAsia="仿宋"/>
        </w:rPr>
      </w:pPr>
      <w:bookmarkStart w:id="230" w:name="_Toc6535_WPSOffice_Level2"/>
      <w:bookmarkStart w:id="231" w:name="_Toc15396621"/>
      <w:bookmarkStart w:id="232" w:name="_Toc5722"/>
      <w:r>
        <w:rPr>
          <w:rStyle w:val="30"/>
          <w:rFonts w:hint="eastAsia" w:ascii="仿宋" w:hAnsi="仿宋" w:eastAsia="仿宋"/>
          <w:b w:val="0"/>
          <w:bCs w:val="0"/>
        </w:rPr>
        <w:t>三、</w:t>
      </w:r>
      <w:r>
        <w:rPr>
          <w:rFonts w:hint="eastAsia" w:ascii="仿宋" w:hAnsi="仿宋" w:eastAsia="仿宋"/>
          <w:b w:val="0"/>
        </w:rPr>
        <w:t>支</w:t>
      </w:r>
      <w:r>
        <w:rPr>
          <w:rStyle w:val="30"/>
          <w:rFonts w:hint="eastAsia" w:ascii="仿宋" w:hAnsi="仿宋" w:eastAsia="仿宋"/>
          <w:b w:val="0"/>
          <w:bCs w:val="0"/>
        </w:rPr>
        <w:t>出决算表</w:t>
      </w:r>
      <w:bookmarkEnd w:id="230"/>
      <w:bookmarkEnd w:id="231"/>
      <w:bookmarkEnd w:id="232"/>
    </w:p>
    <w:p>
      <w:pPr>
        <w:pStyle w:val="5"/>
        <w:outlineLvl w:val="1"/>
        <w:rPr>
          <w:rFonts w:ascii="仿宋" w:hAnsi="仿宋" w:eastAsia="仿宋"/>
          <w:b w:val="0"/>
        </w:rPr>
      </w:pPr>
      <w:bookmarkStart w:id="233" w:name="_Toc15396622"/>
      <w:bookmarkStart w:id="234" w:name="_Toc21714_WPSOffice_Level2"/>
      <w:bookmarkStart w:id="235" w:name="_Toc1763"/>
      <w:r>
        <w:rPr>
          <w:rStyle w:val="30"/>
          <w:rFonts w:hint="eastAsia" w:ascii="仿宋" w:hAnsi="仿宋" w:eastAsia="仿宋"/>
          <w:b w:val="0"/>
          <w:bCs w:val="0"/>
        </w:rPr>
        <w:t>四、</w:t>
      </w:r>
      <w:r>
        <w:rPr>
          <w:rFonts w:hint="eastAsia" w:ascii="仿宋" w:hAnsi="仿宋" w:eastAsia="仿宋"/>
          <w:b w:val="0"/>
        </w:rPr>
        <w:t>财</w:t>
      </w:r>
      <w:r>
        <w:rPr>
          <w:rStyle w:val="30"/>
          <w:rFonts w:hint="eastAsia" w:ascii="仿宋" w:hAnsi="仿宋" w:eastAsia="仿宋"/>
          <w:b w:val="0"/>
          <w:bCs w:val="0"/>
        </w:rPr>
        <w:t>政拨款收入支出决算总表</w:t>
      </w:r>
      <w:bookmarkEnd w:id="233"/>
      <w:bookmarkEnd w:id="234"/>
      <w:bookmarkEnd w:id="235"/>
    </w:p>
    <w:p>
      <w:pPr>
        <w:pStyle w:val="5"/>
        <w:outlineLvl w:val="1"/>
        <w:rPr>
          <w:rStyle w:val="30"/>
          <w:rFonts w:ascii="仿宋" w:hAnsi="仿宋" w:eastAsia="仿宋"/>
          <w:b w:val="0"/>
          <w:bCs w:val="0"/>
        </w:rPr>
      </w:pPr>
      <w:bookmarkStart w:id="236" w:name="_Toc15396623"/>
      <w:bookmarkStart w:id="237" w:name="_Toc14332"/>
      <w:bookmarkStart w:id="238" w:name="_Toc24862_WPSOffice_Level2"/>
      <w:r>
        <w:rPr>
          <w:rStyle w:val="30"/>
          <w:rFonts w:hint="eastAsia" w:ascii="仿宋" w:hAnsi="仿宋" w:eastAsia="仿宋"/>
          <w:b w:val="0"/>
          <w:bCs w:val="0"/>
        </w:rPr>
        <w:t>五、</w:t>
      </w:r>
      <w:r>
        <w:rPr>
          <w:rFonts w:hint="eastAsia" w:ascii="仿宋" w:hAnsi="仿宋" w:eastAsia="仿宋"/>
          <w:b w:val="0"/>
        </w:rPr>
        <w:t>财</w:t>
      </w:r>
      <w:r>
        <w:rPr>
          <w:rStyle w:val="30"/>
          <w:rFonts w:hint="eastAsia" w:ascii="仿宋" w:hAnsi="仿宋" w:eastAsia="仿宋"/>
          <w:b w:val="0"/>
          <w:bCs w:val="0"/>
        </w:rPr>
        <w:t>政拨款支出决算明细表</w:t>
      </w:r>
      <w:bookmarkEnd w:id="236"/>
      <w:bookmarkEnd w:id="237"/>
      <w:bookmarkEnd w:id="238"/>
      <w:bookmarkStart w:id="239" w:name="_Toc15396624"/>
    </w:p>
    <w:p>
      <w:pPr>
        <w:pStyle w:val="5"/>
        <w:outlineLvl w:val="1"/>
        <w:rPr>
          <w:rFonts w:ascii="仿宋" w:hAnsi="仿宋" w:eastAsia="仿宋"/>
        </w:rPr>
      </w:pPr>
      <w:bookmarkStart w:id="240" w:name="_Toc22757_WPSOffice_Level2"/>
      <w:bookmarkStart w:id="241" w:name="_Toc6403"/>
      <w:r>
        <w:rPr>
          <w:rStyle w:val="30"/>
          <w:rFonts w:hint="eastAsia" w:ascii="仿宋" w:hAnsi="仿宋" w:eastAsia="仿宋"/>
          <w:b w:val="0"/>
          <w:bCs w:val="0"/>
        </w:rPr>
        <w:t>六、</w:t>
      </w:r>
      <w:r>
        <w:rPr>
          <w:rFonts w:hint="eastAsia" w:ascii="仿宋" w:hAnsi="仿宋" w:eastAsia="仿宋"/>
          <w:b w:val="0"/>
        </w:rPr>
        <w:t>一</w:t>
      </w:r>
      <w:r>
        <w:rPr>
          <w:rStyle w:val="30"/>
          <w:rFonts w:hint="eastAsia" w:ascii="仿宋" w:hAnsi="仿宋" w:eastAsia="仿宋"/>
          <w:b w:val="0"/>
          <w:bCs w:val="0"/>
        </w:rPr>
        <w:t>般公共预算财政拨款支出决算表</w:t>
      </w:r>
      <w:bookmarkEnd w:id="239"/>
      <w:bookmarkEnd w:id="240"/>
      <w:bookmarkEnd w:id="241"/>
    </w:p>
    <w:p>
      <w:pPr>
        <w:pStyle w:val="5"/>
        <w:outlineLvl w:val="1"/>
        <w:rPr>
          <w:rFonts w:ascii="仿宋" w:hAnsi="仿宋" w:eastAsia="仿宋"/>
        </w:rPr>
      </w:pPr>
      <w:bookmarkStart w:id="242" w:name="_Toc22011_WPSOffice_Level2"/>
      <w:bookmarkStart w:id="243" w:name="_Toc25509"/>
      <w:bookmarkStart w:id="244" w:name="_Toc15396625"/>
      <w:r>
        <w:rPr>
          <w:rStyle w:val="30"/>
          <w:rFonts w:hint="eastAsia" w:ascii="仿宋" w:hAnsi="仿宋" w:eastAsia="仿宋"/>
          <w:b w:val="0"/>
          <w:bCs w:val="0"/>
        </w:rPr>
        <w:t>七、</w:t>
      </w:r>
      <w:r>
        <w:rPr>
          <w:rFonts w:hint="eastAsia" w:ascii="仿宋" w:hAnsi="仿宋" w:eastAsia="仿宋"/>
          <w:b w:val="0"/>
        </w:rPr>
        <w:t>一</w:t>
      </w:r>
      <w:r>
        <w:rPr>
          <w:rStyle w:val="30"/>
          <w:rFonts w:hint="eastAsia" w:ascii="仿宋" w:hAnsi="仿宋" w:eastAsia="仿宋"/>
          <w:b w:val="0"/>
          <w:bCs w:val="0"/>
        </w:rPr>
        <w:t>般公共预算财政拨款支出决算明细表</w:t>
      </w:r>
      <w:bookmarkEnd w:id="242"/>
      <w:bookmarkEnd w:id="243"/>
      <w:bookmarkEnd w:id="244"/>
    </w:p>
    <w:p>
      <w:pPr>
        <w:pStyle w:val="5"/>
        <w:outlineLvl w:val="1"/>
        <w:rPr>
          <w:rFonts w:ascii="仿宋" w:hAnsi="仿宋" w:eastAsia="仿宋"/>
        </w:rPr>
      </w:pPr>
      <w:bookmarkStart w:id="245" w:name="_Toc16932_WPSOffice_Level2"/>
      <w:bookmarkStart w:id="246" w:name="_Toc15396626"/>
      <w:bookmarkStart w:id="247" w:name="_Toc6794"/>
      <w:r>
        <w:rPr>
          <w:rStyle w:val="30"/>
          <w:rFonts w:hint="eastAsia" w:ascii="仿宋" w:hAnsi="仿宋" w:eastAsia="仿宋"/>
          <w:b w:val="0"/>
          <w:bCs w:val="0"/>
        </w:rPr>
        <w:t>八、</w:t>
      </w:r>
      <w:r>
        <w:rPr>
          <w:rFonts w:hint="eastAsia" w:ascii="仿宋" w:hAnsi="仿宋" w:eastAsia="仿宋"/>
          <w:b w:val="0"/>
        </w:rPr>
        <w:t>一</w:t>
      </w:r>
      <w:r>
        <w:rPr>
          <w:rStyle w:val="30"/>
          <w:rFonts w:hint="eastAsia" w:ascii="仿宋" w:hAnsi="仿宋" w:eastAsia="仿宋"/>
          <w:b w:val="0"/>
          <w:bCs w:val="0"/>
        </w:rPr>
        <w:t>般公共预算财政拨款基本支出决算表</w:t>
      </w:r>
      <w:bookmarkEnd w:id="245"/>
      <w:bookmarkEnd w:id="246"/>
      <w:bookmarkEnd w:id="247"/>
    </w:p>
    <w:p>
      <w:pPr>
        <w:pStyle w:val="5"/>
        <w:outlineLvl w:val="1"/>
        <w:rPr>
          <w:rFonts w:ascii="仿宋" w:hAnsi="仿宋" w:eastAsia="仿宋"/>
        </w:rPr>
      </w:pPr>
      <w:bookmarkStart w:id="248" w:name="_Toc24922_WPSOffice_Level2"/>
      <w:bookmarkStart w:id="249" w:name="_Toc20908"/>
      <w:bookmarkStart w:id="250" w:name="_Toc15396627"/>
      <w:r>
        <w:rPr>
          <w:rStyle w:val="30"/>
          <w:rFonts w:hint="eastAsia" w:ascii="仿宋" w:hAnsi="仿宋" w:eastAsia="仿宋"/>
          <w:b w:val="0"/>
          <w:bCs w:val="0"/>
        </w:rPr>
        <w:t>九、</w:t>
      </w:r>
      <w:r>
        <w:rPr>
          <w:rFonts w:hint="eastAsia" w:ascii="仿宋" w:hAnsi="仿宋" w:eastAsia="仿宋"/>
          <w:b w:val="0"/>
        </w:rPr>
        <w:t>一</w:t>
      </w:r>
      <w:r>
        <w:rPr>
          <w:rStyle w:val="30"/>
          <w:rFonts w:hint="eastAsia" w:ascii="仿宋" w:hAnsi="仿宋" w:eastAsia="仿宋"/>
          <w:b w:val="0"/>
          <w:bCs w:val="0"/>
        </w:rPr>
        <w:t>般公共预算财政拨款项目支出决算表</w:t>
      </w:r>
      <w:bookmarkEnd w:id="248"/>
      <w:bookmarkEnd w:id="249"/>
      <w:bookmarkEnd w:id="250"/>
    </w:p>
    <w:p>
      <w:pPr>
        <w:pStyle w:val="5"/>
        <w:outlineLvl w:val="1"/>
        <w:rPr>
          <w:rFonts w:ascii="仿宋" w:hAnsi="仿宋" w:eastAsia="仿宋"/>
        </w:rPr>
      </w:pPr>
      <w:bookmarkStart w:id="251" w:name="_Toc28377_WPSOffice_Level2"/>
      <w:bookmarkStart w:id="252" w:name="_Toc15396628"/>
      <w:bookmarkStart w:id="253" w:name="_Toc30788"/>
      <w:r>
        <w:rPr>
          <w:rStyle w:val="30"/>
          <w:rFonts w:hint="eastAsia" w:ascii="仿宋" w:hAnsi="仿宋" w:eastAsia="仿宋"/>
          <w:b w:val="0"/>
          <w:bCs w:val="0"/>
        </w:rPr>
        <w:t>十、</w:t>
      </w:r>
      <w:r>
        <w:rPr>
          <w:rFonts w:hint="eastAsia" w:ascii="仿宋" w:hAnsi="仿宋" w:eastAsia="仿宋"/>
          <w:b w:val="0"/>
        </w:rPr>
        <w:t>一</w:t>
      </w:r>
      <w:r>
        <w:rPr>
          <w:rStyle w:val="30"/>
          <w:rFonts w:hint="eastAsia" w:ascii="仿宋" w:hAnsi="仿宋" w:eastAsia="仿宋"/>
          <w:b w:val="0"/>
          <w:bCs w:val="0"/>
        </w:rPr>
        <w:t>般公共预算财政拨款“三公”经费支出决算表</w:t>
      </w:r>
      <w:bookmarkEnd w:id="251"/>
      <w:bookmarkEnd w:id="252"/>
      <w:bookmarkEnd w:id="253"/>
    </w:p>
    <w:p>
      <w:pPr>
        <w:pStyle w:val="5"/>
        <w:outlineLvl w:val="1"/>
        <w:rPr>
          <w:rFonts w:ascii="仿宋" w:hAnsi="仿宋" w:eastAsia="仿宋"/>
        </w:rPr>
      </w:pPr>
      <w:bookmarkStart w:id="254" w:name="_Toc15396629"/>
      <w:bookmarkStart w:id="255" w:name="_Toc617_WPSOffice_Level2"/>
      <w:bookmarkStart w:id="256" w:name="_Toc16950"/>
      <w:r>
        <w:rPr>
          <w:rStyle w:val="30"/>
          <w:rFonts w:hint="eastAsia" w:ascii="仿宋" w:hAnsi="仿宋" w:eastAsia="仿宋"/>
          <w:b w:val="0"/>
          <w:bCs w:val="0"/>
        </w:rPr>
        <w:t>十一、</w:t>
      </w:r>
      <w:r>
        <w:rPr>
          <w:rFonts w:hint="eastAsia" w:ascii="仿宋" w:hAnsi="仿宋" w:eastAsia="仿宋"/>
          <w:b w:val="0"/>
        </w:rPr>
        <w:t>政</w:t>
      </w:r>
      <w:r>
        <w:rPr>
          <w:rStyle w:val="30"/>
          <w:rFonts w:hint="eastAsia" w:ascii="仿宋" w:hAnsi="仿宋" w:eastAsia="仿宋"/>
          <w:b w:val="0"/>
          <w:bCs w:val="0"/>
        </w:rPr>
        <w:t>府性基金预算财政拨款收入支出决算表</w:t>
      </w:r>
      <w:bookmarkEnd w:id="254"/>
      <w:bookmarkEnd w:id="255"/>
      <w:bookmarkEnd w:id="256"/>
    </w:p>
    <w:p>
      <w:pPr>
        <w:pStyle w:val="5"/>
        <w:outlineLvl w:val="1"/>
        <w:rPr>
          <w:rFonts w:ascii="仿宋" w:hAnsi="仿宋" w:eastAsia="仿宋"/>
        </w:rPr>
      </w:pPr>
      <w:bookmarkStart w:id="257" w:name="_Toc1569"/>
      <w:bookmarkStart w:id="258" w:name="_Toc23359_WPSOffice_Level2"/>
      <w:bookmarkStart w:id="259" w:name="_Toc15396630"/>
      <w:r>
        <w:rPr>
          <w:rStyle w:val="30"/>
          <w:rFonts w:hint="eastAsia" w:ascii="仿宋" w:hAnsi="仿宋" w:eastAsia="仿宋"/>
          <w:b w:val="0"/>
          <w:bCs w:val="0"/>
        </w:rPr>
        <w:t>十二、</w:t>
      </w:r>
      <w:r>
        <w:rPr>
          <w:rFonts w:hint="eastAsia" w:ascii="仿宋" w:hAnsi="仿宋" w:eastAsia="仿宋"/>
          <w:b w:val="0"/>
        </w:rPr>
        <w:t>政</w:t>
      </w:r>
      <w:r>
        <w:rPr>
          <w:rStyle w:val="30"/>
          <w:rFonts w:hint="eastAsia" w:ascii="仿宋" w:hAnsi="仿宋" w:eastAsia="仿宋"/>
          <w:b w:val="0"/>
          <w:bCs w:val="0"/>
        </w:rPr>
        <w:t>府性基金预算财政拨款“三公”经费支出决算表</w:t>
      </w:r>
      <w:bookmarkEnd w:id="257"/>
      <w:bookmarkEnd w:id="258"/>
      <w:bookmarkEnd w:id="259"/>
    </w:p>
    <w:p>
      <w:pPr>
        <w:pStyle w:val="5"/>
        <w:outlineLvl w:val="1"/>
        <w:rPr>
          <w:rStyle w:val="30"/>
          <w:rFonts w:ascii="仿宋" w:hAnsi="仿宋" w:eastAsia="仿宋"/>
          <w:b w:val="0"/>
          <w:bCs w:val="0"/>
        </w:rPr>
      </w:pPr>
      <w:bookmarkStart w:id="260" w:name="_Toc15396631"/>
      <w:bookmarkStart w:id="261" w:name="_Toc32540_WPSOffice_Level2"/>
      <w:bookmarkStart w:id="262" w:name="_Toc1099"/>
      <w:r>
        <w:rPr>
          <w:rStyle w:val="30"/>
          <w:rFonts w:hint="eastAsia" w:ascii="仿宋" w:hAnsi="仿宋" w:eastAsia="仿宋"/>
          <w:b w:val="0"/>
          <w:bCs w:val="0"/>
        </w:rPr>
        <w:t>十三、</w:t>
      </w:r>
      <w:r>
        <w:rPr>
          <w:rFonts w:hint="eastAsia" w:ascii="仿宋" w:hAnsi="仿宋" w:eastAsia="仿宋"/>
          <w:b w:val="0"/>
        </w:rPr>
        <w:t>国</w:t>
      </w:r>
      <w:r>
        <w:rPr>
          <w:rStyle w:val="30"/>
          <w:rFonts w:hint="eastAsia" w:ascii="仿宋" w:hAnsi="仿宋" w:eastAsia="仿宋"/>
          <w:b w:val="0"/>
          <w:bCs w:val="0"/>
        </w:rPr>
        <w:t>有资本经营预算财政拨款收入支出决算表</w:t>
      </w:r>
      <w:bookmarkEnd w:id="260"/>
      <w:bookmarkEnd w:id="261"/>
      <w:bookmarkEnd w:id="262"/>
    </w:p>
    <w:p>
      <w:pPr>
        <w:outlineLvl w:val="1"/>
        <w:rPr>
          <w:rFonts w:eastAsia="仿宋"/>
        </w:rPr>
      </w:pPr>
      <w:bookmarkStart w:id="263" w:name="_Toc24189"/>
      <w:bookmarkStart w:id="264" w:name="_Toc3478_WPSOffice_Level2"/>
      <w:r>
        <w:rPr>
          <w:rStyle w:val="30"/>
          <w:rFonts w:hint="eastAsia" w:ascii="仿宋" w:hAnsi="仿宋" w:eastAsia="仿宋"/>
          <w:b w:val="0"/>
          <w:bCs w:val="0"/>
        </w:rPr>
        <w:t>十四、国有资本经营预算财政拨款支出决算表</w:t>
      </w:r>
      <w:bookmarkEnd w:id="263"/>
      <w:bookmarkEnd w:id="264"/>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roman"/>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IpoaUsQEA&#10;AE4DAAAOAAAAAAAAAAEAIAAAAB4BAABkcnMvZTJvRG9jLnhtbFBLBQYAAAAABgAGAFkBAABBBQAA&#10;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9734A8"/>
    <w:multiLevelType w:val="singleLevel"/>
    <w:tmpl w:val="9A9734A8"/>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29A25C63"/>
    <w:multiLevelType w:val="multilevel"/>
    <w:tmpl w:val="29A25C63"/>
    <w:lvl w:ilvl="0" w:tentative="0">
      <w:start w:val="2"/>
      <w:numFmt w:val="japaneseCounting"/>
      <w:lvlText w:val="（%1）"/>
      <w:lvlJc w:val="left"/>
      <w:pPr>
        <w:ind w:left="1740" w:hanging="1080"/>
      </w:pPr>
      <w:rPr>
        <w:rFonts w:hint="default"/>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5">
    <w:nsid w:val="3D5C601E"/>
    <w:multiLevelType w:val="singleLevel"/>
    <w:tmpl w:val="3D5C601E"/>
    <w:lvl w:ilvl="0" w:tentative="0">
      <w:start w:val="1"/>
      <w:numFmt w:val="chineseCounting"/>
      <w:suff w:val="nothing"/>
      <w:lvlText w:val="%1、"/>
      <w:lvlJc w:val="left"/>
      <w:rPr>
        <w:rFonts w:hint="eastAsia"/>
      </w:rPr>
    </w:lvl>
  </w:abstractNum>
  <w:abstractNum w:abstractNumId="6">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abstractNum w:abstractNumId="7">
    <w:nsid w:val="62790B39"/>
    <w:multiLevelType w:val="singleLevel"/>
    <w:tmpl w:val="62790B39"/>
    <w:lvl w:ilvl="0" w:tentative="0">
      <w:start w:val="2"/>
      <w:numFmt w:val="decimal"/>
      <w:suff w:val="nothing"/>
      <w:lvlText w:val="%1."/>
      <w:lvlJc w:val="left"/>
    </w:lvl>
  </w:abstractNum>
  <w:abstractNum w:abstractNumId="8">
    <w:nsid w:val="6279CC72"/>
    <w:multiLevelType w:val="singleLevel"/>
    <w:tmpl w:val="6279CC72"/>
    <w:lvl w:ilvl="0" w:tentative="0">
      <w:start w:val="2"/>
      <w:numFmt w:val="decimal"/>
      <w:suff w:val="nothing"/>
      <w:lvlText w:val="%1."/>
      <w:lvlJc w:val="left"/>
    </w:lvl>
  </w:abstractNum>
  <w:num w:numId="1">
    <w:abstractNumId w:val="6"/>
  </w:num>
  <w:num w:numId="2">
    <w:abstractNumId w:val="3"/>
  </w:num>
  <w:num w:numId="3">
    <w:abstractNumId w:val="1"/>
  </w:num>
  <w:num w:numId="4">
    <w:abstractNumId w:val="2"/>
  </w:num>
  <w:num w:numId="5">
    <w:abstractNumId w:val="5"/>
  </w:num>
  <w:num w:numId="6">
    <w:abstractNumId w:val="8"/>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2ZjIzYjM5NjYxMGI1NTUxYmZhMmU3NTllNjBjMTkifQ=="/>
  </w:docVars>
  <w:rsids>
    <w:rsidRoot w:val="00F1361C"/>
    <w:rsid w:val="00013D9C"/>
    <w:rsid w:val="000222C6"/>
    <w:rsid w:val="00023C57"/>
    <w:rsid w:val="0002549F"/>
    <w:rsid w:val="00041E3A"/>
    <w:rsid w:val="000468DB"/>
    <w:rsid w:val="0006469F"/>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2911"/>
    <w:rsid w:val="00114E9B"/>
    <w:rsid w:val="00142216"/>
    <w:rsid w:val="00144D6A"/>
    <w:rsid w:val="0014729F"/>
    <w:rsid w:val="00157BAB"/>
    <w:rsid w:val="001626E9"/>
    <w:rsid w:val="001654D1"/>
    <w:rsid w:val="00174518"/>
    <w:rsid w:val="0018106D"/>
    <w:rsid w:val="00185F64"/>
    <w:rsid w:val="001877A7"/>
    <w:rsid w:val="00191536"/>
    <w:rsid w:val="00196687"/>
    <w:rsid w:val="001B53FD"/>
    <w:rsid w:val="001C0962"/>
    <w:rsid w:val="001D7531"/>
    <w:rsid w:val="001E737D"/>
    <w:rsid w:val="001F0592"/>
    <w:rsid w:val="001F179A"/>
    <w:rsid w:val="001F7506"/>
    <w:rsid w:val="002006CD"/>
    <w:rsid w:val="00202B36"/>
    <w:rsid w:val="00204B7A"/>
    <w:rsid w:val="00204CDE"/>
    <w:rsid w:val="0021101A"/>
    <w:rsid w:val="00220536"/>
    <w:rsid w:val="00235629"/>
    <w:rsid w:val="0024530E"/>
    <w:rsid w:val="00260C38"/>
    <w:rsid w:val="002616C0"/>
    <w:rsid w:val="00265372"/>
    <w:rsid w:val="002662AA"/>
    <w:rsid w:val="00280496"/>
    <w:rsid w:val="00294DC9"/>
    <w:rsid w:val="00295495"/>
    <w:rsid w:val="002A31DE"/>
    <w:rsid w:val="002B2613"/>
    <w:rsid w:val="002D3F5A"/>
    <w:rsid w:val="002D43E3"/>
    <w:rsid w:val="002D6D05"/>
    <w:rsid w:val="002F1818"/>
    <w:rsid w:val="002F567B"/>
    <w:rsid w:val="003216A9"/>
    <w:rsid w:val="0032379D"/>
    <w:rsid w:val="00335A74"/>
    <w:rsid w:val="0036561B"/>
    <w:rsid w:val="0037013F"/>
    <w:rsid w:val="00380C92"/>
    <w:rsid w:val="00385DEB"/>
    <w:rsid w:val="003A484F"/>
    <w:rsid w:val="003A4883"/>
    <w:rsid w:val="003B0BE0"/>
    <w:rsid w:val="003B0C1B"/>
    <w:rsid w:val="003B688C"/>
    <w:rsid w:val="003C0291"/>
    <w:rsid w:val="003C39AE"/>
    <w:rsid w:val="003C7B60"/>
    <w:rsid w:val="003D0C0F"/>
    <w:rsid w:val="003D1FB2"/>
    <w:rsid w:val="003D66DA"/>
    <w:rsid w:val="003E1310"/>
    <w:rsid w:val="003E6F55"/>
    <w:rsid w:val="003F1E88"/>
    <w:rsid w:val="00406254"/>
    <w:rsid w:val="00406B7C"/>
    <w:rsid w:val="004223DE"/>
    <w:rsid w:val="0042340F"/>
    <w:rsid w:val="00434489"/>
    <w:rsid w:val="00437085"/>
    <w:rsid w:val="00443880"/>
    <w:rsid w:val="004464F4"/>
    <w:rsid w:val="00471401"/>
    <w:rsid w:val="00473F31"/>
    <w:rsid w:val="0048263A"/>
    <w:rsid w:val="00487E5D"/>
    <w:rsid w:val="004A711F"/>
    <w:rsid w:val="004B199D"/>
    <w:rsid w:val="004B4690"/>
    <w:rsid w:val="004B50E7"/>
    <w:rsid w:val="004E0A2D"/>
    <w:rsid w:val="004E206B"/>
    <w:rsid w:val="004E6DF7"/>
    <w:rsid w:val="004F0FBD"/>
    <w:rsid w:val="00505A47"/>
    <w:rsid w:val="00512FDA"/>
    <w:rsid w:val="00520DA0"/>
    <w:rsid w:val="005664BB"/>
    <w:rsid w:val="00566FFA"/>
    <w:rsid w:val="00570850"/>
    <w:rsid w:val="0057481D"/>
    <w:rsid w:val="0058486E"/>
    <w:rsid w:val="00584A9E"/>
    <w:rsid w:val="00585B33"/>
    <w:rsid w:val="0059014D"/>
    <w:rsid w:val="005B5C64"/>
    <w:rsid w:val="005C5337"/>
    <w:rsid w:val="005C6BD0"/>
    <w:rsid w:val="005D0490"/>
    <w:rsid w:val="005D1C8B"/>
    <w:rsid w:val="005D468D"/>
    <w:rsid w:val="005D5CED"/>
    <w:rsid w:val="005E064E"/>
    <w:rsid w:val="005F1A4C"/>
    <w:rsid w:val="00605688"/>
    <w:rsid w:val="006070AF"/>
    <w:rsid w:val="00607E6C"/>
    <w:rsid w:val="006101B1"/>
    <w:rsid w:val="00614E44"/>
    <w:rsid w:val="0062270A"/>
    <w:rsid w:val="00622830"/>
    <w:rsid w:val="00623DA0"/>
    <w:rsid w:val="006300AD"/>
    <w:rsid w:val="00630AEF"/>
    <w:rsid w:val="006325F8"/>
    <w:rsid w:val="00633463"/>
    <w:rsid w:val="00634C9A"/>
    <w:rsid w:val="006440E4"/>
    <w:rsid w:val="0066343B"/>
    <w:rsid w:val="00664777"/>
    <w:rsid w:val="006748A4"/>
    <w:rsid w:val="00681A31"/>
    <w:rsid w:val="00683E73"/>
    <w:rsid w:val="006917F8"/>
    <w:rsid w:val="006A3141"/>
    <w:rsid w:val="006A32FE"/>
    <w:rsid w:val="006A5E34"/>
    <w:rsid w:val="006B2422"/>
    <w:rsid w:val="006B2B9A"/>
    <w:rsid w:val="006C1937"/>
    <w:rsid w:val="006D2F2D"/>
    <w:rsid w:val="006F020C"/>
    <w:rsid w:val="007127B7"/>
    <w:rsid w:val="0071798E"/>
    <w:rsid w:val="007416B6"/>
    <w:rsid w:val="00746F48"/>
    <w:rsid w:val="007507C8"/>
    <w:rsid w:val="0075404D"/>
    <w:rsid w:val="0076182A"/>
    <w:rsid w:val="00767B7E"/>
    <w:rsid w:val="007770C3"/>
    <w:rsid w:val="00784D24"/>
    <w:rsid w:val="00785FBA"/>
    <w:rsid w:val="00786E4A"/>
    <w:rsid w:val="007875EB"/>
    <w:rsid w:val="0079426B"/>
    <w:rsid w:val="007D0D4D"/>
    <w:rsid w:val="007D0E47"/>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65F74"/>
    <w:rsid w:val="00871F71"/>
    <w:rsid w:val="00872FD8"/>
    <w:rsid w:val="00873DA9"/>
    <w:rsid w:val="00885AF4"/>
    <w:rsid w:val="0088736B"/>
    <w:rsid w:val="008939CD"/>
    <w:rsid w:val="008B768C"/>
    <w:rsid w:val="008C4DB1"/>
    <w:rsid w:val="008C4EAF"/>
    <w:rsid w:val="008C5176"/>
    <w:rsid w:val="008C7FD0"/>
    <w:rsid w:val="008E1DE7"/>
    <w:rsid w:val="008E6C10"/>
    <w:rsid w:val="008E707C"/>
    <w:rsid w:val="00900B08"/>
    <w:rsid w:val="00902155"/>
    <w:rsid w:val="00902FA3"/>
    <w:rsid w:val="00923564"/>
    <w:rsid w:val="0092392E"/>
    <w:rsid w:val="009315F9"/>
    <w:rsid w:val="00933499"/>
    <w:rsid w:val="00935C98"/>
    <w:rsid w:val="00946945"/>
    <w:rsid w:val="00947A5B"/>
    <w:rsid w:val="00951248"/>
    <w:rsid w:val="0095152F"/>
    <w:rsid w:val="00954C49"/>
    <w:rsid w:val="009551F9"/>
    <w:rsid w:val="00955E37"/>
    <w:rsid w:val="0097099F"/>
    <w:rsid w:val="00971997"/>
    <w:rsid w:val="00971FFC"/>
    <w:rsid w:val="0098660A"/>
    <w:rsid w:val="00990B16"/>
    <w:rsid w:val="00991C6B"/>
    <w:rsid w:val="009931C3"/>
    <w:rsid w:val="009A2CF5"/>
    <w:rsid w:val="009B2C43"/>
    <w:rsid w:val="009B4EAE"/>
    <w:rsid w:val="009B7573"/>
    <w:rsid w:val="009C22F4"/>
    <w:rsid w:val="009C2A4B"/>
    <w:rsid w:val="009C2E98"/>
    <w:rsid w:val="009D3447"/>
    <w:rsid w:val="009D4711"/>
    <w:rsid w:val="009F1185"/>
    <w:rsid w:val="009F18CD"/>
    <w:rsid w:val="009F2A13"/>
    <w:rsid w:val="009F70D8"/>
    <w:rsid w:val="009F7527"/>
    <w:rsid w:val="00A04EB0"/>
    <w:rsid w:val="00A13CC1"/>
    <w:rsid w:val="00A16847"/>
    <w:rsid w:val="00A237D8"/>
    <w:rsid w:val="00A268C4"/>
    <w:rsid w:val="00A307CD"/>
    <w:rsid w:val="00A331C8"/>
    <w:rsid w:val="00A35A3A"/>
    <w:rsid w:val="00A36D39"/>
    <w:rsid w:val="00A40A00"/>
    <w:rsid w:val="00A4142F"/>
    <w:rsid w:val="00A422EB"/>
    <w:rsid w:val="00A45BB7"/>
    <w:rsid w:val="00A56DF2"/>
    <w:rsid w:val="00A56E6E"/>
    <w:rsid w:val="00A615C8"/>
    <w:rsid w:val="00A67AB5"/>
    <w:rsid w:val="00A733B2"/>
    <w:rsid w:val="00A741C2"/>
    <w:rsid w:val="00A91760"/>
    <w:rsid w:val="00A93B00"/>
    <w:rsid w:val="00A93C21"/>
    <w:rsid w:val="00AB1876"/>
    <w:rsid w:val="00AB64C9"/>
    <w:rsid w:val="00AC3C6A"/>
    <w:rsid w:val="00AD0DB6"/>
    <w:rsid w:val="00AD5620"/>
    <w:rsid w:val="00AD656B"/>
    <w:rsid w:val="00AD7C1B"/>
    <w:rsid w:val="00AE16BA"/>
    <w:rsid w:val="00AE1EBE"/>
    <w:rsid w:val="00B0027C"/>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2017"/>
    <w:rsid w:val="00B77EA6"/>
    <w:rsid w:val="00B81598"/>
    <w:rsid w:val="00B841F1"/>
    <w:rsid w:val="00B907BB"/>
    <w:rsid w:val="00B944D6"/>
    <w:rsid w:val="00BB4DF0"/>
    <w:rsid w:val="00BC13C3"/>
    <w:rsid w:val="00BC289F"/>
    <w:rsid w:val="00BC2D50"/>
    <w:rsid w:val="00BC5361"/>
    <w:rsid w:val="00BC5460"/>
    <w:rsid w:val="00BC6B50"/>
    <w:rsid w:val="00BD0E25"/>
    <w:rsid w:val="00BD2333"/>
    <w:rsid w:val="00BF5BD6"/>
    <w:rsid w:val="00C03E31"/>
    <w:rsid w:val="00C1339C"/>
    <w:rsid w:val="00C33E72"/>
    <w:rsid w:val="00C354B2"/>
    <w:rsid w:val="00C35554"/>
    <w:rsid w:val="00C42709"/>
    <w:rsid w:val="00C533CC"/>
    <w:rsid w:val="00C5751C"/>
    <w:rsid w:val="00C61BFC"/>
    <w:rsid w:val="00C62B85"/>
    <w:rsid w:val="00C65438"/>
    <w:rsid w:val="00C74F2E"/>
    <w:rsid w:val="00C86168"/>
    <w:rsid w:val="00C8623F"/>
    <w:rsid w:val="00C87FD8"/>
    <w:rsid w:val="00C91381"/>
    <w:rsid w:val="00C91CBB"/>
    <w:rsid w:val="00CB4E70"/>
    <w:rsid w:val="00CC09B6"/>
    <w:rsid w:val="00CC666F"/>
    <w:rsid w:val="00CD1E3F"/>
    <w:rsid w:val="00CE44F6"/>
    <w:rsid w:val="00CE49DA"/>
    <w:rsid w:val="00CE7B61"/>
    <w:rsid w:val="00D00095"/>
    <w:rsid w:val="00D01E56"/>
    <w:rsid w:val="00D114F0"/>
    <w:rsid w:val="00D15F1E"/>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1BEE"/>
    <w:rsid w:val="00E03210"/>
    <w:rsid w:val="00E07ACF"/>
    <w:rsid w:val="00E331A1"/>
    <w:rsid w:val="00E33202"/>
    <w:rsid w:val="00E336A9"/>
    <w:rsid w:val="00E43C40"/>
    <w:rsid w:val="00E472B1"/>
    <w:rsid w:val="00E50624"/>
    <w:rsid w:val="00E568DF"/>
    <w:rsid w:val="00E64269"/>
    <w:rsid w:val="00E66F18"/>
    <w:rsid w:val="00E82267"/>
    <w:rsid w:val="00E853CE"/>
    <w:rsid w:val="00E867B6"/>
    <w:rsid w:val="00EA010F"/>
    <w:rsid w:val="00EB15AA"/>
    <w:rsid w:val="00EC7D02"/>
    <w:rsid w:val="00ED1B63"/>
    <w:rsid w:val="00ED3C1F"/>
    <w:rsid w:val="00ED4085"/>
    <w:rsid w:val="00ED420E"/>
    <w:rsid w:val="00ED6FBE"/>
    <w:rsid w:val="00EE2F57"/>
    <w:rsid w:val="00EF4C34"/>
    <w:rsid w:val="00EF77C6"/>
    <w:rsid w:val="00F0044E"/>
    <w:rsid w:val="00F05438"/>
    <w:rsid w:val="00F05B41"/>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92B60"/>
    <w:rsid w:val="010E1EC4"/>
    <w:rsid w:val="01CC3CB2"/>
    <w:rsid w:val="02A32AFB"/>
    <w:rsid w:val="03CF7C61"/>
    <w:rsid w:val="052610A1"/>
    <w:rsid w:val="05283E84"/>
    <w:rsid w:val="060E0EA9"/>
    <w:rsid w:val="062C34B5"/>
    <w:rsid w:val="066E0107"/>
    <w:rsid w:val="07996F6E"/>
    <w:rsid w:val="07D65023"/>
    <w:rsid w:val="08B618B7"/>
    <w:rsid w:val="08D565D4"/>
    <w:rsid w:val="0A2032A3"/>
    <w:rsid w:val="0C8229AC"/>
    <w:rsid w:val="0D2045FF"/>
    <w:rsid w:val="0D565FE8"/>
    <w:rsid w:val="0D7953D8"/>
    <w:rsid w:val="0D8C2E0C"/>
    <w:rsid w:val="0E0D5152"/>
    <w:rsid w:val="0E3407CC"/>
    <w:rsid w:val="0EDF0BB2"/>
    <w:rsid w:val="0FCF699C"/>
    <w:rsid w:val="10070DAB"/>
    <w:rsid w:val="101860EC"/>
    <w:rsid w:val="10821093"/>
    <w:rsid w:val="10C055FF"/>
    <w:rsid w:val="11174CF0"/>
    <w:rsid w:val="117610AB"/>
    <w:rsid w:val="118107EC"/>
    <w:rsid w:val="127D574B"/>
    <w:rsid w:val="12DC73A0"/>
    <w:rsid w:val="13986A89"/>
    <w:rsid w:val="13D50BC4"/>
    <w:rsid w:val="15EE08D2"/>
    <w:rsid w:val="16BB723D"/>
    <w:rsid w:val="176766B8"/>
    <w:rsid w:val="17C14DD0"/>
    <w:rsid w:val="183B7C9B"/>
    <w:rsid w:val="18447664"/>
    <w:rsid w:val="18803DA1"/>
    <w:rsid w:val="18A451B1"/>
    <w:rsid w:val="19255380"/>
    <w:rsid w:val="19A1434E"/>
    <w:rsid w:val="19ED60AB"/>
    <w:rsid w:val="1A605188"/>
    <w:rsid w:val="1AAF4216"/>
    <w:rsid w:val="1AF90773"/>
    <w:rsid w:val="1BA8343F"/>
    <w:rsid w:val="1BB226FB"/>
    <w:rsid w:val="1BE8440E"/>
    <w:rsid w:val="1BEF3815"/>
    <w:rsid w:val="1C395FFD"/>
    <w:rsid w:val="1C4C063C"/>
    <w:rsid w:val="1D155CEE"/>
    <w:rsid w:val="1D3E3F23"/>
    <w:rsid w:val="1D6D3D74"/>
    <w:rsid w:val="1DB61A21"/>
    <w:rsid w:val="1EDE30C9"/>
    <w:rsid w:val="1EF94147"/>
    <w:rsid w:val="1FEB2266"/>
    <w:rsid w:val="20110E8E"/>
    <w:rsid w:val="20494452"/>
    <w:rsid w:val="21487E33"/>
    <w:rsid w:val="22591AFB"/>
    <w:rsid w:val="23057C33"/>
    <w:rsid w:val="23860B96"/>
    <w:rsid w:val="240371BF"/>
    <w:rsid w:val="240C38B5"/>
    <w:rsid w:val="251136EA"/>
    <w:rsid w:val="259B7E05"/>
    <w:rsid w:val="264D65AE"/>
    <w:rsid w:val="26D92577"/>
    <w:rsid w:val="2744124B"/>
    <w:rsid w:val="27576877"/>
    <w:rsid w:val="28024A85"/>
    <w:rsid w:val="28356644"/>
    <w:rsid w:val="28842C8A"/>
    <w:rsid w:val="29594FC0"/>
    <w:rsid w:val="29FD04D3"/>
    <w:rsid w:val="2A231E97"/>
    <w:rsid w:val="2B3D21C8"/>
    <w:rsid w:val="2B9D3270"/>
    <w:rsid w:val="2BF13266"/>
    <w:rsid w:val="2C8A61B5"/>
    <w:rsid w:val="2DCE7105"/>
    <w:rsid w:val="2DF04E50"/>
    <w:rsid w:val="2E1F630B"/>
    <w:rsid w:val="2F5716F8"/>
    <w:rsid w:val="2F8E292B"/>
    <w:rsid w:val="2F900F37"/>
    <w:rsid w:val="2F921BA1"/>
    <w:rsid w:val="2F9D1739"/>
    <w:rsid w:val="302B10EB"/>
    <w:rsid w:val="30A54558"/>
    <w:rsid w:val="30BF70C3"/>
    <w:rsid w:val="319F7F4E"/>
    <w:rsid w:val="32243355"/>
    <w:rsid w:val="343947D3"/>
    <w:rsid w:val="3440299A"/>
    <w:rsid w:val="34602B2D"/>
    <w:rsid w:val="34904E0C"/>
    <w:rsid w:val="35B607D5"/>
    <w:rsid w:val="35D036DD"/>
    <w:rsid w:val="360A1258"/>
    <w:rsid w:val="36AA5135"/>
    <w:rsid w:val="36B17651"/>
    <w:rsid w:val="373D63B5"/>
    <w:rsid w:val="37E16F03"/>
    <w:rsid w:val="3826534D"/>
    <w:rsid w:val="39D13B0E"/>
    <w:rsid w:val="3A7F63CF"/>
    <w:rsid w:val="3ABB66C4"/>
    <w:rsid w:val="3ADD3EE5"/>
    <w:rsid w:val="3BA4748B"/>
    <w:rsid w:val="3C2A4D22"/>
    <w:rsid w:val="3C664FD0"/>
    <w:rsid w:val="3D98207C"/>
    <w:rsid w:val="3E4F5558"/>
    <w:rsid w:val="3E9611F1"/>
    <w:rsid w:val="3E9B233E"/>
    <w:rsid w:val="3F6D65DE"/>
    <w:rsid w:val="404376BD"/>
    <w:rsid w:val="406852F3"/>
    <w:rsid w:val="40B526C3"/>
    <w:rsid w:val="40D325A6"/>
    <w:rsid w:val="417667A5"/>
    <w:rsid w:val="4199524D"/>
    <w:rsid w:val="424F3353"/>
    <w:rsid w:val="43DC3B05"/>
    <w:rsid w:val="44645DBB"/>
    <w:rsid w:val="44E268DA"/>
    <w:rsid w:val="45221371"/>
    <w:rsid w:val="45937827"/>
    <w:rsid w:val="45A7683D"/>
    <w:rsid w:val="476549E3"/>
    <w:rsid w:val="47F43A1F"/>
    <w:rsid w:val="487A501F"/>
    <w:rsid w:val="490D3F62"/>
    <w:rsid w:val="4A183197"/>
    <w:rsid w:val="4A5C3F4C"/>
    <w:rsid w:val="4A627F82"/>
    <w:rsid w:val="4A743A94"/>
    <w:rsid w:val="4B4F25DA"/>
    <w:rsid w:val="4B8C69AB"/>
    <w:rsid w:val="4B9C0F35"/>
    <w:rsid w:val="4BE068DB"/>
    <w:rsid w:val="4C185F60"/>
    <w:rsid w:val="4C62145E"/>
    <w:rsid w:val="4CB726AC"/>
    <w:rsid w:val="4CF27A1B"/>
    <w:rsid w:val="4D577224"/>
    <w:rsid w:val="4D7D1CC0"/>
    <w:rsid w:val="4DF838E5"/>
    <w:rsid w:val="4E3038E5"/>
    <w:rsid w:val="4E480100"/>
    <w:rsid w:val="4EAB630A"/>
    <w:rsid w:val="4ECE2238"/>
    <w:rsid w:val="4F7C2068"/>
    <w:rsid w:val="50315AF0"/>
    <w:rsid w:val="50844D40"/>
    <w:rsid w:val="51651887"/>
    <w:rsid w:val="51F10F3A"/>
    <w:rsid w:val="53325985"/>
    <w:rsid w:val="536D136A"/>
    <w:rsid w:val="53A57113"/>
    <w:rsid w:val="559121CE"/>
    <w:rsid w:val="55DD60E6"/>
    <w:rsid w:val="55F71C67"/>
    <w:rsid w:val="568524E2"/>
    <w:rsid w:val="56891728"/>
    <w:rsid w:val="574B0227"/>
    <w:rsid w:val="57542C3D"/>
    <w:rsid w:val="58D951AF"/>
    <w:rsid w:val="595B2F81"/>
    <w:rsid w:val="595D7308"/>
    <w:rsid w:val="59647F27"/>
    <w:rsid w:val="599E46AD"/>
    <w:rsid w:val="5AF92295"/>
    <w:rsid w:val="5B7B1EBF"/>
    <w:rsid w:val="5B8E26F4"/>
    <w:rsid w:val="5CC06088"/>
    <w:rsid w:val="5CCF15DF"/>
    <w:rsid w:val="5CD71FC4"/>
    <w:rsid w:val="5DC13E0B"/>
    <w:rsid w:val="5DDE56CC"/>
    <w:rsid w:val="5DEB4C1F"/>
    <w:rsid w:val="5E137E35"/>
    <w:rsid w:val="5E324596"/>
    <w:rsid w:val="5EE409C3"/>
    <w:rsid w:val="6028318F"/>
    <w:rsid w:val="62E20DD3"/>
    <w:rsid w:val="63231E2D"/>
    <w:rsid w:val="63261052"/>
    <w:rsid w:val="635A3F94"/>
    <w:rsid w:val="645B00FB"/>
    <w:rsid w:val="645C6F88"/>
    <w:rsid w:val="64E17CEE"/>
    <w:rsid w:val="65837C36"/>
    <w:rsid w:val="66791E2C"/>
    <w:rsid w:val="66C2189F"/>
    <w:rsid w:val="673B156F"/>
    <w:rsid w:val="67D359B2"/>
    <w:rsid w:val="67DF5D81"/>
    <w:rsid w:val="69C3796B"/>
    <w:rsid w:val="69CE7494"/>
    <w:rsid w:val="6A1C3940"/>
    <w:rsid w:val="6A65437A"/>
    <w:rsid w:val="6ABB12EE"/>
    <w:rsid w:val="6ACC54F5"/>
    <w:rsid w:val="6B4F3057"/>
    <w:rsid w:val="6BCC3F84"/>
    <w:rsid w:val="6BEA4B79"/>
    <w:rsid w:val="6C4A05C8"/>
    <w:rsid w:val="6C4E7D8E"/>
    <w:rsid w:val="6D895E11"/>
    <w:rsid w:val="6E421647"/>
    <w:rsid w:val="6E7E3605"/>
    <w:rsid w:val="6F115FB6"/>
    <w:rsid w:val="6F6F7868"/>
    <w:rsid w:val="6FF5CC65"/>
    <w:rsid w:val="70384980"/>
    <w:rsid w:val="715C0E4B"/>
    <w:rsid w:val="72734D90"/>
    <w:rsid w:val="72A5361B"/>
    <w:rsid w:val="72E91CE1"/>
    <w:rsid w:val="7354012E"/>
    <w:rsid w:val="7365302B"/>
    <w:rsid w:val="73AD73D5"/>
    <w:rsid w:val="73B6EB34"/>
    <w:rsid w:val="74046685"/>
    <w:rsid w:val="741C0F9C"/>
    <w:rsid w:val="74F6288B"/>
    <w:rsid w:val="76DD3F38"/>
    <w:rsid w:val="792938B5"/>
    <w:rsid w:val="796C0067"/>
    <w:rsid w:val="797D63F3"/>
    <w:rsid w:val="79D439BB"/>
    <w:rsid w:val="79EE5BA4"/>
    <w:rsid w:val="7A894339"/>
    <w:rsid w:val="7C110AF9"/>
    <w:rsid w:val="7C267CCC"/>
    <w:rsid w:val="7CA83B52"/>
    <w:rsid w:val="7CD8491F"/>
    <w:rsid w:val="7D7D517D"/>
    <w:rsid w:val="7E132634"/>
    <w:rsid w:val="7E8C30A9"/>
    <w:rsid w:val="7ECD16C6"/>
    <w:rsid w:val="7EEF11D3"/>
    <w:rsid w:val="7F6779DD"/>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7">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8">
    <w:name w:val="Body Text"/>
    <w:basedOn w:val="1"/>
    <w:link w:val="26"/>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qFormat/>
    <w:uiPriority w:val="0"/>
    <w:rPr>
      <w:rFonts w:ascii="宋体" w:hAnsi="Courier New"/>
    </w:rPr>
  </w:style>
  <w:style w:type="paragraph" w:styleId="11">
    <w:name w:val="Balloon Text"/>
    <w:basedOn w:val="1"/>
    <w:link w:val="32"/>
    <w:semiHidden/>
    <w:unhideWhenUsed/>
    <w:qFormat/>
    <w:uiPriority w:val="99"/>
    <w:rPr>
      <w:sz w:val="18"/>
      <w:szCs w:val="18"/>
    </w:rPr>
  </w:style>
  <w:style w:type="paragraph" w:styleId="12">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paragraph" w:customStyle="1" w:styleId="20">
    <w:name w:val="默认"/>
    <w:basedOn w:val="1"/>
    <w:next w:val="1"/>
    <w:qFormat/>
    <w:uiPriority w:val="0"/>
    <w:pPr>
      <w:widowControl/>
    </w:pPr>
    <w:rPr>
      <w:rFonts w:ascii="Helvetica Neue" w:hAnsi="Helvetica Neue" w:eastAsia="Arial Unicode MS" w:cs="Arial Unicode MS"/>
      <w:color w:val="000000"/>
      <w:sz w:val="22"/>
    </w:rPr>
  </w:style>
  <w:style w:type="character" w:customStyle="1" w:styleId="21">
    <w:name w:val="Header Char"/>
    <w:basedOn w:val="17"/>
    <w:semiHidden/>
    <w:qFormat/>
    <w:uiPriority w:val="99"/>
    <w:rPr>
      <w:rFonts w:ascii="Times New Roman" w:hAnsi="Times New Roman"/>
      <w:sz w:val="18"/>
      <w:szCs w:val="18"/>
    </w:rPr>
  </w:style>
  <w:style w:type="character" w:customStyle="1" w:styleId="22">
    <w:name w:val="页眉 Char"/>
    <w:link w:val="13"/>
    <w:semiHidden/>
    <w:qFormat/>
    <w:locked/>
    <w:uiPriority w:val="99"/>
    <w:rPr>
      <w:sz w:val="18"/>
    </w:rPr>
  </w:style>
  <w:style w:type="character" w:customStyle="1" w:styleId="23">
    <w:name w:val="Footer Char"/>
    <w:basedOn w:val="17"/>
    <w:semiHidden/>
    <w:qFormat/>
    <w:uiPriority w:val="99"/>
    <w:rPr>
      <w:rFonts w:ascii="Times New Roman" w:hAnsi="Times New Roman"/>
      <w:sz w:val="18"/>
      <w:szCs w:val="18"/>
    </w:rPr>
  </w:style>
  <w:style w:type="character" w:customStyle="1" w:styleId="24">
    <w:name w:val="页脚 Char"/>
    <w:link w:val="12"/>
    <w:qFormat/>
    <w:locked/>
    <w:uiPriority w:val="99"/>
    <w:rPr>
      <w:sz w:val="18"/>
    </w:rPr>
  </w:style>
  <w:style w:type="character" w:customStyle="1" w:styleId="25">
    <w:name w:val="Body Text Char"/>
    <w:basedOn w:val="17"/>
    <w:semiHidden/>
    <w:qFormat/>
    <w:uiPriority w:val="99"/>
    <w:rPr>
      <w:rFonts w:ascii="Times New Roman" w:hAnsi="Times New Roman"/>
      <w:szCs w:val="24"/>
    </w:rPr>
  </w:style>
  <w:style w:type="character" w:customStyle="1" w:styleId="26">
    <w:name w:val="正文文本 Char"/>
    <w:link w:val="8"/>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7"/>
    <w:link w:val="4"/>
    <w:qFormat/>
    <w:uiPriority w:val="9"/>
    <w:rPr>
      <w:rFonts w:ascii="Times New Roman" w:hAnsi="Times New Roman"/>
      <w:b/>
      <w:bCs/>
      <w:kern w:val="44"/>
      <w:sz w:val="44"/>
      <w:szCs w:val="44"/>
    </w:rPr>
  </w:style>
  <w:style w:type="character" w:customStyle="1" w:styleId="30">
    <w:name w:val="标题 2 Char"/>
    <w:basedOn w:val="17"/>
    <w:link w:val="5"/>
    <w:qFormat/>
    <w:uiPriority w:val="9"/>
    <w:rPr>
      <w:rFonts w:asciiTheme="majorHAnsi" w:hAnsiTheme="majorHAnsi" w:eastAsiaTheme="majorEastAsia" w:cstheme="majorBidi"/>
      <w:b/>
      <w:bCs/>
      <w:kern w:val="2"/>
      <w:sz w:val="32"/>
      <w:szCs w:val="32"/>
    </w:rPr>
  </w:style>
  <w:style w:type="paragraph" w:customStyle="1" w:styleId="31">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7"/>
    <w:link w:val="11"/>
    <w:semiHidden/>
    <w:qFormat/>
    <w:uiPriority w:val="99"/>
    <w:rPr>
      <w:rFonts w:ascii="Times New Roman" w:hAnsi="Times New Roman"/>
      <w:kern w:val="2"/>
      <w:sz w:val="18"/>
      <w:szCs w:val="18"/>
    </w:rPr>
  </w:style>
  <w:style w:type="character" w:customStyle="1" w:styleId="33">
    <w:name w:val="标题 3 Char"/>
    <w:basedOn w:val="17"/>
    <w:link w:val="6"/>
    <w:qFormat/>
    <w:uiPriority w:val="9"/>
    <w:rPr>
      <w:rFonts w:ascii="Times New Roman" w:hAnsi="Times New Roman"/>
      <w:b/>
      <w:bCs/>
      <w:kern w:val="2"/>
      <w:sz w:val="32"/>
      <w:szCs w:val="32"/>
    </w:rPr>
  </w:style>
  <w:style w:type="paragraph" w:customStyle="1" w:styleId="34">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5">
    <w:name w:val="NormalCharacter"/>
    <w:qFormat/>
    <w:uiPriority w:val="99"/>
    <w:rPr>
      <w:rFonts w:ascii="Times New Roman" w:hAnsi="Times New Roman" w:eastAsia="宋体"/>
    </w:rPr>
  </w:style>
  <w:style w:type="paragraph" w:customStyle="1" w:styleId="36">
    <w:name w:val="列出段落1"/>
    <w:basedOn w:val="1"/>
    <w:unhideWhenUsed/>
    <w:qFormat/>
    <w:uiPriority w:val="99"/>
    <w:pPr>
      <w:ind w:firstLine="420" w:firstLineChars="200"/>
    </w:pPr>
  </w:style>
  <w:style w:type="paragraph" w:customStyle="1" w:styleId="37">
    <w:name w:val="WPSOffice手动目录 1"/>
    <w:uiPriority w:val="0"/>
    <w:pPr>
      <w:ind w:leftChars="0"/>
    </w:pPr>
    <w:rPr>
      <w:rFonts w:ascii="Calibri" w:hAnsi="Calibri" w:eastAsia="宋体" w:cs="Times New Roman"/>
      <w:sz w:val="20"/>
      <w:szCs w:val="20"/>
    </w:rPr>
  </w:style>
  <w:style w:type="paragraph" w:customStyle="1" w:styleId="38">
    <w:name w:val="WPSOffice手动目录 2"/>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7.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c:v>
                </c:pt>
              </c:strCache>
            </c:strRef>
          </c:tx>
          <c:invertIfNegative val="0"/>
          <c:dLbls>
            <c:delete val="1"/>
          </c:dLbls>
          <c:cat>
            <c:strRef>
              <c:f>Sheet1!$A$2:$A$3</c:f>
              <c:strCache>
                <c:ptCount val="2"/>
                <c:pt idx="0">
                  <c:v>收入总计</c:v>
                </c:pt>
                <c:pt idx="1">
                  <c:v>支出总计</c:v>
                </c:pt>
              </c:strCache>
            </c:strRef>
          </c:cat>
          <c:val>
            <c:numRef>
              <c:f>Sheet1!$B$2:$B$3</c:f>
              <c:numCache>
                <c:formatCode>General</c:formatCode>
                <c:ptCount val="2"/>
                <c:pt idx="0">
                  <c:v>1701.05</c:v>
                </c:pt>
                <c:pt idx="1">
                  <c:v>1718.98</c:v>
                </c:pt>
              </c:numCache>
            </c:numRef>
          </c:val>
        </c:ser>
        <c:ser>
          <c:idx val="1"/>
          <c:order val="1"/>
          <c:tx>
            <c:strRef>
              <c:f>Sheet1!$C$1</c:f>
              <c:strCache>
                <c:ptCount val="1"/>
                <c:pt idx="0">
                  <c:v>2021</c:v>
                </c:pt>
              </c:strCache>
            </c:strRef>
          </c:tx>
          <c:invertIfNegative val="0"/>
          <c:dLbls>
            <c:delete val="1"/>
          </c:dLbls>
          <c:cat>
            <c:strRef>
              <c:f>Sheet1!$A$2:$A$3</c:f>
              <c:strCache>
                <c:ptCount val="2"/>
                <c:pt idx="0">
                  <c:v>收入总计</c:v>
                </c:pt>
                <c:pt idx="1">
                  <c:v>支出总计</c:v>
                </c:pt>
              </c:strCache>
            </c:strRef>
          </c:cat>
          <c:val>
            <c:numRef>
              <c:f>Sheet1!$C$2:$C$3</c:f>
              <c:numCache>
                <c:formatCode>General</c:formatCode>
                <c:ptCount val="2"/>
                <c:pt idx="0">
                  <c:v>1657.46</c:v>
                </c:pt>
                <c:pt idx="1">
                  <c:v>1775.31</c:v>
                </c:pt>
              </c:numCache>
            </c:numRef>
          </c:val>
        </c:ser>
        <c:dLbls>
          <c:showLegendKey val="0"/>
          <c:showVal val="0"/>
          <c:showCatName val="0"/>
          <c:showSerName val="0"/>
          <c:showPercent val="0"/>
          <c:showBubbleSize val="0"/>
        </c:dLbls>
        <c:gapWidth val="150"/>
        <c:axId val="107328256"/>
        <c:axId val="107329792"/>
      </c:barChart>
      <c:catAx>
        <c:axId val="10732825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600" b="0" i="0" u="none" strike="noStrike" kern="1200" baseline="0">
                <a:solidFill>
                  <a:schemeClr val="tx1"/>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crossAx val="107329792"/>
        <c:crosses val="autoZero"/>
        <c:auto val="1"/>
        <c:lblAlgn val="ctr"/>
        <c:lblOffset val="100"/>
        <c:noMultiLvlLbl val="0"/>
      </c:catAx>
      <c:valAx>
        <c:axId val="1073297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600" b="0" i="0" u="none" strike="noStrike" kern="1200" baseline="0">
                <a:solidFill>
                  <a:schemeClr val="tx1"/>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crossAx val="107328256"/>
        <c:crosses val="autoZero"/>
        <c:crossBetween val="between"/>
      </c:valAx>
    </c:plotArea>
    <c:legend>
      <c:legendPos val="r"/>
      <c:legendEntry>
        <c:idx val="0"/>
        <c:txPr>
          <a:bodyPr rot="0" spcFirstLastPara="0" vertOverflow="ellipsis" vert="horz" wrap="square" anchor="ctr" anchorCtr="1"/>
          <a:lstStyle/>
          <a:p>
            <a:pPr>
              <a:defRPr lang="zh-CN" sz="1600" b="0" i="0" u="none" strike="noStrike" kern="1200" baseline="0">
                <a:solidFill>
                  <a:schemeClr val="tx1"/>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legendEntry>
      <c:legendEntry>
        <c:idx val="1"/>
        <c:txPr>
          <a:bodyPr rot="0" spcFirstLastPara="0" vertOverflow="ellipsis" vert="horz" wrap="square" anchor="ctr" anchorCtr="1"/>
          <a:lstStyle/>
          <a:p>
            <a:pPr>
              <a:defRPr lang="zh-CN" sz="1600" b="0" i="0" u="none" strike="noStrike" kern="1200" baseline="0">
                <a:solidFill>
                  <a:schemeClr val="tx1"/>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legendEntry>
      <c:layout/>
      <c:overlay val="0"/>
      <c:txPr>
        <a:bodyPr rot="0" spcFirstLastPara="0" vertOverflow="ellipsis" vert="horz" wrap="square" anchor="ctr" anchorCtr="1"/>
        <a:lstStyle/>
        <a:p>
          <a:pPr>
            <a:defRPr lang="zh-CN" sz="1600" b="0" i="0" u="none" strike="noStrike" kern="1200" baseline="0">
              <a:solidFill>
                <a:schemeClr val="tx1"/>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legend>
    <c:plotVisOnly val="1"/>
    <c:dispBlanksAs val="gap"/>
    <c:showDLblsOverMax val="0"/>
  </c:chart>
  <c:txPr>
    <a:bodyPr/>
    <a:lstStyle/>
    <a:p>
      <a:pPr>
        <a:defRPr lang="zh-CN" sz="1600">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Lbls>
            <c:delete val="1"/>
          </c:dLbls>
          <c:cat>
            <c:strRef>
              <c:f>'Sheet1'!$A$2:$A$3</c:f>
              <c:strCache>
                <c:ptCount val="2"/>
                <c:pt idx="0">
                  <c:v>一般公共预算财政拨款收入</c:v>
                </c:pt>
                <c:pt idx="1">
                  <c:v>政府性基金预算财政拨款收入</c:v>
                </c:pt>
              </c:strCache>
            </c:strRef>
          </c:cat>
          <c:val>
            <c:numRef>
              <c:f>'Sheet1'!$B$2:$B$3</c:f>
              <c:numCache>
                <c:formatCode>General</c:formatCode>
                <c:ptCount val="2"/>
                <c:pt idx="0">
                  <c:v>1532.16</c:v>
                </c:pt>
                <c:pt idx="1">
                  <c:v>125.3</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0"/>
          <c:dPt>
            <c:idx val="0"/>
            <c:bubble3D val="0"/>
          </c:dPt>
          <c:dPt>
            <c:idx val="1"/>
            <c:bubble3D val="0"/>
          </c:dPt>
          <c:dLbls>
            <c:delete val="1"/>
          </c:dLbls>
          <c:cat>
            <c:strRef>
              <c:f>Sheet1!$A$2:$A$3</c:f>
              <c:strCache>
                <c:ptCount val="2"/>
                <c:pt idx="0">
                  <c:v>基本支出</c:v>
                </c:pt>
                <c:pt idx="1">
                  <c:v>项目支出</c:v>
                </c:pt>
              </c:strCache>
            </c:strRef>
          </c:cat>
          <c:val>
            <c:numRef>
              <c:f>Sheet1!$B$2:$B$3</c:f>
              <c:numCache>
                <c:formatCode>General</c:formatCode>
                <c:ptCount val="2"/>
                <c:pt idx="0">
                  <c:v>1015.4</c:v>
                </c:pt>
                <c:pt idx="1">
                  <c:v>759.91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c:v>
                </c:pt>
              </c:strCache>
            </c:strRef>
          </c:tx>
          <c:invertIfNegative val="0"/>
          <c:dLbls>
            <c:delete val="1"/>
          </c:dLbls>
          <c:cat>
            <c:strRef>
              <c:f>'Sheet1'!$A$2:$A$3</c:f>
              <c:strCache>
                <c:ptCount val="2"/>
                <c:pt idx="0">
                  <c:v>收入总计</c:v>
                </c:pt>
                <c:pt idx="1">
                  <c:v>支出总计</c:v>
                </c:pt>
              </c:strCache>
            </c:strRef>
          </c:cat>
          <c:val>
            <c:numRef>
              <c:f>'Sheet1'!$B$2:$B$3</c:f>
              <c:numCache>
                <c:formatCode>General</c:formatCode>
                <c:ptCount val="2"/>
                <c:pt idx="0">
                  <c:v>1701.05</c:v>
                </c:pt>
                <c:pt idx="1">
                  <c:v>1718.98</c:v>
                </c:pt>
              </c:numCache>
            </c:numRef>
          </c:val>
        </c:ser>
        <c:ser>
          <c:idx val="1"/>
          <c:order val="1"/>
          <c:tx>
            <c:strRef>
              <c:f>'Sheet1'!$C$1</c:f>
              <c:strCache>
                <c:ptCount val="1"/>
                <c:pt idx="0">
                  <c:v>2021</c:v>
                </c:pt>
              </c:strCache>
            </c:strRef>
          </c:tx>
          <c:invertIfNegative val="0"/>
          <c:dLbls>
            <c:delete val="1"/>
          </c:dLbls>
          <c:cat>
            <c:strRef>
              <c:f>'Sheet1'!$A$2:$A$3</c:f>
              <c:strCache>
                <c:ptCount val="2"/>
                <c:pt idx="0">
                  <c:v>收入总计</c:v>
                </c:pt>
                <c:pt idx="1">
                  <c:v>支出总计</c:v>
                </c:pt>
              </c:strCache>
            </c:strRef>
          </c:cat>
          <c:val>
            <c:numRef>
              <c:f>'Sheet1'!$C$2:$C$3</c:f>
              <c:numCache>
                <c:formatCode>General</c:formatCode>
                <c:ptCount val="2"/>
                <c:pt idx="0">
                  <c:v>1657.46</c:v>
                </c:pt>
                <c:pt idx="1">
                  <c:v>1775.31</c:v>
                </c:pt>
              </c:numCache>
            </c:numRef>
          </c:val>
        </c:ser>
        <c:dLbls>
          <c:showLegendKey val="0"/>
          <c:showVal val="0"/>
          <c:showCatName val="0"/>
          <c:showSerName val="0"/>
          <c:showPercent val="0"/>
          <c:showBubbleSize val="0"/>
        </c:dLbls>
        <c:gapWidth val="150"/>
        <c:axId val="109918464"/>
        <c:axId val="109920256"/>
      </c:barChart>
      <c:catAx>
        <c:axId val="10991846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9920256"/>
        <c:crosses val="autoZero"/>
        <c:auto val="1"/>
        <c:lblAlgn val="ctr"/>
        <c:lblOffset val="100"/>
        <c:noMultiLvlLbl val="0"/>
      </c:catAx>
      <c:valAx>
        <c:axId val="10992025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991846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c:v>
                </c:pt>
              </c:strCache>
            </c:strRef>
          </c:tx>
          <c:invertIfNegative val="0"/>
          <c:dLbls>
            <c:delete val="1"/>
          </c:dLbls>
          <c:cat>
            <c:strRef>
              <c:f>Sheet1!$A$2</c:f>
              <c:strCache>
                <c:ptCount val="1"/>
                <c:pt idx="0">
                  <c:v>一般公共预算财政拨款支出</c:v>
                </c:pt>
              </c:strCache>
            </c:strRef>
          </c:cat>
          <c:val>
            <c:numRef>
              <c:f>Sheet1!$B$2</c:f>
              <c:numCache>
                <c:formatCode>General</c:formatCode>
                <c:ptCount val="1"/>
                <c:pt idx="0">
                  <c:v>1364.5</c:v>
                </c:pt>
              </c:numCache>
            </c:numRef>
          </c:val>
        </c:ser>
        <c:ser>
          <c:idx val="1"/>
          <c:order val="1"/>
          <c:tx>
            <c:strRef>
              <c:f>Sheet1!$C$1</c:f>
              <c:strCache>
                <c:ptCount val="1"/>
                <c:pt idx="0">
                  <c:v>2021</c:v>
                </c:pt>
              </c:strCache>
            </c:strRef>
          </c:tx>
          <c:invertIfNegative val="0"/>
          <c:dLbls>
            <c:delete val="1"/>
          </c:dLbls>
          <c:cat>
            <c:strRef>
              <c:f>Sheet1!$A$2</c:f>
              <c:strCache>
                <c:ptCount val="1"/>
                <c:pt idx="0">
                  <c:v>一般公共预算财政拨款支出</c:v>
                </c:pt>
              </c:strCache>
            </c:strRef>
          </c:cat>
          <c:val>
            <c:numRef>
              <c:f>Sheet1!$C$2</c:f>
              <c:numCache>
                <c:formatCode>General</c:formatCode>
                <c:ptCount val="1"/>
                <c:pt idx="0">
                  <c:v>1650.01</c:v>
                </c:pt>
              </c:numCache>
            </c:numRef>
          </c:val>
        </c:ser>
        <c:dLbls>
          <c:showLegendKey val="0"/>
          <c:showVal val="0"/>
          <c:showCatName val="0"/>
          <c:showSerName val="0"/>
          <c:showPercent val="0"/>
          <c:showBubbleSize val="0"/>
        </c:dLbls>
        <c:gapWidth val="150"/>
        <c:axId val="109948928"/>
        <c:axId val="109950464"/>
      </c:barChart>
      <c:catAx>
        <c:axId val="10994892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9950464"/>
        <c:crosses val="autoZero"/>
        <c:auto val="1"/>
        <c:lblAlgn val="ctr"/>
        <c:lblOffset val="100"/>
        <c:noMultiLvlLbl val="0"/>
      </c:catAx>
      <c:valAx>
        <c:axId val="1099504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994892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Lbls>
            <c:delete val="1"/>
          </c:dLbls>
          <c:cat>
            <c:strRef>
              <c:f>Sheet1!$A$2:$A$13</c:f>
              <c:strCache>
                <c:ptCount val="12"/>
                <c:pt idx="0">
                  <c:v>一般公共服务</c:v>
                </c:pt>
                <c:pt idx="1">
                  <c:v>文化旅游体育与传媒</c:v>
                </c:pt>
                <c:pt idx="2">
                  <c:v>社会保障和就业</c:v>
                </c:pt>
                <c:pt idx="3">
                  <c:v>卫生健康</c:v>
                </c:pt>
                <c:pt idx="4">
                  <c:v>节能环保</c:v>
                </c:pt>
                <c:pt idx="5">
                  <c:v>城乡社区</c:v>
                </c:pt>
                <c:pt idx="6">
                  <c:v>农林水</c:v>
                </c:pt>
                <c:pt idx="7">
                  <c:v>交通运输</c:v>
                </c:pt>
                <c:pt idx="8">
                  <c:v>自然资源海洋气象</c:v>
                </c:pt>
                <c:pt idx="9">
                  <c:v>住房保障</c:v>
                </c:pt>
                <c:pt idx="10">
                  <c:v>灾害防治及应急管理</c:v>
                </c:pt>
                <c:pt idx="11">
                  <c:v>其他</c:v>
                </c:pt>
              </c:strCache>
            </c:strRef>
          </c:cat>
          <c:val>
            <c:numRef>
              <c:f>Sheet1!$B$2:$B$13</c:f>
              <c:numCache>
                <c:formatCode>General</c:formatCode>
                <c:ptCount val="12"/>
                <c:pt idx="0">
                  <c:v>525.59</c:v>
                </c:pt>
                <c:pt idx="1">
                  <c:v>38.52</c:v>
                </c:pt>
                <c:pt idx="2">
                  <c:v>247.77</c:v>
                </c:pt>
                <c:pt idx="3">
                  <c:v>46.77</c:v>
                </c:pt>
                <c:pt idx="4">
                  <c:v>2.62</c:v>
                </c:pt>
                <c:pt idx="5">
                  <c:v>8.22</c:v>
                </c:pt>
                <c:pt idx="6">
                  <c:v>625.88</c:v>
                </c:pt>
                <c:pt idx="7">
                  <c:v>3.28</c:v>
                </c:pt>
                <c:pt idx="8">
                  <c:v>1.23</c:v>
                </c:pt>
                <c:pt idx="9">
                  <c:v>75.65</c:v>
                </c:pt>
                <c:pt idx="10">
                  <c:v>35.62</c:v>
                </c:pt>
                <c:pt idx="11">
                  <c:v>38.81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c:v>
                </c:pt>
              </c:strCache>
            </c:strRef>
          </c:tx>
          <c:explosion val="0"/>
          <c:dPt>
            <c:idx val="0"/>
            <c:bubble3D val="0"/>
          </c:dPt>
          <c:dPt>
            <c:idx val="1"/>
            <c:bubble3D val="0"/>
          </c:dPt>
          <c:dLbls>
            <c:delete val="1"/>
          </c:dLbls>
          <c:cat>
            <c:strRef>
              <c:f>Sheet1!$A$2:$A$3</c:f>
              <c:strCache>
                <c:ptCount val="2"/>
                <c:pt idx="0">
                  <c:v>公务用车购置及运行维护费支出</c:v>
                </c:pt>
                <c:pt idx="1">
                  <c:v>公务接待费支出</c:v>
                </c:pt>
              </c:strCache>
            </c:strRef>
          </c:cat>
          <c:val>
            <c:numRef>
              <c:f>Sheet1!$B$2:$B$3</c:f>
              <c:numCache>
                <c:formatCode>General</c:formatCode>
                <c:ptCount val="2"/>
                <c:pt idx="0">
                  <c:v>5.34</c:v>
                </c:pt>
                <c:pt idx="1">
                  <c:v>0.16</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c9dbf86-4688-4ea7-a56f-a4826145de0a}"/>
        <w:style w:val=""/>
        <w:category>
          <w:name w:val="常规"/>
          <w:gallery w:val="placeholder"/>
        </w:category>
        <w:types>
          <w:type w:val="bbPlcHdr"/>
        </w:types>
        <w:behaviors>
          <w:behavior w:val="content"/>
        </w:behaviors>
        <w:description w:val=""/>
        <w:guid w:val="{ec9dbf86-4688-4ea7-a56f-a4826145de0a}"/>
      </w:docPartPr>
      <w:docPartBody>
        <w:p>
          <w:r>
            <w:rPr>
              <w:color w:val="808080"/>
            </w:rPr>
            <w:t>单击此处输入文字。</w:t>
          </w:r>
        </w:p>
      </w:docPartBody>
    </w:docPart>
    <w:docPart>
      <w:docPartPr>
        <w:name w:val="{bdf15c61-6a34-4171-87fc-1ecc597e8b16}"/>
        <w:style w:val=""/>
        <w:category>
          <w:name w:val="常规"/>
          <w:gallery w:val="placeholder"/>
        </w:category>
        <w:types>
          <w:type w:val="bbPlcHdr"/>
        </w:types>
        <w:behaviors>
          <w:behavior w:val="content"/>
        </w:behaviors>
        <w:description w:val=""/>
        <w:guid w:val="{bdf15c61-6a34-4171-87fc-1ecc597e8b16}"/>
      </w:docPartPr>
      <w:docPartBody>
        <w:p>
          <w:r>
            <w:rPr>
              <w:color w:val="808080"/>
            </w:rPr>
            <w:t>单击此处输入文字。</w:t>
          </w:r>
        </w:p>
      </w:docPartBody>
    </w:docPart>
    <w:docPart>
      <w:docPartPr>
        <w:name w:val="{ba76f1c0-b5c8-4e99-8a8c-6ee72ce2204b}"/>
        <w:style w:val=""/>
        <w:category>
          <w:name w:val="常规"/>
          <w:gallery w:val="placeholder"/>
        </w:category>
        <w:types>
          <w:type w:val="bbPlcHdr"/>
        </w:types>
        <w:behaviors>
          <w:behavior w:val="content"/>
        </w:behaviors>
        <w:description w:val=""/>
        <w:guid w:val="{ba76f1c0-b5c8-4e99-8a8c-6ee72ce2204b}"/>
      </w:docPartPr>
      <w:docPartBody>
        <w:p>
          <w:r>
            <w:rPr>
              <w:color w:val="808080"/>
            </w:rPr>
            <w:t>单击此处输入文字。</w:t>
          </w:r>
        </w:p>
      </w:docPartBody>
    </w:docPart>
    <w:docPart>
      <w:docPartPr>
        <w:name w:val="{0b951ec4-f926-4e2f-b15f-30a74e2def25}"/>
        <w:style w:val=""/>
        <w:category>
          <w:name w:val="常规"/>
          <w:gallery w:val="placeholder"/>
        </w:category>
        <w:types>
          <w:type w:val="bbPlcHdr"/>
        </w:types>
        <w:behaviors>
          <w:behavior w:val="content"/>
        </w:behaviors>
        <w:description w:val=""/>
        <w:guid w:val="{0b951ec4-f926-4e2f-b15f-30a74e2def25}"/>
      </w:docPartPr>
      <w:docPartBody>
        <w:p>
          <w:r>
            <w:rPr>
              <w:color w:val="808080"/>
            </w:rPr>
            <w:t>单击此处输入文字。</w:t>
          </w:r>
        </w:p>
      </w:docPartBody>
    </w:docPart>
    <w:docPart>
      <w:docPartPr>
        <w:name w:val="{17bc3b49-b4b4-4a13-8cac-d39c100c646d}"/>
        <w:style w:val=""/>
        <w:category>
          <w:name w:val="常规"/>
          <w:gallery w:val="placeholder"/>
        </w:category>
        <w:types>
          <w:type w:val="bbPlcHdr"/>
        </w:types>
        <w:behaviors>
          <w:behavior w:val="content"/>
        </w:behaviors>
        <w:description w:val=""/>
        <w:guid w:val="{17bc3b49-b4b4-4a13-8cac-d39c100c646d}"/>
      </w:docPartPr>
      <w:docPartBody>
        <w:p>
          <w:r>
            <w:rPr>
              <w:color w:val="808080"/>
            </w:rPr>
            <w:t>单击此处输入文字。</w:t>
          </w:r>
        </w:p>
      </w:docPartBody>
    </w:docPart>
    <w:docPart>
      <w:docPartPr>
        <w:name w:val="{bf748bf8-b564-4163-b1ba-94d960d7f81c}"/>
        <w:style w:val=""/>
        <w:category>
          <w:name w:val="常规"/>
          <w:gallery w:val="placeholder"/>
        </w:category>
        <w:types>
          <w:type w:val="bbPlcHdr"/>
        </w:types>
        <w:behaviors>
          <w:behavior w:val="content"/>
        </w:behaviors>
        <w:description w:val=""/>
        <w:guid w:val="{bf748bf8-b564-4163-b1ba-94d960d7f81c}"/>
      </w:docPartPr>
      <w:docPartBody>
        <w:p>
          <w:r>
            <w:rPr>
              <w:color w:val="808080"/>
            </w:rPr>
            <w:t>单击此处输入文字。</w:t>
          </w:r>
        </w:p>
      </w:docPartBody>
    </w:docPart>
    <w:docPart>
      <w:docPartPr>
        <w:name w:val="{46d26f88-6989-4753-9642-4f5d30eb6e04}"/>
        <w:style w:val=""/>
        <w:category>
          <w:name w:val="常规"/>
          <w:gallery w:val="placeholder"/>
        </w:category>
        <w:types>
          <w:type w:val="bbPlcHdr"/>
        </w:types>
        <w:behaviors>
          <w:behavior w:val="content"/>
        </w:behaviors>
        <w:description w:val=""/>
        <w:guid w:val="{46d26f88-6989-4753-9642-4f5d30eb6e04}"/>
      </w:docPartPr>
      <w:docPartBody>
        <w:p>
          <w:r>
            <w:rPr>
              <w:color w:val="808080"/>
            </w:rPr>
            <w:t>单击此处输入文字。</w:t>
          </w:r>
        </w:p>
      </w:docPartBody>
    </w:docPart>
    <w:docPart>
      <w:docPartPr>
        <w:name w:val="{097c2f73-cca9-40c6-9d18-9491d58d9a25}"/>
        <w:style w:val=""/>
        <w:category>
          <w:name w:val="常规"/>
          <w:gallery w:val="placeholder"/>
        </w:category>
        <w:types>
          <w:type w:val="bbPlcHdr"/>
        </w:types>
        <w:behaviors>
          <w:behavior w:val="content"/>
        </w:behaviors>
        <w:description w:val=""/>
        <w:guid w:val="{097c2f73-cca9-40c6-9d18-9491d58d9a25}"/>
      </w:docPartPr>
      <w:docPartBody>
        <w:p>
          <w:r>
            <w:rPr>
              <w:color w:val="808080"/>
            </w:rPr>
            <w:t>单击此处输入文字。</w:t>
          </w:r>
        </w:p>
      </w:docPartBody>
    </w:docPart>
    <w:docPart>
      <w:docPartPr>
        <w:name w:val="{3e07ace1-8e8f-4096-86cf-d5357148e07c}"/>
        <w:style w:val=""/>
        <w:category>
          <w:name w:val="常规"/>
          <w:gallery w:val="placeholder"/>
        </w:category>
        <w:types>
          <w:type w:val="bbPlcHdr"/>
        </w:types>
        <w:behaviors>
          <w:behavior w:val="content"/>
        </w:behaviors>
        <w:description w:val=""/>
        <w:guid w:val="{3e07ace1-8e8f-4096-86cf-d5357148e07c}"/>
      </w:docPartPr>
      <w:docPartBody>
        <w:p>
          <w:r>
            <w:rPr>
              <w:color w:val="808080"/>
            </w:rPr>
            <w:t>单击此处输入文字。</w:t>
          </w:r>
        </w:p>
      </w:docPartBody>
    </w:docPart>
    <w:docPart>
      <w:docPartPr>
        <w:name w:val="{b39c1424-5928-4d08-bfea-52e67264d1dd}"/>
        <w:style w:val=""/>
        <w:category>
          <w:name w:val="常规"/>
          <w:gallery w:val="placeholder"/>
        </w:category>
        <w:types>
          <w:type w:val="bbPlcHdr"/>
        </w:types>
        <w:behaviors>
          <w:behavior w:val="content"/>
        </w:behaviors>
        <w:description w:val=""/>
        <w:guid w:val="{b39c1424-5928-4d08-bfea-52e67264d1dd}"/>
      </w:docPartPr>
      <w:docPartBody>
        <w:p>
          <w:r>
            <w:rPr>
              <w:color w:val="808080"/>
            </w:rPr>
            <w:t>单击此处输入文字。</w:t>
          </w:r>
        </w:p>
      </w:docPartBody>
    </w:docPart>
    <w:docPart>
      <w:docPartPr>
        <w:name w:val="{d4f1a971-ef46-46bf-a783-7e1d8f7e5aab}"/>
        <w:style w:val=""/>
        <w:category>
          <w:name w:val="常规"/>
          <w:gallery w:val="placeholder"/>
        </w:category>
        <w:types>
          <w:type w:val="bbPlcHdr"/>
        </w:types>
        <w:behaviors>
          <w:behavior w:val="content"/>
        </w:behaviors>
        <w:description w:val=""/>
        <w:guid w:val="{d4f1a971-ef46-46bf-a783-7e1d8f7e5aab}"/>
      </w:docPartPr>
      <w:docPartBody>
        <w:p>
          <w:r>
            <w:rPr>
              <w:color w:val="808080"/>
            </w:rPr>
            <w:t>单击此处输入文字。</w:t>
          </w:r>
        </w:p>
      </w:docPartBody>
    </w:docPart>
    <w:docPart>
      <w:docPartPr>
        <w:name w:val="{68392972-d203-4be8-a30a-62da2ea483dc}"/>
        <w:style w:val=""/>
        <w:category>
          <w:name w:val="常规"/>
          <w:gallery w:val="placeholder"/>
        </w:category>
        <w:types>
          <w:type w:val="bbPlcHdr"/>
        </w:types>
        <w:behaviors>
          <w:behavior w:val="content"/>
        </w:behaviors>
        <w:description w:val=""/>
        <w:guid w:val="{68392972-d203-4be8-a30a-62da2ea483dc}"/>
      </w:docPartPr>
      <w:docPartBody>
        <w:p>
          <w:r>
            <w:rPr>
              <w:color w:val="808080"/>
            </w:rPr>
            <w:t>单击此处输入文字。</w:t>
          </w:r>
        </w:p>
      </w:docPartBody>
    </w:docPart>
    <w:docPart>
      <w:docPartPr>
        <w:name w:val="{7b86e859-0a4c-43c9-9f49-bfdbd9d3982e}"/>
        <w:style w:val=""/>
        <w:category>
          <w:name w:val="常规"/>
          <w:gallery w:val="placeholder"/>
        </w:category>
        <w:types>
          <w:type w:val="bbPlcHdr"/>
        </w:types>
        <w:behaviors>
          <w:behavior w:val="content"/>
        </w:behaviors>
        <w:description w:val=""/>
        <w:guid w:val="{7b86e859-0a4c-43c9-9f49-bfdbd9d3982e}"/>
      </w:docPartPr>
      <w:docPartBody>
        <w:p>
          <w:r>
            <w:rPr>
              <w:color w:val="808080"/>
            </w:rPr>
            <w:t>单击此处输入文字。</w:t>
          </w:r>
        </w:p>
      </w:docPartBody>
    </w:docPart>
    <w:docPart>
      <w:docPartPr>
        <w:name w:val="{9c9bbce3-98eb-461d-9c51-c9cfad160c0e}"/>
        <w:style w:val=""/>
        <w:category>
          <w:name w:val="常规"/>
          <w:gallery w:val="placeholder"/>
        </w:category>
        <w:types>
          <w:type w:val="bbPlcHdr"/>
        </w:types>
        <w:behaviors>
          <w:behavior w:val="content"/>
        </w:behaviors>
        <w:description w:val=""/>
        <w:guid w:val="{9c9bbce3-98eb-461d-9c51-c9cfad160c0e}"/>
      </w:docPartPr>
      <w:docPartBody>
        <w:p>
          <w:r>
            <w:rPr>
              <w:color w:val="808080"/>
            </w:rPr>
            <w:t>单击此处输入文字。</w:t>
          </w:r>
        </w:p>
      </w:docPartBody>
    </w:docPart>
    <w:docPart>
      <w:docPartPr>
        <w:name w:val="{6cab573c-acfc-4866-83e1-5f1f524d9a88}"/>
        <w:style w:val=""/>
        <w:category>
          <w:name w:val="常规"/>
          <w:gallery w:val="placeholder"/>
        </w:category>
        <w:types>
          <w:type w:val="bbPlcHdr"/>
        </w:types>
        <w:behaviors>
          <w:behavior w:val="content"/>
        </w:behaviors>
        <w:description w:val=""/>
        <w:guid w:val="{6cab573c-acfc-4866-83e1-5f1f524d9a88}"/>
      </w:docPartPr>
      <w:docPartBody>
        <w:p>
          <w:r>
            <w:rPr>
              <w:color w:val="808080"/>
            </w:rPr>
            <w:t>单击此处输入文字。</w:t>
          </w:r>
        </w:p>
      </w:docPartBody>
    </w:docPart>
    <w:docPart>
      <w:docPartPr>
        <w:name w:val="{b8b3d5d9-11a5-422a-a596-49d7df728247}"/>
        <w:style w:val=""/>
        <w:category>
          <w:name w:val="常规"/>
          <w:gallery w:val="placeholder"/>
        </w:category>
        <w:types>
          <w:type w:val="bbPlcHdr"/>
        </w:types>
        <w:behaviors>
          <w:behavior w:val="content"/>
        </w:behaviors>
        <w:description w:val=""/>
        <w:guid w:val="{b8b3d5d9-11a5-422a-a596-49d7df728247}"/>
      </w:docPartPr>
      <w:docPartBody>
        <w:p>
          <w:r>
            <w:rPr>
              <w:color w:val="808080"/>
            </w:rPr>
            <w:t>单击此处输入文字。</w:t>
          </w:r>
        </w:p>
      </w:docPartBody>
    </w:docPart>
    <w:docPart>
      <w:docPartPr>
        <w:name w:val="{7aa8fa89-20d3-41de-b6b0-21e0e7a35c21}"/>
        <w:style w:val=""/>
        <w:category>
          <w:name w:val="常规"/>
          <w:gallery w:val="placeholder"/>
        </w:category>
        <w:types>
          <w:type w:val="bbPlcHdr"/>
        </w:types>
        <w:behaviors>
          <w:behavior w:val="content"/>
        </w:behaviors>
        <w:description w:val=""/>
        <w:guid w:val="{7aa8fa89-20d3-41de-b6b0-21e0e7a35c21}"/>
      </w:docPartPr>
      <w:docPartBody>
        <w:p>
          <w:r>
            <w:rPr>
              <w:color w:val="808080"/>
            </w:rPr>
            <w:t>单击此处输入文字。</w:t>
          </w:r>
        </w:p>
      </w:docPartBody>
    </w:docPart>
    <w:docPart>
      <w:docPartPr>
        <w:name w:val="{4b27ee74-19f3-4006-b5e6-1e9609900048}"/>
        <w:style w:val=""/>
        <w:category>
          <w:name w:val="常规"/>
          <w:gallery w:val="placeholder"/>
        </w:category>
        <w:types>
          <w:type w:val="bbPlcHdr"/>
        </w:types>
        <w:behaviors>
          <w:behavior w:val="content"/>
        </w:behaviors>
        <w:description w:val=""/>
        <w:guid w:val="{4b27ee74-19f3-4006-b5e6-1e9609900048}"/>
      </w:docPartPr>
      <w:docPartBody>
        <w:p>
          <w:r>
            <w:rPr>
              <w:color w:val="808080"/>
            </w:rPr>
            <w:t>单击此处输入文字。</w:t>
          </w:r>
        </w:p>
      </w:docPartBody>
    </w:docPart>
    <w:docPart>
      <w:docPartPr>
        <w:name w:val="{0cbc0ca7-37d1-4b30-b8eb-7b01f363ef8d}"/>
        <w:style w:val=""/>
        <w:category>
          <w:name w:val="常规"/>
          <w:gallery w:val="placeholder"/>
        </w:category>
        <w:types>
          <w:type w:val="bbPlcHdr"/>
        </w:types>
        <w:behaviors>
          <w:behavior w:val="content"/>
        </w:behaviors>
        <w:description w:val=""/>
        <w:guid w:val="{0cbc0ca7-37d1-4b30-b8eb-7b01f363ef8d}"/>
      </w:docPartPr>
      <w:docPartBody>
        <w:p>
          <w:r>
            <w:rPr>
              <w:color w:val="808080"/>
            </w:rPr>
            <w:t>单击此处输入文字。</w:t>
          </w:r>
        </w:p>
      </w:docPartBody>
    </w:docPart>
    <w:docPart>
      <w:docPartPr>
        <w:name w:val="{8deebbf9-40fb-4bc4-aec2-876ea50d659e}"/>
        <w:style w:val=""/>
        <w:category>
          <w:name w:val="常规"/>
          <w:gallery w:val="placeholder"/>
        </w:category>
        <w:types>
          <w:type w:val="bbPlcHdr"/>
        </w:types>
        <w:behaviors>
          <w:behavior w:val="content"/>
        </w:behaviors>
        <w:description w:val=""/>
        <w:guid w:val="{8deebbf9-40fb-4bc4-aec2-876ea50d659e}"/>
      </w:docPartPr>
      <w:docPartBody>
        <w:p>
          <w:r>
            <w:rPr>
              <w:color w:val="808080"/>
            </w:rPr>
            <w:t>单击此处输入文字。</w:t>
          </w:r>
        </w:p>
      </w:docPartBody>
    </w:docPart>
    <w:docPart>
      <w:docPartPr>
        <w:name w:val="{3fd83cd8-712e-4a0e-80ec-0e1665478966}"/>
        <w:style w:val=""/>
        <w:category>
          <w:name w:val="常规"/>
          <w:gallery w:val="placeholder"/>
        </w:category>
        <w:types>
          <w:type w:val="bbPlcHdr"/>
        </w:types>
        <w:behaviors>
          <w:behavior w:val="content"/>
        </w:behaviors>
        <w:description w:val=""/>
        <w:guid w:val="{3fd83cd8-712e-4a0e-80ec-0e1665478966}"/>
      </w:docPartPr>
      <w:docPartBody>
        <w:p>
          <w:r>
            <w:rPr>
              <w:color w:val="808080"/>
            </w:rPr>
            <w:t>单击此处输入文字。</w:t>
          </w:r>
        </w:p>
      </w:docPartBody>
    </w:docPart>
    <w:docPart>
      <w:docPartPr>
        <w:name w:val="{412211d3-1d0e-4b4c-9b05-d0a66a78bfdb}"/>
        <w:style w:val=""/>
        <w:category>
          <w:name w:val="常规"/>
          <w:gallery w:val="placeholder"/>
        </w:category>
        <w:types>
          <w:type w:val="bbPlcHdr"/>
        </w:types>
        <w:behaviors>
          <w:behavior w:val="content"/>
        </w:behaviors>
        <w:description w:val=""/>
        <w:guid w:val="{412211d3-1d0e-4b4c-9b05-d0a66a78bfdb}"/>
      </w:docPartPr>
      <w:docPartBody>
        <w:p>
          <w:r>
            <w:rPr>
              <w:color w:val="808080"/>
            </w:rPr>
            <w:t>单击此处输入文字。</w:t>
          </w:r>
        </w:p>
      </w:docPartBody>
    </w:docPart>
    <w:docPart>
      <w:docPartPr>
        <w:name w:val="{a70cfbb9-ba63-483b-9db9-c6399e9aee49}"/>
        <w:style w:val=""/>
        <w:category>
          <w:name w:val="常规"/>
          <w:gallery w:val="placeholder"/>
        </w:category>
        <w:types>
          <w:type w:val="bbPlcHdr"/>
        </w:types>
        <w:behaviors>
          <w:behavior w:val="content"/>
        </w:behaviors>
        <w:description w:val=""/>
        <w:guid w:val="{a70cfbb9-ba63-483b-9db9-c6399e9aee49}"/>
      </w:docPartPr>
      <w:docPartBody>
        <w:p>
          <w:r>
            <w:rPr>
              <w:color w:val="808080"/>
            </w:rPr>
            <w:t>单击此处输入文字。</w:t>
          </w:r>
        </w:p>
      </w:docPartBody>
    </w:docPart>
    <w:docPart>
      <w:docPartPr>
        <w:name w:val="{fd8155c7-8b19-48d7-b036-9f13ae460bf9}"/>
        <w:style w:val=""/>
        <w:category>
          <w:name w:val="常规"/>
          <w:gallery w:val="placeholder"/>
        </w:category>
        <w:types>
          <w:type w:val="bbPlcHdr"/>
        </w:types>
        <w:behaviors>
          <w:behavior w:val="content"/>
        </w:behaviors>
        <w:description w:val=""/>
        <w:guid w:val="{fd8155c7-8b19-48d7-b036-9f13ae460bf9}"/>
      </w:docPartPr>
      <w:docPartBody>
        <w:p>
          <w:r>
            <w:rPr>
              <w:color w:val="808080"/>
            </w:rPr>
            <w:t>单击此处输入文字。</w:t>
          </w:r>
        </w:p>
      </w:docPartBody>
    </w:docPart>
    <w:docPart>
      <w:docPartPr>
        <w:name w:val="{f45c91b1-cf54-43f2-a014-e879a751176c}"/>
        <w:style w:val=""/>
        <w:category>
          <w:name w:val="常规"/>
          <w:gallery w:val="placeholder"/>
        </w:category>
        <w:types>
          <w:type w:val="bbPlcHdr"/>
        </w:types>
        <w:behaviors>
          <w:behavior w:val="content"/>
        </w:behaviors>
        <w:description w:val=""/>
        <w:guid w:val="{f45c91b1-cf54-43f2-a014-e879a751176c}"/>
      </w:docPartPr>
      <w:docPartBody>
        <w:p>
          <w:r>
            <w:rPr>
              <w:color w:val="808080"/>
            </w:rPr>
            <w:t>单击此处输入文字。</w:t>
          </w:r>
        </w:p>
      </w:docPartBody>
    </w:docPart>
    <w:docPart>
      <w:docPartPr>
        <w:name w:val="{e0a3ebf2-5874-4511-9ce5-0437ebce6407}"/>
        <w:style w:val=""/>
        <w:category>
          <w:name w:val="常规"/>
          <w:gallery w:val="placeholder"/>
        </w:category>
        <w:types>
          <w:type w:val="bbPlcHdr"/>
        </w:types>
        <w:behaviors>
          <w:behavior w:val="content"/>
        </w:behaviors>
        <w:description w:val=""/>
        <w:guid w:val="{e0a3ebf2-5874-4511-9ce5-0437ebce6407}"/>
      </w:docPartPr>
      <w:docPartBody>
        <w:p>
          <w:r>
            <w:rPr>
              <w:color w:val="808080"/>
            </w:rPr>
            <w:t>单击此处输入文字。</w:t>
          </w:r>
        </w:p>
      </w:docPartBody>
    </w:docPart>
    <w:docPart>
      <w:docPartPr>
        <w:name w:val="{aebb7c26-68d8-495c-a49c-9eb3e49e6dbb}"/>
        <w:style w:val=""/>
        <w:category>
          <w:name w:val="常规"/>
          <w:gallery w:val="placeholder"/>
        </w:category>
        <w:types>
          <w:type w:val="bbPlcHdr"/>
        </w:types>
        <w:behaviors>
          <w:behavior w:val="content"/>
        </w:behaviors>
        <w:description w:val=""/>
        <w:guid w:val="{aebb7c26-68d8-495c-a49c-9eb3e49e6dbb}"/>
      </w:docPartPr>
      <w:docPartBody>
        <w:p>
          <w:r>
            <w:rPr>
              <w:color w:val="808080"/>
            </w:rPr>
            <w:t>单击此处输入文字。</w:t>
          </w:r>
        </w:p>
      </w:docPartBody>
    </w:docPart>
    <w:docPart>
      <w:docPartPr>
        <w:name w:val="{dacbb3d3-927f-4186-a74e-8a6cbbb7428d}"/>
        <w:style w:val=""/>
        <w:category>
          <w:name w:val="常规"/>
          <w:gallery w:val="placeholder"/>
        </w:category>
        <w:types>
          <w:type w:val="bbPlcHdr"/>
        </w:types>
        <w:behaviors>
          <w:behavior w:val="content"/>
        </w:behaviors>
        <w:description w:val=""/>
        <w:guid w:val="{dacbb3d3-927f-4186-a74e-8a6cbbb7428d}"/>
      </w:docPartPr>
      <w:docPartBody>
        <w:p>
          <w:r>
            <w:rPr>
              <w:color w:val="808080"/>
            </w:rPr>
            <w:t>单击此处输入文字。</w:t>
          </w:r>
        </w:p>
      </w:docPartBody>
    </w:docPart>
    <w:docPart>
      <w:docPartPr>
        <w:name w:val="{6b2a9d74-7484-4f8e-96b5-6575cc06cbc6}"/>
        <w:style w:val=""/>
        <w:category>
          <w:name w:val="常规"/>
          <w:gallery w:val="placeholder"/>
        </w:category>
        <w:types>
          <w:type w:val="bbPlcHdr"/>
        </w:types>
        <w:behaviors>
          <w:behavior w:val="content"/>
        </w:behaviors>
        <w:description w:val=""/>
        <w:guid w:val="{6b2a9d74-7484-4f8e-96b5-6575cc06cbc6}"/>
      </w:docPartPr>
      <w:docPartBody>
        <w:p>
          <w:r>
            <w:rPr>
              <w:color w:val="808080"/>
            </w:rPr>
            <w:t>单击此处输入文字。</w:t>
          </w:r>
        </w:p>
      </w:docPartBody>
    </w:docPart>
    <w:docPart>
      <w:docPartPr>
        <w:name w:val="{c59f7f15-9b2e-4b5a-b163-a71058e8824c}"/>
        <w:style w:val=""/>
        <w:category>
          <w:name w:val="常规"/>
          <w:gallery w:val="placeholder"/>
        </w:category>
        <w:types>
          <w:type w:val="bbPlcHdr"/>
        </w:types>
        <w:behaviors>
          <w:behavior w:val="content"/>
        </w:behaviors>
        <w:description w:val=""/>
        <w:guid w:val="{c59f7f15-9b2e-4b5a-b163-a71058e8824c}"/>
      </w:docPartPr>
      <w:docPartBody>
        <w:p>
          <w:r>
            <w:rPr>
              <w:color w:val="808080"/>
            </w:rPr>
            <w:t>单击此处输入文字。</w:t>
          </w:r>
        </w:p>
      </w:docPartBody>
    </w:docPart>
    <w:docPart>
      <w:docPartPr>
        <w:name w:val="{5689da90-2e26-483e-8164-4eedd0a106ff}"/>
        <w:style w:val=""/>
        <w:category>
          <w:name w:val="常规"/>
          <w:gallery w:val="placeholder"/>
        </w:category>
        <w:types>
          <w:type w:val="bbPlcHdr"/>
        </w:types>
        <w:behaviors>
          <w:behavior w:val="content"/>
        </w:behaviors>
        <w:description w:val=""/>
        <w:guid w:val="{5689da90-2e26-483e-8164-4eedd0a106ff}"/>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4A76AC-0A4D-49A7-902D-B9F9C6DC0619}">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67</Pages>
  <Words>23924</Words>
  <Characters>5289</Characters>
  <Lines>44</Lines>
  <Paragraphs>58</Paragraphs>
  <TotalTime>8</TotalTime>
  <ScaleCrop>false</ScaleCrop>
  <LinksUpToDate>false</LinksUpToDate>
  <CharactersWithSpaces>29155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练芳蓉</cp:lastModifiedBy>
  <cp:lastPrinted>2022-08-08T09:11:00Z</cp:lastPrinted>
  <dcterms:modified xsi:type="dcterms:W3CDTF">2024-04-26T03:16:11Z</dcterms:modified>
  <dc:title>四川省***</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7A6E80899BC74DCB9ACBD24C4A00265E_13</vt:lpwstr>
  </property>
</Properties>
</file>