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96597"/>
      <w:bookmarkStart w:id="1" w:name="_Toc15377425"/>
      <w:bookmarkStart w:id="2" w:name="_Toc15396475"/>
      <w:bookmarkStart w:id="3" w:name="_Toc15378441"/>
      <w:bookmarkStart w:id="4" w:name="_Toc15377193"/>
      <w:bookmarkStart w:id="5" w:name="_Toc15306267"/>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r>
        <w:rPr>
          <w:rFonts w:eastAsia="方正小标宋简体"/>
          <w:sz w:val="72"/>
          <w:szCs w:val="72"/>
        </w:rPr>
        <w:t>2022</w:t>
      </w:r>
      <w:r>
        <w:rPr>
          <w:rFonts w:hAnsi="方正小标宋简体" w:eastAsia="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eastAsia="方正小标宋简体"/>
          <w:sz w:val="72"/>
          <w:szCs w:val="72"/>
        </w:rPr>
      </w:pPr>
      <w:bookmarkStart w:id="6" w:name="_Toc15396598"/>
      <w:bookmarkStart w:id="7" w:name="_Toc15306268"/>
      <w:bookmarkStart w:id="8" w:name="_Toc15377426"/>
      <w:bookmarkStart w:id="9" w:name="_Toc15396476"/>
      <w:bookmarkStart w:id="10" w:name="_Toc15378442"/>
      <w:bookmarkStart w:id="11" w:name="_Toc15377194"/>
      <w:r>
        <w:rPr>
          <w:rFonts w:hAnsi="方正小标宋简体" w:eastAsia="方正小标宋简体"/>
          <w:sz w:val="72"/>
          <w:szCs w:val="72"/>
        </w:rPr>
        <w:t>中共盐边县委政法委员会</w:t>
      </w:r>
    </w:p>
    <w:p>
      <w:pPr>
        <w:adjustRightInd w:val="0"/>
        <w:snapToGrid w:val="0"/>
        <w:spacing w:line="360" w:lineRule="auto"/>
        <w:jc w:val="center"/>
        <w:outlineLvl w:val="0"/>
        <w:rPr>
          <w:rFonts w:eastAsia="方正小标宋简体"/>
          <w:sz w:val="72"/>
          <w:szCs w:val="72"/>
        </w:rPr>
      </w:pPr>
      <w:r>
        <w:rPr>
          <w:rFonts w:hAnsi="方正小标宋简体" w:eastAsia="方正小标宋简体"/>
          <w:sz w:val="72"/>
          <w:szCs w:val="72"/>
        </w:rPr>
        <w:t>部门决算</w:t>
      </w:r>
      <w:bookmarkEnd w:id="6"/>
      <w:bookmarkEnd w:id="7"/>
      <w:bookmarkEnd w:id="8"/>
      <w:bookmarkEnd w:id="9"/>
      <w:bookmarkEnd w:id="10"/>
      <w:bookmarkEnd w:id="11"/>
    </w:p>
    <w:p>
      <w:pPr>
        <w:adjustRightInd w:val="0"/>
        <w:snapToGrid w:val="0"/>
        <w:spacing w:line="360" w:lineRule="auto"/>
        <w:outlineLvl w:val="0"/>
        <w:rPr>
          <w:rFonts w:eastAsia="方正小标宋简体"/>
          <w:sz w:val="52"/>
          <w:szCs w:val="52"/>
        </w:rPr>
      </w:pPr>
    </w:p>
    <w:p>
      <w:pPr>
        <w:widowControl/>
        <w:jc w:val="center"/>
        <w:rPr>
          <w:rFonts w:eastAsia="黑体"/>
          <w:sz w:val="48"/>
          <w:szCs w:val="48"/>
        </w:rPr>
      </w:pPr>
      <w:r>
        <w:rPr>
          <w:rFonts w:eastAsia="方正小标宋简体"/>
          <w:sz w:val="36"/>
          <w:szCs w:val="36"/>
        </w:rPr>
        <w:br w:type="page"/>
      </w:r>
      <w:r>
        <w:rPr>
          <w:rFonts w:hAnsi="黑体" w:eastAsia="黑体"/>
          <w:sz w:val="48"/>
          <w:szCs w:val="48"/>
        </w:rPr>
        <w:t>目录</w:t>
      </w:r>
    </w:p>
    <w:p>
      <w:pPr>
        <w:widowControl/>
        <w:jc w:val="center"/>
        <w:rPr>
          <w:rFonts w:eastAsia="黑体"/>
          <w:sz w:val="28"/>
          <w:szCs w:val="28"/>
        </w:rPr>
      </w:pPr>
    </w:p>
    <w:p>
      <w:pPr>
        <w:pStyle w:val="14"/>
        <w:rPr>
          <w:rFonts w:ascii="Times New Roman" w:hAnsi="Times New Roman"/>
        </w:rPr>
      </w:pPr>
      <w:r>
        <w:rPr>
          <w:rFonts w:ascii="Times New Roman"/>
        </w:rPr>
        <w:t>公开时间：</w:t>
      </w:r>
      <w:r>
        <w:rPr>
          <w:rFonts w:ascii="Times New Roman" w:hAnsi="Times New Roman"/>
        </w:rPr>
        <w:t>2023</w:t>
      </w:r>
      <w:r>
        <w:rPr>
          <w:rFonts w:ascii="Times New Roman"/>
        </w:rPr>
        <w:t>年</w:t>
      </w:r>
      <w:r>
        <w:rPr>
          <w:rFonts w:ascii="Times New Roman" w:hAnsi="Times New Roman"/>
        </w:rPr>
        <w:t>10</w:t>
      </w:r>
      <w:r>
        <w:rPr>
          <w:rFonts w:ascii="Times New Roman"/>
        </w:rPr>
        <w:t>月</w:t>
      </w:r>
      <w:r>
        <w:rPr>
          <w:rFonts w:hint="eastAsia" w:ascii="Times New Roman" w:hAnsi="Times New Roman"/>
        </w:rPr>
        <w:t>30</w:t>
      </w:r>
      <w:r>
        <w:rPr>
          <w:rFonts w:ascii="Times New Roman"/>
        </w:rPr>
        <w:t>日</w:t>
      </w:r>
    </w:p>
    <w:p/>
    <w:p>
      <w:pPr>
        <w:pStyle w:val="14"/>
        <w:adjustRightInd w:val="0"/>
        <w:snapToGrid w:val="0"/>
        <w:spacing w:before="0" w:line="440" w:lineRule="exact"/>
        <w:jc w:val="left"/>
        <w:rPr>
          <w:rFonts w:ascii="Times New Roman" w:hAnsi="Times New Roman"/>
          <w:b/>
          <w:bCs/>
          <w:sz w:val="24"/>
          <w:szCs w:val="24"/>
        </w:rPr>
      </w:pPr>
      <w:r>
        <w:rPr>
          <w:rFonts w:ascii="Times New Roman"/>
          <w:b/>
          <w:bCs/>
          <w:sz w:val="24"/>
        </w:rPr>
        <w:t>第一部分部门概况</w:t>
      </w:r>
      <w:r>
        <w:rPr>
          <w:rFonts w:ascii="Times New Roman" w:hAnsi="Times New Roman"/>
          <w:b/>
          <w:bCs/>
        </w:rPr>
        <w:ptab w:relativeTo="margin" w:alignment="right" w:leader="dot"/>
      </w:r>
      <w:r>
        <w:rPr>
          <w:rFonts w:hint="eastAsia" w:ascii="Times New Roman" w:hAnsi="Times New Roman"/>
          <w:b/>
          <w:bCs/>
        </w:rPr>
        <w:t>4</w:t>
      </w:r>
    </w:p>
    <w:p>
      <w:pPr>
        <w:pStyle w:val="15"/>
        <w:adjustRightInd w:val="0"/>
        <w:snapToGrid w:val="0"/>
        <w:spacing w:line="440" w:lineRule="exact"/>
        <w:jc w:val="left"/>
        <w:rPr>
          <w:sz w:val="24"/>
        </w:rPr>
      </w:pPr>
      <w:r>
        <w:rPr>
          <w:sz w:val="24"/>
        </w:rPr>
        <w:t>一、部门职责</w:t>
      </w:r>
      <w:r>
        <w:ptab w:relativeTo="margin" w:alignment="right" w:leader="dot"/>
      </w:r>
      <w:r>
        <w:rPr>
          <w:rFonts w:hint="eastAsia"/>
        </w:rPr>
        <w:t>4</w:t>
      </w:r>
    </w:p>
    <w:p>
      <w:pPr>
        <w:pStyle w:val="15"/>
        <w:adjustRightInd w:val="0"/>
        <w:snapToGrid w:val="0"/>
        <w:spacing w:line="440" w:lineRule="exact"/>
        <w:jc w:val="left"/>
        <w:rPr>
          <w:sz w:val="24"/>
        </w:rPr>
      </w:pPr>
      <w:r>
        <w:rPr>
          <w:sz w:val="24"/>
        </w:rPr>
        <w:t>二、机构设置</w:t>
      </w:r>
      <w:r>
        <w:ptab w:relativeTo="margin" w:alignment="right" w:leader="dot"/>
      </w:r>
      <w:r>
        <w:rPr>
          <w:rFonts w:hint="eastAsia"/>
        </w:rPr>
        <w:t>5</w:t>
      </w:r>
    </w:p>
    <w:p>
      <w:pPr>
        <w:pStyle w:val="14"/>
        <w:adjustRightInd w:val="0"/>
        <w:snapToGrid w:val="0"/>
        <w:spacing w:before="0" w:line="440" w:lineRule="exact"/>
        <w:jc w:val="left"/>
        <w:rPr>
          <w:rFonts w:ascii="Times New Roman" w:hAnsi="Times New Roman"/>
          <w:b/>
          <w:bCs/>
          <w:sz w:val="24"/>
          <w:szCs w:val="24"/>
        </w:rPr>
      </w:pPr>
      <w:r>
        <w:rPr>
          <w:rFonts w:ascii="Times New Roman"/>
          <w:b/>
          <w:bCs/>
          <w:sz w:val="24"/>
        </w:rPr>
        <w:t>第二部分</w:t>
      </w:r>
      <w:r>
        <w:rPr>
          <w:rFonts w:ascii="Times New Roman" w:hAnsi="Times New Roman"/>
          <w:b/>
          <w:bCs/>
          <w:sz w:val="24"/>
        </w:rPr>
        <w:t xml:space="preserve"> 2022</w:t>
      </w:r>
      <w:r>
        <w:rPr>
          <w:rFonts w:ascii="Times New Roman"/>
          <w:b/>
          <w:bCs/>
          <w:sz w:val="24"/>
        </w:rPr>
        <w:t>年度部门决算情况说明</w:t>
      </w:r>
      <w:r>
        <w:rPr>
          <w:rFonts w:ascii="Times New Roman" w:hAnsi="Times New Roman"/>
          <w:b/>
          <w:bCs/>
        </w:rPr>
        <w:ptab w:relativeTo="margin" w:alignment="right" w:leader="dot"/>
      </w:r>
      <w:r>
        <w:rPr>
          <w:rFonts w:hint="eastAsia" w:ascii="Times New Roman" w:hAnsi="Times New Roman"/>
          <w:b/>
          <w:bCs/>
        </w:rPr>
        <w:t>6</w:t>
      </w:r>
    </w:p>
    <w:p>
      <w:pPr>
        <w:pStyle w:val="15"/>
        <w:adjustRightInd w:val="0"/>
        <w:snapToGrid w:val="0"/>
        <w:spacing w:line="440" w:lineRule="exact"/>
        <w:jc w:val="left"/>
        <w:rPr>
          <w:sz w:val="24"/>
        </w:rPr>
      </w:pPr>
      <w:r>
        <w:rPr>
          <w:sz w:val="24"/>
        </w:rPr>
        <w:t>一、收入支出决算总体情况说明</w:t>
      </w:r>
      <w:r>
        <w:ptab w:relativeTo="margin" w:alignment="right" w:leader="dot"/>
      </w:r>
      <w:r>
        <w:rPr>
          <w:rFonts w:hint="eastAsia"/>
        </w:rPr>
        <w:t>6</w:t>
      </w:r>
    </w:p>
    <w:p>
      <w:pPr>
        <w:pStyle w:val="15"/>
        <w:adjustRightInd w:val="0"/>
        <w:snapToGrid w:val="0"/>
        <w:spacing w:line="440" w:lineRule="exact"/>
        <w:jc w:val="left"/>
        <w:rPr>
          <w:sz w:val="24"/>
        </w:rPr>
      </w:pPr>
      <w:r>
        <w:rPr>
          <w:sz w:val="24"/>
        </w:rPr>
        <w:t>二、收入决算情况说明</w:t>
      </w:r>
      <w:r>
        <w:ptab w:relativeTo="margin" w:alignment="right" w:leader="dot"/>
      </w:r>
      <w:r>
        <w:rPr>
          <w:rFonts w:hint="eastAsia"/>
        </w:rPr>
        <w:t>6</w:t>
      </w:r>
    </w:p>
    <w:p>
      <w:pPr>
        <w:pStyle w:val="15"/>
        <w:adjustRightInd w:val="0"/>
        <w:snapToGrid w:val="0"/>
        <w:spacing w:line="440" w:lineRule="exact"/>
        <w:jc w:val="left"/>
        <w:rPr>
          <w:sz w:val="24"/>
        </w:rPr>
      </w:pPr>
      <w:r>
        <w:rPr>
          <w:sz w:val="24"/>
        </w:rPr>
        <w:t>三、支出决算情况说明</w:t>
      </w:r>
      <w:r>
        <w:ptab w:relativeTo="margin" w:alignment="right" w:leader="dot"/>
      </w:r>
      <w:r>
        <w:rPr>
          <w:rFonts w:hint="eastAsia"/>
        </w:rPr>
        <w:t>7</w:t>
      </w:r>
    </w:p>
    <w:p>
      <w:pPr>
        <w:pStyle w:val="15"/>
        <w:adjustRightInd w:val="0"/>
        <w:snapToGrid w:val="0"/>
        <w:spacing w:line="440" w:lineRule="exact"/>
        <w:jc w:val="left"/>
        <w:rPr>
          <w:sz w:val="24"/>
        </w:rPr>
      </w:pPr>
      <w:r>
        <w:rPr>
          <w:sz w:val="24"/>
        </w:rPr>
        <w:t>四、财政拨款收入支出决算总体情况说明</w:t>
      </w:r>
      <w:r>
        <w:ptab w:relativeTo="margin" w:alignment="right" w:leader="dot"/>
      </w:r>
      <w:r>
        <w:rPr>
          <w:rFonts w:hint="eastAsia"/>
        </w:rPr>
        <w:t>7</w:t>
      </w:r>
    </w:p>
    <w:p>
      <w:pPr>
        <w:pStyle w:val="15"/>
        <w:adjustRightInd w:val="0"/>
        <w:snapToGrid w:val="0"/>
        <w:spacing w:line="440" w:lineRule="exact"/>
        <w:jc w:val="left"/>
        <w:rPr>
          <w:sz w:val="24"/>
        </w:rPr>
      </w:pPr>
      <w:r>
        <w:rPr>
          <w:sz w:val="24"/>
        </w:rPr>
        <w:t>五、一般公共预算财政拨款支出决算情况说明</w:t>
      </w:r>
      <w:r>
        <w:ptab w:relativeTo="margin" w:alignment="right" w:leader="dot"/>
      </w:r>
      <w:r>
        <w:rPr>
          <w:rFonts w:hint="eastAsia"/>
        </w:rPr>
        <w:t>8</w:t>
      </w:r>
    </w:p>
    <w:p>
      <w:pPr>
        <w:pStyle w:val="15"/>
        <w:adjustRightInd w:val="0"/>
        <w:snapToGrid w:val="0"/>
        <w:spacing w:line="440" w:lineRule="exact"/>
        <w:jc w:val="left"/>
        <w:rPr>
          <w:sz w:val="24"/>
        </w:rPr>
      </w:pPr>
      <w:r>
        <w:rPr>
          <w:sz w:val="24"/>
        </w:rPr>
        <w:t>六、一般公共预算财政拨款基本支出决算情况说明</w:t>
      </w:r>
      <w:r>
        <w:ptab w:relativeTo="margin" w:alignment="right" w:leader="dot"/>
      </w:r>
      <w:r>
        <w:rPr>
          <w:rFonts w:hint="eastAsia"/>
        </w:rPr>
        <w:t>11</w:t>
      </w:r>
    </w:p>
    <w:p>
      <w:pPr>
        <w:pStyle w:val="15"/>
        <w:adjustRightInd w:val="0"/>
        <w:snapToGrid w:val="0"/>
        <w:spacing w:line="440" w:lineRule="exact"/>
        <w:jc w:val="left"/>
        <w:rPr>
          <w:sz w:val="24"/>
        </w:rPr>
      </w:pPr>
      <w:r>
        <w:rPr>
          <w:sz w:val="24"/>
        </w:rPr>
        <w:t>七、财政拨款“三公”经费支出决算情况说明</w:t>
      </w:r>
      <w:r>
        <w:ptab w:relativeTo="margin" w:alignment="right" w:leader="dot"/>
      </w:r>
      <w:r>
        <w:rPr>
          <w:rFonts w:hint="eastAsia"/>
        </w:rPr>
        <w:t>14</w:t>
      </w:r>
    </w:p>
    <w:p>
      <w:pPr>
        <w:pStyle w:val="15"/>
        <w:adjustRightInd w:val="0"/>
        <w:snapToGrid w:val="0"/>
        <w:spacing w:line="440" w:lineRule="exact"/>
        <w:jc w:val="left"/>
        <w:rPr>
          <w:sz w:val="24"/>
        </w:rPr>
      </w:pPr>
      <w:r>
        <w:rPr>
          <w:sz w:val="24"/>
        </w:rPr>
        <w:t>八、政府性基金预算支出决算情况说明</w:t>
      </w:r>
      <w:r>
        <w:ptab w:relativeTo="margin" w:alignment="right" w:leader="dot"/>
      </w:r>
      <w:r>
        <w:rPr>
          <w:rFonts w:hint="eastAsia"/>
        </w:rPr>
        <w:t>14</w:t>
      </w:r>
    </w:p>
    <w:p>
      <w:pPr>
        <w:pStyle w:val="15"/>
        <w:adjustRightInd w:val="0"/>
        <w:snapToGrid w:val="0"/>
        <w:spacing w:line="440" w:lineRule="exact"/>
        <w:ind w:leftChars="0"/>
        <w:jc w:val="left"/>
        <w:rPr>
          <w:sz w:val="24"/>
        </w:rPr>
      </w:pPr>
      <w:r>
        <w:rPr>
          <w:rFonts w:hAnsiTheme="minorEastAsia" w:eastAsiaTheme="minorEastAsia"/>
          <w:sz w:val="24"/>
        </w:rPr>
        <w:t>九、国有资本经营预算支出决算情况说明</w:t>
      </w:r>
      <w:r>
        <w:ptab w:relativeTo="margin" w:alignment="right" w:leader="dot"/>
      </w:r>
      <w:r>
        <w:rPr>
          <w:rFonts w:hint="eastAsia"/>
        </w:rPr>
        <w:t>14</w:t>
      </w:r>
    </w:p>
    <w:p>
      <w:pPr>
        <w:adjustRightInd w:val="0"/>
        <w:snapToGrid w:val="0"/>
        <w:spacing w:line="440" w:lineRule="exact"/>
        <w:ind w:firstLine="420" w:firstLineChars="175"/>
        <w:jc w:val="left"/>
        <w:rPr>
          <w:sz w:val="24"/>
        </w:rPr>
      </w:pPr>
      <w:r>
        <w:rPr>
          <w:rStyle w:val="22"/>
          <w:rFonts w:hAnsiTheme="minorEastAsia" w:eastAsiaTheme="minorEastAsia"/>
          <w:color w:val="auto"/>
          <w:sz w:val="24"/>
          <w:u w:val="none"/>
        </w:rPr>
        <w:t>十、</w:t>
      </w:r>
      <w:r>
        <w:rPr>
          <w:rFonts w:hAnsiTheme="minorEastAsia" w:eastAsiaTheme="minorEastAsia"/>
          <w:sz w:val="24"/>
        </w:rPr>
        <w:t>其他重要事项的情况说明</w:t>
      </w:r>
      <w:r>
        <w:rPr>
          <w:rFonts w:eastAsiaTheme="minorEastAsia"/>
          <w:sz w:val="24"/>
        </w:rPr>
        <w:tab/>
      </w:r>
      <w:r>
        <w:ptab w:relativeTo="margin" w:alignment="right" w:leader="dot"/>
      </w:r>
      <w:r>
        <w:rPr>
          <w:rFonts w:hint="eastAsia"/>
        </w:rPr>
        <w:t>14</w:t>
      </w:r>
    </w:p>
    <w:p>
      <w:pPr>
        <w:pStyle w:val="14"/>
        <w:adjustRightInd w:val="0"/>
        <w:snapToGrid w:val="0"/>
        <w:spacing w:before="0" w:line="440" w:lineRule="exact"/>
        <w:jc w:val="left"/>
        <w:rPr>
          <w:rFonts w:ascii="Times New Roman" w:hAnsi="Times New Roman"/>
          <w:b/>
          <w:bCs/>
          <w:sz w:val="24"/>
          <w:szCs w:val="24"/>
        </w:rPr>
      </w:pPr>
      <w:r>
        <w:rPr>
          <w:rFonts w:ascii="Times New Roman"/>
          <w:b/>
          <w:bCs/>
          <w:sz w:val="24"/>
        </w:rPr>
        <w:t>第三部分名词解释</w:t>
      </w:r>
      <w:r>
        <w:rPr>
          <w:rFonts w:ascii="Times New Roman" w:hAnsi="Times New Roman"/>
          <w:b/>
          <w:bCs/>
        </w:rPr>
        <w:ptab w:relativeTo="margin" w:alignment="right" w:leader="dot"/>
      </w:r>
      <w:r>
        <w:rPr>
          <w:rFonts w:hint="eastAsia" w:ascii="Times New Roman" w:hAnsi="Times New Roman"/>
          <w:b/>
          <w:bCs/>
        </w:rPr>
        <w:t>16</w:t>
      </w:r>
    </w:p>
    <w:p>
      <w:pPr>
        <w:pStyle w:val="14"/>
        <w:adjustRightInd w:val="0"/>
        <w:snapToGrid w:val="0"/>
        <w:spacing w:before="0" w:line="440" w:lineRule="exact"/>
        <w:jc w:val="left"/>
        <w:rPr>
          <w:rFonts w:ascii="Times New Roman" w:hAnsi="Times New Roman"/>
          <w:color w:val="0C0C0C" w:themeColor="text1" w:themeTint="F2"/>
          <w:sz w:val="24"/>
          <w:szCs w:val="24"/>
        </w:rPr>
      </w:pPr>
      <w:r>
        <w:rPr>
          <w:rFonts w:ascii="Times New Roman"/>
          <w:b/>
          <w:bCs/>
          <w:color w:val="0C0C0C" w:themeColor="text1" w:themeTint="F2"/>
          <w:sz w:val="24"/>
        </w:rPr>
        <w:t>第四部分附件</w:t>
      </w:r>
      <w:r>
        <w:rPr>
          <w:rFonts w:ascii="Times New Roman" w:hAnsi="Times New Roman"/>
          <w:b/>
          <w:bCs/>
          <w:color w:val="0C0C0C" w:themeColor="text1" w:themeTint="F2"/>
        </w:rPr>
        <w:ptab w:relativeTo="margin" w:alignment="right" w:leader="dot"/>
      </w:r>
      <w:r>
        <w:rPr>
          <w:rFonts w:hint="eastAsia" w:ascii="Times New Roman" w:hAnsi="Times New Roman"/>
          <w:b/>
          <w:bCs/>
          <w:color w:val="0C0C0C" w:themeColor="text1" w:themeTint="F2"/>
        </w:rPr>
        <w:t>19</w:t>
      </w:r>
    </w:p>
    <w:p>
      <w:pPr>
        <w:pStyle w:val="14"/>
        <w:adjustRightInd w:val="0"/>
        <w:snapToGrid w:val="0"/>
        <w:spacing w:before="0" w:line="440" w:lineRule="exact"/>
        <w:jc w:val="left"/>
        <w:rPr>
          <w:rFonts w:ascii="Times New Roman" w:hAnsi="Times New Roman"/>
          <w:b/>
          <w:bCs/>
          <w:sz w:val="24"/>
          <w:szCs w:val="24"/>
        </w:rPr>
      </w:pPr>
      <w:r>
        <w:rPr>
          <w:rFonts w:ascii="Times New Roman"/>
          <w:b/>
          <w:bCs/>
          <w:sz w:val="24"/>
        </w:rPr>
        <w:t>第五部分附表</w:t>
      </w:r>
      <w:r>
        <w:rPr>
          <w:rFonts w:ascii="Times New Roman" w:hAnsi="Times New Roman"/>
          <w:b/>
          <w:bCs/>
        </w:rPr>
        <w:ptab w:relativeTo="margin" w:alignment="right" w:leader="dot"/>
      </w:r>
      <w:r>
        <w:rPr>
          <w:rFonts w:hint="eastAsia" w:ascii="Times New Roman" w:hAnsi="Times New Roman"/>
          <w:b/>
          <w:bCs/>
        </w:rPr>
        <w:t>32</w:t>
      </w:r>
    </w:p>
    <w:p>
      <w:pPr>
        <w:pStyle w:val="15"/>
        <w:adjustRightInd w:val="0"/>
        <w:snapToGrid w:val="0"/>
        <w:spacing w:line="440" w:lineRule="exact"/>
        <w:jc w:val="left"/>
        <w:rPr>
          <w:sz w:val="24"/>
        </w:rPr>
      </w:pPr>
      <w:r>
        <w:rPr>
          <w:sz w:val="24"/>
        </w:rPr>
        <w:t>一、收入支出决算总表</w:t>
      </w:r>
      <w:r>
        <w:ptab w:relativeTo="margin" w:alignment="right" w:leader="dot"/>
      </w:r>
      <w:r>
        <w:rPr>
          <w:rFonts w:hint="eastAsia"/>
        </w:rPr>
        <w:t>32</w:t>
      </w:r>
    </w:p>
    <w:p>
      <w:pPr>
        <w:pStyle w:val="15"/>
        <w:adjustRightInd w:val="0"/>
        <w:snapToGrid w:val="0"/>
        <w:spacing w:line="440" w:lineRule="exact"/>
        <w:jc w:val="left"/>
        <w:rPr>
          <w:sz w:val="24"/>
        </w:rPr>
      </w:pPr>
      <w:r>
        <w:rPr>
          <w:sz w:val="24"/>
        </w:rPr>
        <w:t>二、收入决算表</w:t>
      </w:r>
      <w:r>
        <w:ptab w:relativeTo="margin" w:alignment="right" w:leader="dot"/>
      </w:r>
      <w:r>
        <w:rPr>
          <w:rFonts w:hint="eastAsia"/>
        </w:rPr>
        <w:t>33</w:t>
      </w:r>
    </w:p>
    <w:p>
      <w:pPr>
        <w:pStyle w:val="15"/>
        <w:adjustRightInd w:val="0"/>
        <w:snapToGrid w:val="0"/>
        <w:spacing w:line="440" w:lineRule="exact"/>
        <w:jc w:val="left"/>
        <w:rPr>
          <w:sz w:val="24"/>
        </w:rPr>
      </w:pPr>
      <w:r>
        <w:rPr>
          <w:sz w:val="24"/>
        </w:rPr>
        <w:t>三、支出决算表</w:t>
      </w:r>
      <w:r>
        <w:ptab w:relativeTo="margin" w:alignment="right" w:leader="dot"/>
      </w:r>
      <w:r>
        <w:rPr>
          <w:rFonts w:hint="eastAsia"/>
        </w:rPr>
        <w:t>33</w:t>
      </w:r>
    </w:p>
    <w:p>
      <w:pPr>
        <w:pStyle w:val="15"/>
        <w:adjustRightInd w:val="0"/>
        <w:snapToGrid w:val="0"/>
        <w:spacing w:line="440" w:lineRule="exact"/>
        <w:jc w:val="left"/>
        <w:rPr>
          <w:sz w:val="24"/>
        </w:rPr>
      </w:pPr>
      <w:r>
        <w:rPr>
          <w:sz w:val="24"/>
        </w:rPr>
        <w:t>四、财政拨款收入支出决算总表</w:t>
      </w:r>
      <w:r>
        <w:ptab w:relativeTo="margin" w:alignment="right" w:leader="dot"/>
      </w:r>
      <w:r>
        <w:rPr>
          <w:rFonts w:hint="eastAsia"/>
        </w:rPr>
        <w:t>34</w:t>
      </w:r>
    </w:p>
    <w:p>
      <w:pPr>
        <w:pStyle w:val="15"/>
        <w:adjustRightInd w:val="0"/>
        <w:snapToGrid w:val="0"/>
        <w:spacing w:line="440" w:lineRule="exact"/>
        <w:jc w:val="left"/>
        <w:rPr>
          <w:sz w:val="24"/>
        </w:rPr>
      </w:pPr>
      <w:r>
        <w:rPr>
          <w:sz w:val="24"/>
        </w:rPr>
        <w:t>五、财政拨款支出决算明细表</w:t>
      </w:r>
      <w:r>
        <w:ptab w:relativeTo="margin" w:alignment="right" w:leader="dot"/>
      </w:r>
      <w:r>
        <w:rPr>
          <w:rFonts w:hint="eastAsia"/>
        </w:rPr>
        <w:t>35</w:t>
      </w:r>
    </w:p>
    <w:p>
      <w:pPr>
        <w:pStyle w:val="15"/>
        <w:adjustRightInd w:val="0"/>
        <w:snapToGrid w:val="0"/>
        <w:spacing w:line="440" w:lineRule="exact"/>
        <w:jc w:val="left"/>
        <w:rPr>
          <w:sz w:val="24"/>
        </w:rPr>
      </w:pPr>
      <w:r>
        <w:rPr>
          <w:sz w:val="24"/>
        </w:rPr>
        <w:t>六、一般公共预算财政拨款支出决算表</w:t>
      </w:r>
      <w:r>
        <w:ptab w:relativeTo="margin" w:alignment="right" w:leader="dot"/>
      </w:r>
      <w:r>
        <w:rPr>
          <w:rFonts w:hint="eastAsia"/>
        </w:rPr>
        <w:t>36</w:t>
      </w:r>
    </w:p>
    <w:p>
      <w:pPr>
        <w:pStyle w:val="15"/>
        <w:adjustRightInd w:val="0"/>
        <w:snapToGrid w:val="0"/>
        <w:spacing w:line="440" w:lineRule="exact"/>
        <w:jc w:val="left"/>
        <w:rPr>
          <w:sz w:val="24"/>
        </w:rPr>
      </w:pPr>
      <w:r>
        <w:rPr>
          <w:sz w:val="24"/>
        </w:rPr>
        <w:t>七、一般公共预算财政拨款支出决算明细表</w:t>
      </w:r>
      <w:r>
        <w:ptab w:relativeTo="margin" w:alignment="right" w:leader="dot"/>
      </w:r>
      <w:r>
        <w:rPr>
          <w:rFonts w:hint="eastAsia"/>
        </w:rPr>
        <w:t>36</w:t>
      </w:r>
    </w:p>
    <w:p>
      <w:pPr>
        <w:pStyle w:val="15"/>
        <w:adjustRightInd w:val="0"/>
        <w:snapToGrid w:val="0"/>
        <w:spacing w:line="440" w:lineRule="exact"/>
        <w:jc w:val="left"/>
        <w:rPr>
          <w:sz w:val="24"/>
        </w:rPr>
      </w:pPr>
      <w:r>
        <w:rPr>
          <w:sz w:val="24"/>
        </w:rPr>
        <w:t>八、一般公共预算财政拨款基本支出决算明细表</w:t>
      </w:r>
      <w:r>
        <w:ptab w:relativeTo="margin" w:alignment="right" w:leader="dot"/>
      </w:r>
      <w:r>
        <w:rPr>
          <w:rFonts w:hint="eastAsia"/>
        </w:rPr>
        <w:t>37</w:t>
      </w:r>
    </w:p>
    <w:p>
      <w:pPr>
        <w:pStyle w:val="15"/>
        <w:adjustRightInd w:val="0"/>
        <w:snapToGrid w:val="0"/>
        <w:spacing w:line="440" w:lineRule="exact"/>
        <w:jc w:val="left"/>
        <w:rPr>
          <w:sz w:val="24"/>
        </w:rPr>
      </w:pPr>
      <w:r>
        <w:rPr>
          <w:sz w:val="24"/>
        </w:rPr>
        <w:t>九、一般公共预算财政拨款项目支出决算表</w:t>
      </w:r>
      <w:r>
        <w:ptab w:relativeTo="margin" w:alignment="right" w:leader="dot"/>
      </w:r>
      <w:r>
        <w:rPr>
          <w:rFonts w:hint="eastAsia"/>
        </w:rPr>
        <w:t>37</w:t>
      </w:r>
    </w:p>
    <w:p>
      <w:pPr>
        <w:pStyle w:val="15"/>
        <w:adjustRightInd w:val="0"/>
        <w:snapToGrid w:val="0"/>
        <w:spacing w:line="440" w:lineRule="exact"/>
        <w:jc w:val="left"/>
        <w:rPr>
          <w:sz w:val="24"/>
        </w:rPr>
      </w:pPr>
      <w:r>
        <w:rPr>
          <w:sz w:val="24"/>
        </w:rPr>
        <w:t>十、政府性基金预算财政拨款收入支出决算表</w:t>
      </w:r>
      <w:r>
        <w:ptab w:relativeTo="margin" w:alignment="right" w:leader="dot"/>
      </w:r>
      <w:r>
        <w:rPr>
          <w:rFonts w:hint="eastAsia"/>
        </w:rPr>
        <w:t>38</w:t>
      </w:r>
    </w:p>
    <w:p>
      <w:pPr>
        <w:pStyle w:val="15"/>
        <w:adjustRightInd w:val="0"/>
        <w:snapToGrid w:val="0"/>
        <w:spacing w:line="440" w:lineRule="exact"/>
        <w:jc w:val="left"/>
        <w:rPr>
          <w:sz w:val="24"/>
        </w:rPr>
      </w:pPr>
      <w:r>
        <w:rPr>
          <w:sz w:val="24"/>
        </w:rPr>
        <w:t>十一、国有资本经营预算财政拨款收入支出决算表</w:t>
      </w:r>
      <w:r>
        <w:ptab w:relativeTo="margin" w:alignment="right" w:leader="dot"/>
      </w:r>
      <w:r>
        <w:rPr>
          <w:rFonts w:hint="eastAsia"/>
        </w:rPr>
        <w:t>38</w:t>
      </w:r>
    </w:p>
    <w:p>
      <w:pPr>
        <w:pStyle w:val="15"/>
        <w:adjustRightInd w:val="0"/>
        <w:snapToGrid w:val="0"/>
        <w:spacing w:line="440" w:lineRule="exact"/>
        <w:jc w:val="left"/>
        <w:rPr>
          <w:sz w:val="24"/>
        </w:rPr>
      </w:pPr>
      <w:r>
        <w:rPr>
          <w:sz w:val="24"/>
        </w:rPr>
        <w:t>十二、国有资本经营预算财政拨款支出决算表</w:t>
      </w:r>
      <w:r>
        <w:ptab w:relativeTo="margin" w:alignment="right" w:leader="dot"/>
      </w:r>
      <w:r>
        <w:rPr>
          <w:rFonts w:hint="eastAsia"/>
        </w:rPr>
        <w:t>39</w:t>
      </w:r>
    </w:p>
    <w:p>
      <w:pPr>
        <w:pStyle w:val="15"/>
        <w:adjustRightInd w:val="0"/>
        <w:snapToGrid w:val="0"/>
        <w:spacing w:line="440" w:lineRule="exact"/>
        <w:jc w:val="left"/>
        <w:rPr>
          <w:sz w:val="24"/>
        </w:rPr>
      </w:pPr>
      <w:r>
        <w:rPr>
          <w:sz w:val="24"/>
        </w:rPr>
        <w:t>十三、财政拨款“三公”经费支出决算表</w:t>
      </w:r>
      <w:r>
        <w:ptab w:relativeTo="margin" w:alignment="right" w:leader="dot"/>
      </w:r>
      <w:r>
        <w:rPr>
          <w:rFonts w:hint="eastAsia"/>
        </w:rPr>
        <w:t>39</w:t>
      </w:r>
    </w:p>
    <w:p>
      <w:pPr>
        <w:widowControl/>
        <w:spacing w:line="440" w:lineRule="exact"/>
        <w:jc w:val="left"/>
        <w:rPr>
          <w:rFonts w:eastAsia="仿宋"/>
          <w:bCs/>
          <w:kern w:val="44"/>
          <w:sz w:val="24"/>
        </w:rPr>
      </w:pPr>
      <w:bookmarkStart w:id="12" w:name="_Toc15396599"/>
      <w:bookmarkStart w:id="13" w:name="_Toc15377196"/>
      <w:r>
        <w:rPr>
          <w:rFonts w:eastAsia="仿宋"/>
          <w:b/>
          <w:sz w:val="24"/>
        </w:rPr>
        <w:br w:type="page"/>
      </w:r>
    </w:p>
    <w:p>
      <w:pPr>
        <w:spacing w:line="0" w:lineRule="atLeast"/>
        <w:jc w:val="center"/>
        <w:rPr>
          <w:rFonts w:eastAsia="方正小标宋_GBK"/>
          <w:bCs/>
          <w:sz w:val="38"/>
          <w:szCs w:val="38"/>
        </w:rPr>
      </w:pPr>
      <w:r>
        <w:rPr>
          <w:rFonts w:eastAsia="方正小标宋_GBK"/>
          <w:b/>
          <w:sz w:val="38"/>
          <w:szCs w:val="38"/>
        </w:rPr>
        <w:t xml:space="preserve">第一部分 </w:t>
      </w:r>
      <w:r>
        <w:rPr>
          <w:rFonts w:eastAsia="方正小标宋_GBK"/>
          <w:sz w:val="38"/>
          <w:szCs w:val="38"/>
        </w:rPr>
        <w:t>部门概况</w:t>
      </w:r>
      <w:bookmarkEnd w:id="12"/>
      <w:bookmarkEnd w:id="13"/>
    </w:p>
    <w:p>
      <w:pPr>
        <w:ind w:firstLine="630"/>
        <w:rPr>
          <w:rFonts w:eastAsia="方正黑体_GBK"/>
          <w:sz w:val="33"/>
          <w:szCs w:val="33"/>
        </w:rPr>
      </w:pPr>
      <w:bookmarkStart w:id="14" w:name="_Toc15377198"/>
      <w:bookmarkStart w:id="15" w:name="_Toc15378445"/>
    </w:p>
    <w:p>
      <w:pPr>
        <w:ind w:firstLine="630"/>
        <w:rPr>
          <w:rFonts w:eastAsia="方正黑体_GBK"/>
          <w:sz w:val="33"/>
          <w:szCs w:val="33"/>
        </w:rPr>
      </w:pPr>
      <w:r>
        <w:rPr>
          <w:rFonts w:eastAsia="方正黑体_GBK"/>
          <w:sz w:val="33"/>
          <w:szCs w:val="33"/>
        </w:rPr>
        <w:t>一、主要职责</w:t>
      </w:r>
      <w:bookmarkEnd w:id="14"/>
      <w:bookmarkEnd w:id="15"/>
    </w:p>
    <w:p>
      <w:pPr>
        <w:spacing w:line="600" w:lineRule="exact"/>
        <w:ind w:firstLine="660" w:firstLineChars="200"/>
        <w:rPr>
          <w:rFonts w:eastAsia="方正仿宋_GBK"/>
          <w:sz w:val="33"/>
          <w:szCs w:val="33"/>
        </w:rPr>
      </w:pPr>
      <w:r>
        <w:rPr>
          <w:rFonts w:eastAsia="方正仿宋_GBK"/>
          <w:sz w:val="33"/>
          <w:szCs w:val="33"/>
        </w:rPr>
        <w:t>1.根据党中央的路线、方针、政策和县委的部署，统一政法各部门的思想和行动，确保政法部门的执法活动坚持正确的政治方向。</w:t>
      </w:r>
    </w:p>
    <w:p>
      <w:pPr>
        <w:ind w:firstLine="660" w:firstLineChars="200"/>
        <w:rPr>
          <w:rFonts w:eastAsia="方正仿宋_GBK"/>
          <w:sz w:val="33"/>
          <w:szCs w:val="33"/>
        </w:rPr>
      </w:pPr>
      <w:r>
        <w:rPr>
          <w:rFonts w:eastAsia="方正仿宋_GBK"/>
          <w:sz w:val="33"/>
          <w:szCs w:val="33"/>
        </w:rPr>
        <w:t>2.研究制定贯彻落实党中央、省委、市委和县委关于政法工作的方针、政策和维护社会稳定工作的指示措施，及时向县委提出意见和建议，对一定时期内的政法工作、社会治安综合治理工作、社会稳定工作作出全局性的部署，并督促检查，抓好贯彻落实。</w:t>
      </w:r>
    </w:p>
    <w:p>
      <w:pPr>
        <w:ind w:firstLine="660" w:firstLineChars="200"/>
        <w:rPr>
          <w:rFonts w:eastAsia="方正仿宋_GBK"/>
          <w:sz w:val="33"/>
          <w:szCs w:val="33"/>
        </w:rPr>
      </w:pPr>
      <w:r>
        <w:rPr>
          <w:rFonts w:eastAsia="方正仿宋_GBK"/>
          <w:sz w:val="33"/>
          <w:szCs w:val="33"/>
        </w:rPr>
        <w:t>3.加强对政法工作的督查。指导全县政法系统网络安全和智能化建设工作。</w:t>
      </w:r>
    </w:p>
    <w:p>
      <w:pPr>
        <w:ind w:firstLine="660" w:firstLineChars="200"/>
        <w:rPr>
          <w:rFonts w:eastAsia="方正仿宋_GBK"/>
          <w:sz w:val="33"/>
          <w:szCs w:val="33"/>
        </w:rPr>
      </w:pPr>
      <w:r>
        <w:rPr>
          <w:rFonts w:eastAsia="方正仿宋_GBK"/>
          <w:sz w:val="33"/>
          <w:szCs w:val="33"/>
        </w:rPr>
        <w:t>4.组织推动政法工作的调查研究，推动政法工作改革。</w:t>
      </w:r>
    </w:p>
    <w:p>
      <w:pPr>
        <w:ind w:firstLine="660" w:firstLineChars="200"/>
        <w:rPr>
          <w:rFonts w:eastAsia="方正仿宋_GBK"/>
          <w:sz w:val="33"/>
          <w:szCs w:val="33"/>
        </w:rPr>
      </w:pPr>
      <w:r>
        <w:rPr>
          <w:rFonts w:eastAsia="方正仿宋_GBK"/>
          <w:sz w:val="33"/>
          <w:szCs w:val="33"/>
        </w:rPr>
        <w:t>5.监督检查政法部门执行宪法、法律、法规和公正司法情况，研究制定严格执法、维护司法公正的具体措施。监督和支持政法各部门依法行使职权，指导和协调政法部门密切配合，研究和协调重大、疑难案件，推进严格执法、公正司法。</w:t>
      </w:r>
    </w:p>
    <w:p>
      <w:pPr>
        <w:ind w:firstLine="660" w:firstLineChars="200"/>
        <w:rPr>
          <w:rFonts w:eastAsia="方正仿宋_GBK"/>
          <w:sz w:val="33"/>
          <w:szCs w:val="33"/>
        </w:rPr>
      </w:pPr>
      <w:r>
        <w:rPr>
          <w:rFonts w:eastAsia="方正仿宋_GBK"/>
          <w:sz w:val="33"/>
          <w:szCs w:val="33"/>
        </w:rPr>
        <w:t>6.指导推动政法系统党的建设和政法队伍建设，研究加强全县政法队伍建设的措施，协助县委、县委组织部考察、管理政法部门领导班子和领导干部，协助县委、县纪委监察机关做好监督检查和审查调查工作。代管盐边县法学会。</w:t>
      </w:r>
    </w:p>
    <w:p>
      <w:pPr>
        <w:ind w:firstLine="660" w:firstLineChars="200"/>
        <w:rPr>
          <w:rFonts w:eastAsia="方正仿宋_GBK"/>
          <w:sz w:val="33"/>
          <w:szCs w:val="33"/>
        </w:rPr>
      </w:pPr>
      <w:r>
        <w:rPr>
          <w:rFonts w:eastAsia="方正仿宋_GBK"/>
          <w:sz w:val="33"/>
          <w:szCs w:val="33"/>
        </w:rPr>
        <w:t>7.承担全县社会治安综合治理工作的调查分析、组织协调和监督检查，协调推动各项综治工作措施的落实。</w:t>
      </w:r>
    </w:p>
    <w:p>
      <w:pPr>
        <w:ind w:firstLine="660" w:firstLineChars="200"/>
        <w:rPr>
          <w:rFonts w:eastAsia="方正仿宋_GBK"/>
          <w:sz w:val="33"/>
          <w:szCs w:val="33"/>
        </w:rPr>
      </w:pPr>
      <w:r>
        <w:rPr>
          <w:rFonts w:eastAsia="方正仿宋_GBK"/>
          <w:sz w:val="33"/>
          <w:szCs w:val="33"/>
        </w:rPr>
        <w:t>8.指导全县维护社会稳定工作。协调推动相关部门做好反邪教工作。</w:t>
      </w:r>
    </w:p>
    <w:p>
      <w:pPr>
        <w:ind w:firstLine="660" w:firstLineChars="200"/>
        <w:rPr>
          <w:rFonts w:eastAsia="方正仿宋_GBK"/>
          <w:sz w:val="33"/>
          <w:szCs w:val="33"/>
        </w:rPr>
      </w:pPr>
      <w:r>
        <w:rPr>
          <w:rFonts w:eastAsia="方正仿宋_GBK"/>
          <w:sz w:val="33"/>
          <w:szCs w:val="33"/>
        </w:rPr>
        <w:t>9.完成县委政法委三定规定中明确的其他工作职责。</w:t>
      </w:r>
    </w:p>
    <w:p>
      <w:pPr>
        <w:ind w:firstLine="660" w:firstLineChars="200"/>
        <w:rPr>
          <w:rFonts w:eastAsia="方正仿宋_GBK"/>
          <w:sz w:val="33"/>
          <w:szCs w:val="33"/>
        </w:rPr>
      </w:pPr>
      <w:r>
        <w:rPr>
          <w:rFonts w:eastAsia="方正仿宋_GBK"/>
          <w:sz w:val="33"/>
          <w:szCs w:val="33"/>
        </w:rPr>
        <w:t>10.完成县委交办的其他任务。</w:t>
      </w:r>
    </w:p>
    <w:p>
      <w:pPr>
        <w:ind w:firstLine="630"/>
        <w:rPr>
          <w:rFonts w:eastAsia="方正黑体_GBK"/>
          <w:sz w:val="33"/>
          <w:szCs w:val="33"/>
        </w:rPr>
      </w:pPr>
      <w:bookmarkStart w:id="16" w:name="_Toc15396601"/>
      <w:bookmarkStart w:id="17" w:name="_Toc15377200"/>
      <w:r>
        <w:rPr>
          <w:rFonts w:eastAsia="方正黑体_GBK"/>
          <w:sz w:val="33"/>
          <w:szCs w:val="33"/>
        </w:rPr>
        <w:t>二、机构设置</w:t>
      </w:r>
      <w:bookmarkEnd w:id="16"/>
      <w:bookmarkEnd w:id="17"/>
    </w:p>
    <w:p>
      <w:pPr>
        <w:ind w:firstLine="660" w:firstLineChars="200"/>
        <w:rPr>
          <w:rFonts w:eastAsia="方正仿宋_GBK"/>
          <w:sz w:val="33"/>
          <w:szCs w:val="33"/>
        </w:rPr>
      </w:pPr>
      <w:r>
        <w:rPr>
          <w:rFonts w:eastAsia="方正仿宋_GBK"/>
          <w:sz w:val="33"/>
          <w:szCs w:val="33"/>
        </w:rPr>
        <w:t>中共盐边县委政法委员会下属非独立核算单位1个，其中其他事业单位1个。主要包括：盐边县社会治安综合治理中心。</w:t>
      </w:r>
      <w:r>
        <w:rPr>
          <w:rFonts w:eastAsia="方正仿宋_GBK"/>
          <w:sz w:val="33"/>
          <w:szCs w:val="33"/>
        </w:rPr>
        <w:br w:type="page"/>
      </w:r>
    </w:p>
    <w:p>
      <w:pPr>
        <w:spacing w:line="0" w:lineRule="atLeast"/>
        <w:jc w:val="center"/>
        <w:rPr>
          <w:rFonts w:eastAsia="方正小标宋_GBK"/>
          <w:sz w:val="38"/>
          <w:szCs w:val="38"/>
        </w:rPr>
      </w:pPr>
      <w:bookmarkStart w:id="18" w:name="_Toc15377204"/>
      <w:bookmarkStart w:id="19" w:name="_Toc15396602"/>
      <w:r>
        <w:rPr>
          <w:rFonts w:eastAsia="方正小标宋_GBK"/>
          <w:b/>
          <w:sz w:val="38"/>
          <w:szCs w:val="38"/>
        </w:rPr>
        <w:t>第二部分 2022年度</w:t>
      </w:r>
      <w:r>
        <w:rPr>
          <w:rFonts w:eastAsia="方正小标宋_GBK"/>
          <w:bCs/>
          <w:sz w:val="38"/>
          <w:szCs w:val="38"/>
        </w:rPr>
        <w:t>部门决算情况说明</w:t>
      </w:r>
      <w:bookmarkEnd w:id="18"/>
      <w:bookmarkEnd w:id="19"/>
    </w:p>
    <w:p>
      <w:pPr>
        <w:ind w:firstLine="660" w:firstLineChars="200"/>
        <w:rPr>
          <w:rFonts w:eastAsia="方正黑体_GBK"/>
          <w:sz w:val="33"/>
          <w:szCs w:val="33"/>
        </w:rPr>
      </w:pPr>
      <w:bookmarkStart w:id="20" w:name="_Toc15396603"/>
      <w:bookmarkStart w:id="21" w:name="_Toc15377205"/>
    </w:p>
    <w:p>
      <w:pPr>
        <w:ind w:firstLine="660" w:firstLineChars="200"/>
        <w:rPr>
          <w:rFonts w:eastAsia="方正黑体_GBK"/>
          <w:sz w:val="33"/>
          <w:szCs w:val="33"/>
        </w:rPr>
      </w:pPr>
      <w:r>
        <w:rPr>
          <w:rFonts w:eastAsia="方正黑体_GBK"/>
          <w:sz w:val="33"/>
          <w:szCs w:val="33"/>
        </w:rPr>
        <w:t>一、收入支出决算总体情况说明</w:t>
      </w:r>
      <w:bookmarkEnd w:id="20"/>
      <w:bookmarkEnd w:id="21"/>
    </w:p>
    <w:p>
      <w:pPr>
        <w:ind w:firstLine="660" w:firstLineChars="200"/>
        <w:rPr>
          <w:rFonts w:eastAsia="方正仿宋_GBK"/>
          <w:sz w:val="33"/>
          <w:szCs w:val="33"/>
          <w:lang w:val="zh-CN"/>
        </w:rPr>
      </w:pPr>
      <w:r>
        <w:rPr>
          <w:rFonts w:eastAsia="方正仿宋_GBK"/>
          <w:sz w:val="33"/>
          <w:szCs w:val="33"/>
          <w:lang w:val="zh-CN"/>
        </w:rPr>
        <w:t>2022年度收、支总计493.9万元。与2021年相比，收、支总计各增加2.97万元，增长0.6%。主要变动原因是：新进事业人员工资福利支出和公用经费支出增加。</w:t>
      </w:r>
    </w:p>
    <w:p>
      <w:pPr>
        <w:spacing w:line="600" w:lineRule="exact"/>
        <w:ind w:firstLine="420" w:firstLineChars="200"/>
        <w:rPr>
          <w:rFonts w:eastAsia="仿宋_GB2312"/>
          <w:sz w:val="32"/>
          <w:szCs w:val="32"/>
        </w:rPr>
      </w:pPr>
      <w:r>
        <w:drawing>
          <wp:anchor distT="0" distB="0" distL="114300" distR="114300" simplePos="0" relativeHeight="251658240" behindDoc="1" locked="0" layoutInCell="1" allowOverlap="1">
            <wp:simplePos x="0" y="0"/>
            <wp:positionH relativeFrom="column">
              <wp:posOffset>196850</wp:posOffset>
            </wp:positionH>
            <wp:positionV relativeFrom="paragraph">
              <wp:posOffset>221615</wp:posOffset>
            </wp:positionV>
            <wp:extent cx="5273040" cy="3050540"/>
            <wp:effectExtent l="4445" t="4445" r="18415" b="12065"/>
            <wp:wrapThrough wrapText="bothSides">
              <wp:wrapPolygon>
                <wp:start x="-18" y="-31"/>
                <wp:lineTo x="-18" y="21551"/>
                <wp:lineTo x="21519" y="21551"/>
                <wp:lineTo x="21519" y="-31"/>
                <wp:lineTo x="-18" y="-31"/>
              </wp:wrapPolygon>
            </wp:wrapThrough>
            <wp:docPr id="320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ind w:firstLine="660" w:firstLineChars="200"/>
        <w:rPr>
          <w:rFonts w:eastAsia="方正黑体_GBK"/>
          <w:sz w:val="33"/>
          <w:szCs w:val="33"/>
          <w:lang w:val="zh-CN"/>
        </w:rPr>
      </w:pPr>
      <w:bookmarkStart w:id="22" w:name="_Toc15396604"/>
      <w:bookmarkStart w:id="23" w:name="_Toc15377206"/>
      <w:r>
        <w:rPr>
          <w:rFonts w:eastAsia="方正黑体_GBK"/>
          <w:sz w:val="33"/>
          <w:szCs w:val="33"/>
        </w:rPr>
        <w:t>二、收入决算情况说明</w:t>
      </w:r>
      <w:bookmarkEnd w:id="22"/>
      <w:bookmarkEnd w:id="23"/>
    </w:p>
    <w:p>
      <w:pPr>
        <w:pStyle w:val="32"/>
        <w:spacing w:line="600" w:lineRule="exact"/>
        <w:ind w:firstLine="660"/>
        <w:outlineLvl w:val="1"/>
        <w:rPr>
          <w:rFonts w:eastAsia="仿宋_GB2312"/>
          <w:sz w:val="32"/>
          <w:szCs w:val="32"/>
        </w:rPr>
      </w:pPr>
      <w:r>
        <w:rPr>
          <w:rFonts w:eastAsia="方正仿宋_GBK"/>
          <w:sz w:val="33"/>
          <w:szCs w:val="33"/>
          <w:lang w:val="zh-CN"/>
        </w:rPr>
        <w:t>2022年本年收入合计493.9万元，其中：一般公共预算财政拨款收入493.9万元，占100%；政府性基金预算财政拨款收入0万元，占0%；国有资本经营预算财政拨款收入0万元，占0%；上级补助收入0万元，占0%；事业收入0万元，占0%；经营收入0万元，占0%；附属单位上缴收入0万元，占0%；其他收入0万元，占0%。</w:t>
      </w:r>
      <w:r>
        <w:drawing>
          <wp:anchor distT="0" distB="0" distL="114300" distR="114300" simplePos="0" relativeHeight="251659264" behindDoc="1" locked="0" layoutInCell="1" allowOverlap="1">
            <wp:simplePos x="0" y="0"/>
            <wp:positionH relativeFrom="column">
              <wp:posOffset>271145</wp:posOffset>
            </wp:positionH>
            <wp:positionV relativeFrom="paragraph">
              <wp:posOffset>-2376805</wp:posOffset>
            </wp:positionV>
            <wp:extent cx="5271135" cy="2661285"/>
            <wp:effectExtent l="4445" t="4445" r="20320" b="20320"/>
            <wp:wrapThrough wrapText="bothSides">
              <wp:wrapPolygon>
                <wp:start x="-18" y="-36"/>
                <wp:lineTo x="-18" y="21456"/>
                <wp:lineTo x="21527" y="21456"/>
                <wp:lineTo x="21527" y="-36"/>
                <wp:lineTo x="-18" y="-36"/>
              </wp:wrapPolygon>
            </wp:wrapThrough>
            <wp:docPr id="32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ind w:firstLine="660" w:firstLineChars="200"/>
        <w:rPr>
          <w:rFonts w:eastAsia="方正黑体_GBK"/>
          <w:sz w:val="33"/>
          <w:szCs w:val="33"/>
        </w:rPr>
      </w:pPr>
      <w:bookmarkStart w:id="24" w:name="_Toc15377207"/>
      <w:bookmarkStart w:id="25" w:name="_Toc15396605"/>
      <w:r>
        <w:rPr>
          <w:rFonts w:eastAsia="方正黑体_GBK"/>
          <w:sz w:val="33"/>
          <w:szCs w:val="33"/>
        </w:rPr>
        <w:t>三、支出决算情况说明</w:t>
      </w:r>
      <w:bookmarkEnd w:id="24"/>
      <w:bookmarkEnd w:id="25"/>
    </w:p>
    <w:p>
      <w:pPr>
        <w:ind w:firstLine="660" w:firstLineChars="200"/>
        <w:rPr>
          <w:rFonts w:eastAsia="方正仿宋_GBK"/>
          <w:sz w:val="33"/>
          <w:szCs w:val="33"/>
          <w:lang w:val="zh-CN"/>
        </w:rPr>
      </w:pPr>
      <w:r>
        <w:rPr>
          <w:rFonts w:eastAsia="方正仿宋_GBK"/>
          <w:sz w:val="33"/>
          <w:szCs w:val="33"/>
          <w:lang w:val="zh-CN"/>
        </w:rPr>
        <w:t>2022年本年支出合计493.9万元，其中：基本支出376.2万元，占76.2%；项目支出117.7万元，占23.8%；上缴上级支出0万元，占0%；经营支出0万元，占0%；对附属单位补助支出0万元，占0%。</w:t>
      </w:r>
    </w:p>
    <w:p>
      <w:pPr>
        <w:keepNext/>
        <w:keepLines/>
        <w:spacing w:line="576" w:lineRule="exact"/>
        <w:ind w:firstLine="640"/>
        <w:rPr>
          <w:rFonts w:eastAsia="方正黑体_GBK"/>
          <w:sz w:val="33"/>
          <w:szCs w:val="33"/>
        </w:rPr>
      </w:pPr>
      <w:r>
        <w:drawing>
          <wp:anchor distT="0" distB="0" distL="114300" distR="114300" simplePos="0" relativeHeight="251660288" behindDoc="1" locked="0" layoutInCell="1" allowOverlap="1">
            <wp:simplePos x="0" y="0"/>
            <wp:positionH relativeFrom="column">
              <wp:posOffset>167005</wp:posOffset>
            </wp:positionH>
            <wp:positionV relativeFrom="paragraph">
              <wp:posOffset>212090</wp:posOffset>
            </wp:positionV>
            <wp:extent cx="5272405" cy="2864485"/>
            <wp:effectExtent l="4445" t="4445" r="19050" b="7620"/>
            <wp:wrapThrough wrapText="bothSides">
              <wp:wrapPolygon>
                <wp:start x="-18" y="-34"/>
                <wp:lineTo x="-18" y="21514"/>
                <wp:lineTo x="21522" y="21514"/>
                <wp:lineTo x="21522" y="-34"/>
                <wp:lineTo x="-18" y="-34"/>
              </wp:wrapPolygon>
            </wp:wrapThrough>
            <wp:docPr id="320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26" w:name="_Toc15396606"/>
      <w:bookmarkStart w:id="27" w:name="_Toc15377208"/>
      <w:r>
        <w:rPr>
          <w:rFonts w:eastAsia="方正黑体_GBK"/>
          <w:sz w:val="33"/>
          <w:szCs w:val="33"/>
        </w:rPr>
        <w:t>四、财政拨款收入支出决算总体情况说明</w:t>
      </w:r>
      <w:bookmarkEnd w:id="26"/>
      <w:bookmarkEnd w:id="27"/>
    </w:p>
    <w:p>
      <w:pPr>
        <w:ind w:firstLine="630"/>
        <w:rPr>
          <w:rFonts w:eastAsia="仿宋"/>
          <w:b/>
          <w:sz w:val="32"/>
          <w:szCs w:val="32"/>
        </w:rPr>
      </w:pPr>
      <w:r>
        <w:rPr>
          <w:rFonts w:eastAsia="方正仿宋_GBK"/>
          <w:sz w:val="33"/>
          <w:szCs w:val="33"/>
          <w:lang w:val="zh-CN"/>
        </w:rPr>
        <w:t>2022年财政拨款收、支总计493.9万元。与2021年相比，财政拨款收、支总计各增加2.97万元，增长0.6%。主要变动原因是：新进事业人员工资福利支出和公用经费支出增加。</w:t>
      </w:r>
      <w:r>
        <w:drawing>
          <wp:anchor distT="0" distB="0" distL="114300" distR="114300" simplePos="0" relativeHeight="251661312" behindDoc="1" locked="0" layoutInCell="1" allowOverlap="1">
            <wp:simplePos x="0" y="0"/>
            <wp:positionH relativeFrom="column">
              <wp:posOffset>50800</wp:posOffset>
            </wp:positionH>
            <wp:positionV relativeFrom="paragraph">
              <wp:posOffset>20955</wp:posOffset>
            </wp:positionV>
            <wp:extent cx="5269230" cy="2743835"/>
            <wp:effectExtent l="4445" t="4445" r="22225" b="13970"/>
            <wp:wrapThrough wrapText="bothSides">
              <wp:wrapPolygon>
                <wp:start x="-18" y="-35"/>
                <wp:lineTo x="-18" y="21560"/>
                <wp:lineTo x="21535" y="21560"/>
                <wp:lineTo x="21535" y="-35"/>
                <wp:lineTo x="-18" y="-35"/>
              </wp:wrapPolygon>
            </wp:wrapThrough>
            <wp:docPr id="32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ind w:firstLine="630"/>
        <w:rPr>
          <w:rFonts w:eastAsia="方正黑体_GBK"/>
          <w:sz w:val="33"/>
          <w:szCs w:val="33"/>
        </w:rPr>
      </w:pPr>
      <w:bookmarkStart w:id="28" w:name="_Toc15396607"/>
      <w:bookmarkStart w:id="29" w:name="_Toc15377209"/>
      <w:r>
        <w:rPr>
          <w:rFonts w:eastAsia="方正黑体_GBK"/>
          <w:sz w:val="33"/>
          <w:szCs w:val="33"/>
        </w:rPr>
        <w:t>五、一般公共预算财政拨款支出决算情况说明</w:t>
      </w:r>
      <w:bookmarkEnd w:id="28"/>
      <w:bookmarkEnd w:id="29"/>
    </w:p>
    <w:p>
      <w:pPr>
        <w:ind w:firstLine="630"/>
        <w:rPr>
          <w:rFonts w:eastAsia="方正楷体_GBK"/>
          <w:b/>
          <w:bCs/>
          <w:sz w:val="33"/>
          <w:szCs w:val="33"/>
        </w:rPr>
      </w:pPr>
      <w:bookmarkStart w:id="30" w:name="_Toc15377210"/>
      <w:r>
        <w:rPr>
          <w:rFonts w:hAnsi="方正楷体_GBK" w:eastAsia="方正楷体_GBK"/>
          <w:b/>
          <w:bCs/>
          <w:sz w:val="33"/>
          <w:szCs w:val="33"/>
        </w:rPr>
        <w:t>（一）一般公共预算财政拨款支出决算总体情况</w:t>
      </w:r>
      <w:bookmarkEnd w:id="30"/>
    </w:p>
    <w:p>
      <w:pPr>
        <w:spacing w:line="600" w:lineRule="exact"/>
        <w:ind w:firstLine="660" w:firstLineChars="200"/>
        <w:rPr>
          <w:rFonts w:eastAsia="仿宋_GB2312"/>
          <w:color w:val="000000"/>
          <w:sz w:val="32"/>
          <w:lang w:val="zh-CN"/>
        </w:rPr>
      </w:pPr>
      <w:r>
        <w:rPr>
          <w:rFonts w:eastAsia="方正仿宋_GBK"/>
          <w:sz w:val="33"/>
          <w:szCs w:val="33"/>
        </w:rPr>
        <w:drawing>
          <wp:anchor distT="0" distB="0" distL="114300" distR="114300" simplePos="0" relativeHeight="251669504" behindDoc="1" locked="0" layoutInCell="1" allowOverlap="1">
            <wp:simplePos x="0" y="0"/>
            <wp:positionH relativeFrom="column">
              <wp:posOffset>48260</wp:posOffset>
            </wp:positionH>
            <wp:positionV relativeFrom="paragraph">
              <wp:posOffset>-250825</wp:posOffset>
            </wp:positionV>
            <wp:extent cx="5271770" cy="2687955"/>
            <wp:effectExtent l="19050" t="0" r="24130" b="0"/>
            <wp:wrapThrough wrapText="bothSides">
              <wp:wrapPolygon>
                <wp:start x="-78" y="0"/>
                <wp:lineTo x="-78" y="21585"/>
                <wp:lineTo x="21699" y="21585"/>
                <wp:lineTo x="21699" y="0"/>
                <wp:lineTo x="-78" y="0"/>
              </wp:wrapPolygon>
            </wp:wrapThrough>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方正仿宋_GBK"/>
          <w:sz w:val="33"/>
          <w:szCs w:val="33"/>
          <w:lang w:val="zh-CN"/>
        </w:rPr>
        <w:t>2022年一般公共预算财政拨款支出493.9万元，占本年支出合计的100%。与2021年相比，一般公共预算财政拨款支出增加2.97万元，增长0.6%。主要变动原因是：新进事业人员工资福利支出和公用经费支出增加。</w:t>
      </w:r>
    </w:p>
    <w:p>
      <w:pPr>
        <w:spacing w:line="600" w:lineRule="exact"/>
        <w:ind w:firstLine="640" w:firstLineChars="200"/>
        <w:rPr>
          <w:rFonts w:eastAsia="仿宋"/>
          <w:sz w:val="32"/>
          <w:szCs w:val="32"/>
        </w:rPr>
      </w:pPr>
    </w:p>
    <w:p>
      <w:pPr>
        <w:spacing w:line="600" w:lineRule="exact"/>
        <w:ind w:firstLine="420" w:firstLineChars="200"/>
        <w:rPr>
          <w:rFonts w:eastAsia="方正楷体_GBK"/>
          <w:b/>
          <w:bCs/>
          <w:sz w:val="33"/>
          <w:szCs w:val="33"/>
        </w:rPr>
      </w:pPr>
      <w:r>
        <w:drawing>
          <wp:anchor distT="0" distB="0" distL="114300" distR="114300" simplePos="0" relativeHeight="251662336" behindDoc="1" locked="0" layoutInCell="1" allowOverlap="1">
            <wp:simplePos x="0" y="0"/>
            <wp:positionH relativeFrom="column">
              <wp:posOffset>281305</wp:posOffset>
            </wp:positionH>
            <wp:positionV relativeFrom="paragraph">
              <wp:posOffset>360680</wp:posOffset>
            </wp:positionV>
            <wp:extent cx="5273040" cy="2692400"/>
            <wp:effectExtent l="4445" t="4445" r="18415" b="8255"/>
            <wp:wrapThrough wrapText="bothSides">
              <wp:wrapPolygon>
                <wp:start x="-18" y="-36"/>
                <wp:lineTo x="-18" y="21513"/>
                <wp:lineTo x="21519" y="21513"/>
                <wp:lineTo x="21519" y="-36"/>
                <wp:lineTo x="-18" y="-36"/>
              </wp:wrapPolygon>
            </wp:wrapThrough>
            <wp:docPr id="320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1" w:name="_Toc15377211"/>
      <w:r>
        <w:rPr>
          <w:rFonts w:hAnsi="方正楷体_GBK" w:eastAsia="方正楷体_GBK"/>
          <w:b/>
          <w:bCs/>
          <w:sz w:val="33"/>
          <w:szCs w:val="33"/>
        </w:rPr>
        <w:t>（二）一般公共预算财政拨款支出决算结构情况</w:t>
      </w:r>
      <w:bookmarkEnd w:id="31"/>
    </w:p>
    <w:p>
      <w:pPr>
        <w:spacing w:line="600" w:lineRule="exact"/>
        <w:ind w:firstLine="660" w:firstLineChars="200"/>
        <w:rPr>
          <w:rFonts w:eastAsia="方正仿宋_GBK"/>
          <w:sz w:val="33"/>
          <w:szCs w:val="33"/>
          <w:lang w:val="zh-CN"/>
        </w:rPr>
      </w:pPr>
      <w:r>
        <w:rPr>
          <w:rFonts w:eastAsia="方正仿宋_GBK"/>
          <w:sz w:val="33"/>
          <w:szCs w:val="33"/>
          <w:lang w:val="zh-CN"/>
        </w:rPr>
        <w:t>2022年一般公共预算财政拨款支出493.9万元，主要用于以下方面: 一般公共服务支出367.58万元，占74.4%；公共安全支出37.05万元，占7.5%；社会保障和就业支出31.82万元，占6.4%；卫生健康支出29.4万元，占6%；住房保障支出28.06万元，占5.7%。</w:t>
      </w:r>
    </w:p>
    <w:p>
      <w:pPr>
        <w:spacing w:line="600" w:lineRule="exact"/>
        <w:rPr>
          <w:rFonts w:eastAsia="仿宋"/>
          <w:sz w:val="32"/>
          <w:szCs w:val="32"/>
        </w:rPr>
      </w:pPr>
      <w:r>
        <w:drawing>
          <wp:anchor distT="0" distB="0" distL="114300" distR="114300" simplePos="0" relativeHeight="251663360" behindDoc="1" locked="0" layoutInCell="1" allowOverlap="1">
            <wp:simplePos x="0" y="0"/>
            <wp:positionH relativeFrom="column">
              <wp:posOffset>106045</wp:posOffset>
            </wp:positionH>
            <wp:positionV relativeFrom="paragraph">
              <wp:posOffset>274955</wp:posOffset>
            </wp:positionV>
            <wp:extent cx="5267960" cy="3368040"/>
            <wp:effectExtent l="19050" t="0" r="27940" b="3810"/>
            <wp:wrapThrough wrapText="bothSides">
              <wp:wrapPolygon>
                <wp:start x="-78" y="0"/>
                <wp:lineTo x="-78" y="21624"/>
                <wp:lineTo x="21715" y="21624"/>
                <wp:lineTo x="21715" y="0"/>
                <wp:lineTo x="-78" y="0"/>
              </wp:wrapPolygon>
            </wp:wrapThrough>
            <wp:docPr id="32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ind w:firstLine="663" w:firstLineChars="200"/>
        <w:rPr>
          <w:rFonts w:eastAsia="方正楷体_GBK"/>
          <w:b/>
          <w:bCs/>
          <w:sz w:val="33"/>
          <w:szCs w:val="33"/>
        </w:rPr>
      </w:pPr>
      <w:bookmarkStart w:id="32" w:name="_Toc15377212"/>
      <w:r>
        <w:rPr>
          <w:rFonts w:hAnsi="方正楷体_GBK" w:eastAsia="方正楷体_GBK"/>
          <w:b/>
          <w:bCs/>
          <w:sz w:val="33"/>
          <w:szCs w:val="33"/>
        </w:rPr>
        <w:t>（三）一般公共预算财政拨款支出决算具体情况</w:t>
      </w:r>
      <w:bookmarkEnd w:id="32"/>
    </w:p>
    <w:p>
      <w:pPr>
        <w:spacing w:line="600" w:lineRule="exact"/>
        <w:ind w:firstLine="660" w:firstLineChars="200"/>
        <w:rPr>
          <w:rFonts w:eastAsia="方正仿宋_GBK"/>
          <w:sz w:val="33"/>
          <w:szCs w:val="33"/>
          <w:lang w:val="zh-CN"/>
        </w:rPr>
      </w:pPr>
      <w:bookmarkStart w:id="33" w:name="_Toc15377444"/>
      <w:bookmarkStart w:id="34" w:name="_Toc15377213"/>
      <w:bookmarkStart w:id="35" w:name="_Toc15378460"/>
      <w:r>
        <w:rPr>
          <w:rFonts w:eastAsia="方正仿宋_GBK"/>
          <w:sz w:val="33"/>
          <w:szCs w:val="33"/>
          <w:lang w:val="zh-CN"/>
        </w:rPr>
        <w:t>2022年一般公共预算支出决算数为</w:t>
      </w:r>
      <w:r>
        <w:rPr>
          <w:rFonts w:eastAsia="方正仿宋_GBK"/>
          <w:sz w:val="33"/>
          <w:szCs w:val="33"/>
        </w:rPr>
        <w:t>493.9万元</w:t>
      </w:r>
      <w:r>
        <w:rPr>
          <w:rFonts w:eastAsia="方正仿宋_GBK"/>
          <w:sz w:val="33"/>
          <w:szCs w:val="33"/>
          <w:lang w:val="zh-CN"/>
        </w:rPr>
        <w:t>，完成预算</w:t>
      </w:r>
      <w:r>
        <w:rPr>
          <w:rFonts w:eastAsia="方正仿宋_GBK"/>
          <w:sz w:val="33"/>
          <w:szCs w:val="33"/>
        </w:rPr>
        <w:t>100</w:t>
      </w:r>
      <w:r>
        <w:rPr>
          <w:rFonts w:eastAsia="方正仿宋_GBK"/>
          <w:sz w:val="33"/>
          <w:szCs w:val="33"/>
          <w:lang w:val="zh-CN"/>
        </w:rPr>
        <w:t>%。其中：</w:t>
      </w:r>
      <w:bookmarkEnd w:id="33"/>
      <w:bookmarkEnd w:id="34"/>
      <w:bookmarkEnd w:id="35"/>
    </w:p>
    <w:p>
      <w:pPr>
        <w:widowControl/>
        <w:adjustRightInd w:val="0"/>
        <w:snapToGrid w:val="0"/>
        <w:spacing w:line="580" w:lineRule="exact"/>
        <w:ind w:firstLine="663" w:firstLineChars="200"/>
        <w:contextualSpacing/>
        <w:jc w:val="left"/>
        <w:rPr>
          <w:rFonts w:eastAsia="方正仿宋_GBK"/>
          <w:b/>
          <w:sz w:val="33"/>
          <w:szCs w:val="33"/>
          <w:lang w:val="zh-CN"/>
        </w:rPr>
      </w:pPr>
      <w:r>
        <w:rPr>
          <w:rFonts w:eastAsia="方正仿宋_GBK"/>
          <w:b/>
          <w:sz w:val="33"/>
          <w:szCs w:val="33"/>
          <w:lang w:val="zh-CN"/>
        </w:rPr>
        <w:t>1.一般公共服务（类）其他共产党事务支出（款）</w:t>
      </w:r>
    </w:p>
    <w:p>
      <w:pPr>
        <w:spacing w:line="600" w:lineRule="exact"/>
        <w:ind w:firstLine="663" w:firstLineChars="200"/>
        <w:rPr>
          <w:rFonts w:eastAsia="方正仿宋_GBK"/>
          <w:sz w:val="33"/>
          <w:szCs w:val="33"/>
          <w:lang w:val="zh-CN"/>
        </w:rPr>
      </w:pPr>
      <w:r>
        <w:rPr>
          <w:rFonts w:hAnsi="方正仿宋_GBK" w:eastAsia="方正仿宋_GBK"/>
          <w:b/>
          <w:bCs/>
          <w:sz w:val="33"/>
          <w:szCs w:val="33"/>
        </w:rPr>
        <w:t>（</w:t>
      </w:r>
      <w:r>
        <w:rPr>
          <w:rFonts w:eastAsia="方正仿宋_GBK"/>
          <w:b/>
          <w:bCs/>
          <w:sz w:val="33"/>
          <w:szCs w:val="33"/>
        </w:rPr>
        <w:t>1</w:t>
      </w:r>
      <w:r>
        <w:rPr>
          <w:rFonts w:hAnsi="方正仿宋_GBK" w:eastAsia="方正仿宋_GBK"/>
          <w:b/>
          <w:bCs/>
          <w:sz w:val="33"/>
          <w:szCs w:val="33"/>
        </w:rPr>
        <w:t>）行政运行</w:t>
      </w:r>
      <w:r>
        <w:rPr>
          <w:rFonts w:eastAsia="方正仿宋_GBK"/>
          <w:b/>
          <w:bCs/>
          <w:sz w:val="33"/>
          <w:szCs w:val="33"/>
        </w:rPr>
        <w:t xml:space="preserve">: </w:t>
      </w:r>
      <w:r>
        <w:rPr>
          <w:rFonts w:eastAsia="方正仿宋_GBK"/>
          <w:sz w:val="33"/>
          <w:szCs w:val="33"/>
          <w:lang w:val="zh-CN"/>
        </w:rPr>
        <w:t>支出决算为</w:t>
      </w:r>
      <w:r>
        <w:rPr>
          <w:rFonts w:eastAsia="方正仿宋_GBK"/>
          <w:sz w:val="33"/>
          <w:szCs w:val="33"/>
        </w:rPr>
        <w:t>218.68</w:t>
      </w:r>
      <w:r>
        <w:rPr>
          <w:rFonts w:eastAsia="方正仿宋_GBK"/>
          <w:sz w:val="33"/>
          <w:szCs w:val="33"/>
          <w:lang w:val="zh-CN"/>
        </w:rPr>
        <w:t>万元，完成预算100%。</w:t>
      </w:r>
    </w:p>
    <w:p>
      <w:pPr>
        <w:spacing w:line="600" w:lineRule="exact"/>
        <w:ind w:firstLine="663" w:firstLineChars="200"/>
        <w:rPr>
          <w:rFonts w:eastAsia="方正仿宋_GBK"/>
          <w:sz w:val="33"/>
          <w:szCs w:val="33"/>
          <w:lang w:val="zh-CN"/>
        </w:rPr>
      </w:pPr>
      <w:r>
        <w:rPr>
          <w:rFonts w:hAnsi="方正仿宋_GBK" w:eastAsia="方正仿宋_GBK"/>
          <w:b/>
          <w:bCs/>
          <w:sz w:val="33"/>
          <w:szCs w:val="33"/>
        </w:rPr>
        <w:t>（</w:t>
      </w:r>
      <w:r>
        <w:rPr>
          <w:rFonts w:eastAsia="方正仿宋_GBK"/>
          <w:b/>
          <w:bCs/>
          <w:sz w:val="33"/>
          <w:szCs w:val="33"/>
        </w:rPr>
        <w:t>2</w:t>
      </w:r>
      <w:r>
        <w:rPr>
          <w:rFonts w:hAnsi="方正仿宋_GBK" w:eastAsia="方正仿宋_GBK"/>
          <w:b/>
          <w:bCs/>
          <w:sz w:val="33"/>
          <w:szCs w:val="33"/>
        </w:rPr>
        <w:t>）其他共产党事务支出：</w:t>
      </w:r>
      <w:r>
        <w:rPr>
          <w:rFonts w:eastAsia="方正仿宋_GBK"/>
          <w:sz w:val="33"/>
          <w:szCs w:val="33"/>
          <w:lang w:val="zh-CN"/>
        </w:rPr>
        <w:t>支出决算为</w:t>
      </w:r>
      <w:r>
        <w:rPr>
          <w:rFonts w:eastAsia="方正仿宋_GBK"/>
          <w:sz w:val="33"/>
          <w:szCs w:val="33"/>
        </w:rPr>
        <w:t>88.92</w:t>
      </w:r>
      <w:r>
        <w:rPr>
          <w:rFonts w:eastAsia="方正仿宋_GBK"/>
          <w:sz w:val="33"/>
          <w:szCs w:val="33"/>
          <w:lang w:val="zh-CN"/>
        </w:rPr>
        <w:t>万元，完成预算100%。</w:t>
      </w:r>
    </w:p>
    <w:p>
      <w:pPr>
        <w:spacing w:line="600" w:lineRule="exact"/>
        <w:ind w:firstLine="663" w:firstLineChars="200"/>
        <w:rPr>
          <w:rFonts w:eastAsia="方正仿宋_GBK"/>
          <w:sz w:val="33"/>
          <w:szCs w:val="33"/>
          <w:lang w:val="zh-CN"/>
        </w:rPr>
      </w:pPr>
      <w:r>
        <w:rPr>
          <w:rFonts w:hAnsi="方正仿宋_GBK" w:eastAsia="方正仿宋_GBK"/>
          <w:b/>
          <w:bCs/>
          <w:sz w:val="33"/>
          <w:szCs w:val="33"/>
        </w:rPr>
        <w:t>（</w:t>
      </w:r>
      <w:r>
        <w:rPr>
          <w:rFonts w:eastAsia="方正仿宋_GBK"/>
          <w:b/>
          <w:bCs/>
          <w:sz w:val="33"/>
          <w:szCs w:val="33"/>
        </w:rPr>
        <w:t>3</w:t>
      </w:r>
      <w:r>
        <w:rPr>
          <w:rFonts w:hAnsi="方正仿宋_GBK" w:eastAsia="方正仿宋_GBK"/>
          <w:b/>
          <w:bCs/>
          <w:sz w:val="33"/>
          <w:szCs w:val="33"/>
        </w:rPr>
        <w:t>）事业运行：</w:t>
      </w:r>
      <w:r>
        <w:rPr>
          <w:rFonts w:eastAsia="方正仿宋_GBK"/>
          <w:sz w:val="33"/>
          <w:szCs w:val="33"/>
          <w:lang w:val="zh-CN"/>
        </w:rPr>
        <w:t>支出决算为</w:t>
      </w:r>
      <w:r>
        <w:rPr>
          <w:rFonts w:eastAsia="方正仿宋_GBK"/>
          <w:sz w:val="33"/>
          <w:szCs w:val="33"/>
        </w:rPr>
        <w:t>59.98</w:t>
      </w:r>
      <w:r>
        <w:rPr>
          <w:rFonts w:eastAsia="方正仿宋_GBK"/>
          <w:sz w:val="33"/>
          <w:szCs w:val="33"/>
          <w:lang w:val="zh-CN"/>
        </w:rPr>
        <w:t>万元，完成预算100%。</w:t>
      </w:r>
    </w:p>
    <w:p>
      <w:pPr>
        <w:spacing w:line="600" w:lineRule="exact"/>
        <w:ind w:firstLine="643" w:firstLineChars="200"/>
        <w:rPr>
          <w:rStyle w:val="20"/>
          <w:rFonts w:eastAsia="仿宋_GB2312"/>
          <w:color w:val="000000"/>
          <w:sz w:val="32"/>
          <w:szCs w:val="32"/>
        </w:rPr>
      </w:pPr>
      <w:r>
        <w:rPr>
          <w:rStyle w:val="20"/>
          <w:rFonts w:eastAsia="仿宋_GB2312"/>
          <w:color w:val="000000"/>
          <w:sz w:val="32"/>
          <w:szCs w:val="32"/>
        </w:rPr>
        <w:t>2.社会保障和就业（类）行政事业单位离退休（款）</w:t>
      </w:r>
    </w:p>
    <w:p>
      <w:pPr>
        <w:spacing w:line="600" w:lineRule="exact"/>
        <w:ind w:firstLine="663" w:firstLineChars="200"/>
        <w:rPr>
          <w:rFonts w:eastAsia="方正仿宋_GBK"/>
          <w:sz w:val="33"/>
          <w:szCs w:val="33"/>
          <w:lang w:val="zh-CN"/>
        </w:rPr>
      </w:pPr>
      <w:r>
        <w:rPr>
          <w:rFonts w:hAnsi="方正仿宋_GBK" w:eastAsia="方正仿宋_GBK"/>
          <w:b/>
          <w:bCs/>
          <w:sz w:val="33"/>
          <w:szCs w:val="33"/>
        </w:rPr>
        <w:t>（</w:t>
      </w:r>
      <w:r>
        <w:rPr>
          <w:rFonts w:eastAsia="方正仿宋_GBK"/>
          <w:b/>
          <w:bCs/>
          <w:sz w:val="33"/>
          <w:szCs w:val="33"/>
        </w:rPr>
        <w:t>1</w:t>
      </w:r>
      <w:r>
        <w:rPr>
          <w:rFonts w:hAnsi="方正仿宋_GBK" w:eastAsia="方正仿宋_GBK"/>
          <w:b/>
          <w:bCs/>
          <w:sz w:val="33"/>
          <w:szCs w:val="33"/>
        </w:rPr>
        <w:t>）行政单位离退休</w:t>
      </w:r>
      <w:r>
        <w:rPr>
          <w:rFonts w:eastAsia="方正仿宋_GBK"/>
          <w:b/>
          <w:bCs/>
          <w:sz w:val="33"/>
          <w:szCs w:val="33"/>
        </w:rPr>
        <w:t xml:space="preserve">: </w:t>
      </w:r>
      <w:r>
        <w:rPr>
          <w:rFonts w:eastAsia="方正仿宋_GBK"/>
          <w:sz w:val="33"/>
          <w:szCs w:val="33"/>
          <w:lang w:val="zh-CN"/>
        </w:rPr>
        <w:t>支出决算为</w:t>
      </w:r>
      <w:r>
        <w:rPr>
          <w:rFonts w:eastAsia="方正仿宋_GBK"/>
          <w:sz w:val="33"/>
          <w:szCs w:val="33"/>
        </w:rPr>
        <w:t>3.84</w:t>
      </w:r>
      <w:r>
        <w:rPr>
          <w:rFonts w:eastAsia="方正仿宋_GBK"/>
          <w:sz w:val="33"/>
          <w:szCs w:val="33"/>
          <w:lang w:val="zh-CN"/>
        </w:rPr>
        <w:t>万元，完成预算100%。</w:t>
      </w:r>
    </w:p>
    <w:p>
      <w:pPr>
        <w:spacing w:line="600" w:lineRule="exact"/>
        <w:ind w:firstLine="663" w:firstLineChars="200"/>
        <w:rPr>
          <w:rFonts w:eastAsia="方正仿宋_GBK"/>
          <w:sz w:val="33"/>
          <w:szCs w:val="33"/>
          <w:lang w:val="zh-CN"/>
        </w:rPr>
      </w:pPr>
      <w:r>
        <w:rPr>
          <w:rFonts w:hAnsi="方正仿宋_GBK" w:eastAsia="方正仿宋_GBK"/>
          <w:b/>
          <w:bCs/>
          <w:sz w:val="33"/>
          <w:szCs w:val="33"/>
        </w:rPr>
        <w:t>（</w:t>
      </w:r>
      <w:r>
        <w:rPr>
          <w:rFonts w:eastAsia="方正仿宋_GBK"/>
          <w:b/>
          <w:bCs/>
          <w:sz w:val="33"/>
          <w:szCs w:val="33"/>
        </w:rPr>
        <w:t>2</w:t>
      </w:r>
      <w:r>
        <w:rPr>
          <w:rFonts w:hAnsi="方正仿宋_GBK" w:eastAsia="方正仿宋_GBK"/>
          <w:b/>
          <w:bCs/>
          <w:sz w:val="33"/>
          <w:szCs w:val="33"/>
        </w:rPr>
        <w:t>）机关事业单位基本养老保险缴费支出：</w:t>
      </w:r>
      <w:r>
        <w:rPr>
          <w:rStyle w:val="20"/>
          <w:rFonts w:eastAsia="仿宋_GB2312"/>
          <w:b w:val="0"/>
          <w:color w:val="000000"/>
          <w:sz w:val="32"/>
          <w:szCs w:val="32"/>
        </w:rPr>
        <w:t>支</w:t>
      </w:r>
      <w:r>
        <w:rPr>
          <w:rFonts w:eastAsia="方正仿宋_GBK"/>
          <w:sz w:val="33"/>
          <w:szCs w:val="33"/>
          <w:lang w:val="zh-CN"/>
        </w:rPr>
        <w:t>出决算为</w:t>
      </w:r>
      <w:r>
        <w:rPr>
          <w:rFonts w:eastAsia="方正仿宋_GBK"/>
          <w:sz w:val="33"/>
          <w:szCs w:val="33"/>
        </w:rPr>
        <w:t>23.97</w:t>
      </w:r>
      <w:r>
        <w:rPr>
          <w:rFonts w:eastAsia="方正仿宋_GBK"/>
          <w:sz w:val="33"/>
          <w:szCs w:val="33"/>
          <w:lang w:val="zh-CN"/>
        </w:rPr>
        <w:t>万元，完成预算100%。</w:t>
      </w:r>
    </w:p>
    <w:p>
      <w:pPr>
        <w:spacing w:line="600" w:lineRule="exact"/>
        <w:ind w:firstLine="663" w:firstLineChars="200"/>
        <w:rPr>
          <w:rFonts w:eastAsia="方正仿宋_GBK"/>
          <w:sz w:val="33"/>
          <w:szCs w:val="33"/>
        </w:rPr>
      </w:pPr>
      <w:r>
        <w:rPr>
          <w:rFonts w:hAnsi="方正仿宋_GBK" w:eastAsia="方正仿宋_GBK"/>
          <w:b/>
          <w:bCs/>
          <w:sz w:val="33"/>
          <w:szCs w:val="33"/>
        </w:rPr>
        <w:t>（</w:t>
      </w:r>
      <w:r>
        <w:rPr>
          <w:rFonts w:eastAsia="方正仿宋_GBK"/>
          <w:b/>
          <w:bCs/>
          <w:sz w:val="33"/>
          <w:szCs w:val="33"/>
        </w:rPr>
        <w:t>3</w:t>
      </w:r>
      <w:r>
        <w:rPr>
          <w:rFonts w:hAnsi="方正仿宋_GBK" w:eastAsia="方正仿宋_GBK"/>
          <w:b/>
          <w:bCs/>
          <w:sz w:val="33"/>
          <w:szCs w:val="33"/>
        </w:rPr>
        <w:t>）社会保障和就业（类）抚恤（款）伤残抚恤：</w:t>
      </w:r>
      <w:r>
        <w:rPr>
          <w:rFonts w:eastAsia="方正仿宋_GBK"/>
          <w:sz w:val="33"/>
          <w:szCs w:val="33"/>
          <w:lang w:val="zh-CN"/>
        </w:rPr>
        <w:t>支出决算为</w:t>
      </w:r>
      <w:r>
        <w:rPr>
          <w:rFonts w:eastAsia="方正仿宋_GBK"/>
          <w:sz w:val="33"/>
          <w:szCs w:val="33"/>
        </w:rPr>
        <w:t>4.01</w:t>
      </w:r>
      <w:r>
        <w:rPr>
          <w:rFonts w:eastAsia="方正仿宋_GBK"/>
          <w:sz w:val="33"/>
          <w:szCs w:val="33"/>
          <w:lang w:val="zh-CN"/>
        </w:rPr>
        <w:t>万元，完成预算100%。</w:t>
      </w:r>
    </w:p>
    <w:p>
      <w:pPr>
        <w:spacing w:line="600" w:lineRule="exact"/>
        <w:ind w:firstLine="663" w:firstLineChars="200"/>
        <w:rPr>
          <w:rFonts w:eastAsia="方正仿宋_GBK"/>
          <w:sz w:val="33"/>
          <w:szCs w:val="33"/>
          <w:lang w:val="zh-CN"/>
        </w:rPr>
      </w:pPr>
      <w:r>
        <w:rPr>
          <w:rFonts w:hint="eastAsia" w:eastAsia="方正仿宋_GBK"/>
          <w:b/>
          <w:bCs/>
          <w:sz w:val="33"/>
          <w:szCs w:val="33"/>
        </w:rPr>
        <w:t>3</w:t>
      </w:r>
      <w:r>
        <w:rPr>
          <w:rFonts w:eastAsia="方正仿宋_GBK"/>
          <w:b/>
          <w:bCs/>
          <w:sz w:val="33"/>
          <w:szCs w:val="33"/>
        </w:rPr>
        <w:t>.</w:t>
      </w:r>
      <w:r>
        <w:rPr>
          <w:rFonts w:hAnsi="方正仿宋_GBK" w:eastAsia="方正仿宋_GBK"/>
          <w:b/>
          <w:bCs/>
          <w:sz w:val="33"/>
          <w:szCs w:val="33"/>
        </w:rPr>
        <w:t>住房保障支出（类）住房改革支出（款）住房公积金（项）：</w:t>
      </w:r>
      <w:r>
        <w:rPr>
          <w:rFonts w:eastAsia="方正仿宋_GBK"/>
          <w:sz w:val="33"/>
          <w:szCs w:val="33"/>
          <w:lang w:val="zh-CN"/>
        </w:rPr>
        <w:t>支出决算为</w:t>
      </w:r>
      <w:r>
        <w:rPr>
          <w:rFonts w:eastAsia="方正仿宋_GBK"/>
          <w:sz w:val="33"/>
          <w:szCs w:val="33"/>
        </w:rPr>
        <w:t>28.06</w:t>
      </w:r>
      <w:r>
        <w:rPr>
          <w:rFonts w:eastAsia="方正仿宋_GBK"/>
          <w:sz w:val="33"/>
          <w:szCs w:val="33"/>
          <w:lang w:val="zh-CN"/>
        </w:rPr>
        <w:t>万元，完成预算100%。</w:t>
      </w:r>
    </w:p>
    <w:p>
      <w:pPr>
        <w:spacing w:line="600" w:lineRule="exact"/>
        <w:ind w:firstLine="663" w:firstLineChars="200"/>
        <w:rPr>
          <w:rFonts w:eastAsia="方正仿宋_GBK"/>
          <w:b/>
          <w:bCs/>
          <w:sz w:val="33"/>
          <w:szCs w:val="33"/>
        </w:rPr>
      </w:pPr>
      <w:r>
        <w:rPr>
          <w:rFonts w:hint="eastAsia" w:eastAsia="方正仿宋_GBK"/>
          <w:b/>
          <w:bCs/>
          <w:sz w:val="33"/>
          <w:szCs w:val="33"/>
        </w:rPr>
        <w:t>4</w:t>
      </w:r>
      <w:r>
        <w:rPr>
          <w:rFonts w:eastAsia="方正仿宋_GBK"/>
          <w:b/>
          <w:bCs/>
          <w:sz w:val="33"/>
          <w:szCs w:val="33"/>
        </w:rPr>
        <w:t>.</w:t>
      </w:r>
      <w:r>
        <w:rPr>
          <w:rFonts w:hAnsi="方正仿宋_GBK" w:eastAsia="方正仿宋_GBK"/>
          <w:b/>
          <w:bCs/>
          <w:sz w:val="33"/>
          <w:szCs w:val="33"/>
        </w:rPr>
        <w:t>卫生健康支出（类）行政事业单位医疗（款）：</w:t>
      </w:r>
    </w:p>
    <w:p>
      <w:pPr>
        <w:spacing w:line="560" w:lineRule="exact"/>
        <w:ind w:firstLine="663" w:firstLineChars="200"/>
        <w:rPr>
          <w:rFonts w:eastAsia="仿宋_GB2312"/>
          <w:sz w:val="32"/>
          <w:szCs w:val="32"/>
        </w:rPr>
      </w:pPr>
      <w:r>
        <w:rPr>
          <w:rFonts w:hAnsi="方正仿宋_GBK" w:eastAsia="方正仿宋_GBK"/>
          <w:b/>
          <w:bCs/>
          <w:sz w:val="33"/>
          <w:szCs w:val="33"/>
        </w:rPr>
        <w:t>（</w:t>
      </w:r>
      <w:r>
        <w:rPr>
          <w:rFonts w:eastAsia="方正仿宋_GBK"/>
          <w:b/>
          <w:bCs/>
          <w:sz w:val="33"/>
          <w:szCs w:val="33"/>
        </w:rPr>
        <w:t>1</w:t>
      </w:r>
      <w:r>
        <w:rPr>
          <w:rFonts w:hAnsi="方正仿宋_GBK" w:eastAsia="方正仿宋_GBK"/>
          <w:b/>
          <w:bCs/>
          <w:sz w:val="33"/>
          <w:szCs w:val="33"/>
        </w:rPr>
        <w:t>）行政单位医疗：</w:t>
      </w:r>
      <w:r>
        <w:rPr>
          <w:rFonts w:eastAsia="方正仿宋_GBK"/>
          <w:sz w:val="33"/>
          <w:szCs w:val="33"/>
          <w:lang w:val="zh-CN"/>
        </w:rPr>
        <w:t>支出决算为</w:t>
      </w:r>
      <w:r>
        <w:rPr>
          <w:rFonts w:eastAsia="方正仿宋_GBK"/>
          <w:sz w:val="33"/>
          <w:szCs w:val="33"/>
        </w:rPr>
        <w:t>14.76</w:t>
      </w:r>
      <w:r>
        <w:rPr>
          <w:rFonts w:eastAsia="方正仿宋_GBK"/>
          <w:sz w:val="33"/>
          <w:szCs w:val="33"/>
          <w:lang w:val="zh-CN"/>
        </w:rPr>
        <w:t>万元，完成预算100%，决算数等于预算数。</w:t>
      </w:r>
    </w:p>
    <w:p>
      <w:pPr>
        <w:spacing w:line="560" w:lineRule="exact"/>
        <w:ind w:firstLine="663" w:firstLineChars="200"/>
        <w:jc w:val="left"/>
        <w:rPr>
          <w:rFonts w:eastAsia="方正仿宋_GBK"/>
          <w:sz w:val="33"/>
          <w:szCs w:val="33"/>
          <w:lang w:val="zh-CN"/>
        </w:rPr>
      </w:pPr>
      <w:r>
        <w:rPr>
          <w:rFonts w:hAnsi="方正仿宋_GBK" w:eastAsia="方正仿宋_GBK"/>
          <w:b/>
          <w:bCs/>
          <w:sz w:val="33"/>
          <w:szCs w:val="33"/>
        </w:rPr>
        <w:t>（</w:t>
      </w:r>
      <w:r>
        <w:rPr>
          <w:rFonts w:eastAsia="方正仿宋_GBK"/>
          <w:b/>
          <w:bCs/>
          <w:sz w:val="33"/>
          <w:szCs w:val="33"/>
        </w:rPr>
        <w:t>2</w:t>
      </w:r>
      <w:r>
        <w:rPr>
          <w:rFonts w:hAnsi="方正仿宋_GBK" w:eastAsia="方正仿宋_GBK"/>
          <w:b/>
          <w:bCs/>
          <w:sz w:val="33"/>
          <w:szCs w:val="33"/>
        </w:rPr>
        <w:t>）事业单位医疗：</w:t>
      </w:r>
      <w:r>
        <w:rPr>
          <w:rFonts w:eastAsia="方正仿宋_GBK"/>
          <w:sz w:val="33"/>
          <w:szCs w:val="33"/>
          <w:lang w:val="zh-CN"/>
        </w:rPr>
        <w:t>支出决算为</w:t>
      </w:r>
      <w:r>
        <w:rPr>
          <w:rFonts w:eastAsia="方正仿宋_GBK"/>
          <w:sz w:val="33"/>
          <w:szCs w:val="33"/>
        </w:rPr>
        <w:t>3.73</w:t>
      </w:r>
      <w:r>
        <w:rPr>
          <w:rFonts w:eastAsia="方正仿宋_GBK"/>
          <w:sz w:val="33"/>
          <w:szCs w:val="33"/>
          <w:lang w:val="zh-CN"/>
        </w:rPr>
        <w:t>万元，完成预算100%，决算数等于预算数。</w:t>
      </w:r>
    </w:p>
    <w:p>
      <w:pPr>
        <w:spacing w:line="560" w:lineRule="exact"/>
        <w:ind w:firstLine="663" w:firstLineChars="200"/>
        <w:rPr>
          <w:rFonts w:eastAsia="方正仿宋_GBK"/>
          <w:sz w:val="33"/>
          <w:szCs w:val="33"/>
          <w:lang w:val="zh-CN"/>
        </w:rPr>
      </w:pPr>
      <w:r>
        <w:rPr>
          <w:rFonts w:hAnsi="方正仿宋_GBK" w:eastAsia="方正仿宋_GBK"/>
          <w:b/>
          <w:bCs/>
          <w:sz w:val="33"/>
          <w:szCs w:val="33"/>
        </w:rPr>
        <w:t>（</w:t>
      </w:r>
      <w:r>
        <w:rPr>
          <w:rFonts w:eastAsia="方正仿宋_GBK"/>
          <w:b/>
          <w:bCs/>
          <w:sz w:val="33"/>
          <w:szCs w:val="33"/>
        </w:rPr>
        <w:t>3</w:t>
      </w:r>
      <w:r>
        <w:rPr>
          <w:rFonts w:hAnsi="方正仿宋_GBK" w:eastAsia="方正仿宋_GBK"/>
          <w:b/>
          <w:bCs/>
          <w:sz w:val="33"/>
          <w:szCs w:val="33"/>
        </w:rPr>
        <w:t>）公务员医疗补助：</w:t>
      </w:r>
      <w:r>
        <w:rPr>
          <w:rFonts w:eastAsia="方正仿宋_GBK"/>
          <w:sz w:val="33"/>
          <w:szCs w:val="33"/>
          <w:lang w:val="zh-CN"/>
        </w:rPr>
        <w:t>支出决算为</w:t>
      </w:r>
      <w:r>
        <w:rPr>
          <w:rFonts w:eastAsia="方正仿宋_GBK"/>
          <w:sz w:val="33"/>
          <w:szCs w:val="33"/>
        </w:rPr>
        <w:t>8.53</w:t>
      </w:r>
      <w:r>
        <w:rPr>
          <w:rFonts w:eastAsia="方正仿宋_GBK"/>
          <w:sz w:val="33"/>
          <w:szCs w:val="33"/>
          <w:lang w:val="zh-CN"/>
        </w:rPr>
        <w:t>万元，完成预算100%，决算数等于预算数。</w:t>
      </w:r>
    </w:p>
    <w:p>
      <w:pPr>
        <w:spacing w:line="560" w:lineRule="exact"/>
        <w:ind w:firstLine="663" w:firstLineChars="200"/>
      </w:pPr>
      <w:r>
        <w:rPr>
          <w:rFonts w:hAnsi="方正仿宋_GBK" w:eastAsia="方正仿宋_GBK"/>
          <w:b/>
          <w:bCs/>
          <w:sz w:val="33"/>
          <w:szCs w:val="33"/>
        </w:rPr>
        <w:t>（</w:t>
      </w:r>
      <w:r>
        <w:rPr>
          <w:rFonts w:eastAsia="方正仿宋_GBK"/>
          <w:b/>
          <w:bCs/>
          <w:sz w:val="33"/>
          <w:szCs w:val="33"/>
        </w:rPr>
        <w:t>4</w:t>
      </w:r>
      <w:r>
        <w:rPr>
          <w:rFonts w:hAnsi="方正仿宋_GBK" w:eastAsia="方正仿宋_GBK"/>
          <w:b/>
          <w:bCs/>
          <w:sz w:val="33"/>
          <w:szCs w:val="33"/>
        </w:rPr>
        <w:t>）其他行政事业单位医疗支出：</w:t>
      </w:r>
      <w:r>
        <w:rPr>
          <w:rFonts w:eastAsia="方正仿宋_GBK"/>
          <w:sz w:val="33"/>
          <w:szCs w:val="33"/>
          <w:lang w:val="zh-CN"/>
        </w:rPr>
        <w:t>支出决算为</w:t>
      </w:r>
      <w:r>
        <w:rPr>
          <w:rFonts w:eastAsia="方正仿宋_GBK"/>
          <w:sz w:val="33"/>
          <w:szCs w:val="33"/>
        </w:rPr>
        <w:t>2.37</w:t>
      </w:r>
      <w:r>
        <w:rPr>
          <w:rFonts w:eastAsia="方正仿宋_GBK"/>
          <w:sz w:val="33"/>
          <w:szCs w:val="33"/>
          <w:lang w:val="zh-CN"/>
        </w:rPr>
        <w:t>万元，完成预算100%，决算数等于预算数。</w:t>
      </w:r>
    </w:p>
    <w:p>
      <w:pPr>
        <w:spacing w:line="560" w:lineRule="exact"/>
        <w:ind w:firstLine="663" w:firstLineChars="200"/>
        <w:rPr>
          <w:rFonts w:eastAsia="仿宋_GB2312"/>
          <w:sz w:val="32"/>
          <w:szCs w:val="32"/>
        </w:rPr>
      </w:pPr>
      <w:r>
        <w:rPr>
          <w:rFonts w:hint="eastAsia" w:eastAsia="方正仿宋_GBK"/>
          <w:b/>
          <w:bCs/>
          <w:sz w:val="33"/>
          <w:szCs w:val="33"/>
        </w:rPr>
        <w:t>5</w:t>
      </w:r>
      <w:r>
        <w:rPr>
          <w:rFonts w:eastAsia="方正仿宋_GBK"/>
          <w:b/>
          <w:bCs/>
          <w:sz w:val="33"/>
          <w:szCs w:val="33"/>
        </w:rPr>
        <w:t>.</w:t>
      </w:r>
      <w:r>
        <w:rPr>
          <w:rFonts w:hAnsi="方正仿宋_GBK" w:eastAsia="方正仿宋_GBK"/>
          <w:b/>
          <w:bCs/>
          <w:sz w:val="33"/>
          <w:szCs w:val="33"/>
        </w:rPr>
        <w:t>公共安全支出（类）公安（款）行政运行（项）：</w:t>
      </w:r>
      <w:r>
        <w:rPr>
          <w:rFonts w:eastAsia="方正仿宋_GBK"/>
          <w:sz w:val="33"/>
          <w:szCs w:val="33"/>
          <w:lang w:val="zh-CN"/>
        </w:rPr>
        <w:t>支出决算为</w:t>
      </w:r>
      <w:r>
        <w:rPr>
          <w:rFonts w:eastAsia="方正仿宋_GBK"/>
          <w:sz w:val="33"/>
          <w:szCs w:val="33"/>
        </w:rPr>
        <w:t>8.27</w:t>
      </w:r>
      <w:r>
        <w:rPr>
          <w:rFonts w:eastAsia="方正仿宋_GBK"/>
          <w:sz w:val="33"/>
          <w:szCs w:val="33"/>
          <w:lang w:val="zh-CN"/>
        </w:rPr>
        <w:t>万元，完成预算100%，决算数等于预算数。</w:t>
      </w:r>
    </w:p>
    <w:p>
      <w:pPr>
        <w:spacing w:line="560" w:lineRule="exact"/>
        <w:ind w:firstLine="663" w:firstLineChars="200"/>
        <w:rPr>
          <w:rFonts w:eastAsia="仿宋"/>
          <w:b/>
          <w:sz w:val="32"/>
          <w:szCs w:val="32"/>
        </w:rPr>
      </w:pPr>
      <w:r>
        <w:rPr>
          <w:rFonts w:hint="eastAsia" w:eastAsia="方正仿宋_GBK"/>
          <w:b/>
          <w:bCs/>
          <w:sz w:val="33"/>
          <w:szCs w:val="33"/>
        </w:rPr>
        <w:t>6</w:t>
      </w:r>
      <w:r>
        <w:rPr>
          <w:rFonts w:eastAsia="方正仿宋_GBK"/>
          <w:b/>
          <w:bCs/>
          <w:sz w:val="33"/>
          <w:szCs w:val="33"/>
        </w:rPr>
        <w:t>.</w:t>
      </w:r>
      <w:r>
        <w:rPr>
          <w:rFonts w:hAnsi="方正仿宋_GBK" w:eastAsia="方正仿宋_GBK"/>
          <w:b/>
          <w:bCs/>
          <w:sz w:val="33"/>
          <w:szCs w:val="33"/>
        </w:rPr>
        <w:t>公共安全支出（类）其他公安安全支出（款）其他公安安全支出（项）：</w:t>
      </w:r>
      <w:r>
        <w:rPr>
          <w:rFonts w:eastAsia="方正仿宋_GBK"/>
          <w:sz w:val="33"/>
          <w:szCs w:val="33"/>
          <w:lang w:val="zh-CN"/>
        </w:rPr>
        <w:t>支出决算为</w:t>
      </w:r>
      <w:r>
        <w:rPr>
          <w:rFonts w:eastAsia="方正仿宋_GBK"/>
          <w:sz w:val="33"/>
          <w:szCs w:val="33"/>
        </w:rPr>
        <w:t>28.78</w:t>
      </w:r>
      <w:r>
        <w:rPr>
          <w:rFonts w:eastAsia="方正仿宋_GBK"/>
          <w:sz w:val="33"/>
          <w:szCs w:val="33"/>
          <w:lang w:val="zh-CN"/>
        </w:rPr>
        <w:t>万元，完成预算100%，决算数等于预算数。</w:t>
      </w:r>
    </w:p>
    <w:p>
      <w:pPr>
        <w:ind w:firstLine="660" w:firstLineChars="200"/>
        <w:rPr>
          <w:rFonts w:eastAsia="方正黑体_GBK"/>
          <w:sz w:val="33"/>
          <w:szCs w:val="33"/>
        </w:rPr>
      </w:pPr>
      <w:bookmarkStart w:id="36" w:name="_Toc15396608"/>
      <w:bookmarkStart w:id="37" w:name="_Toc15377214"/>
      <w:r>
        <w:rPr>
          <w:rFonts w:eastAsia="方正黑体_GBK"/>
          <w:sz w:val="33"/>
          <w:szCs w:val="33"/>
        </w:rPr>
        <w:t>六、一般公共预算财政拨款基本支出决算情况说明</w:t>
      </w:r>
      <w:bookmarkEnd w:id="36"/>
      <w:bookmarkEnd w:id="37"/>
      <w:r>
        <w:rPr>
          <w:rFonts w:eastAsia="方正黑体_GBK"/>
          <w:sz w:val="33"/>
          <w:szCs w:val="33"/>
        </w:rPr>
        <w:tab/>
      </w:r>
    </w:p>
    <w:p>
      <w:pPr>
        <w:spacing w:line="600" w:lineRule="exact"/>
        <w:ind w:firstLine="640" w:firstLineChars="200"/>
        <w:rPr>
          <w:rFonts w:eastAsia="方正仿宋_GBK"/>
          <w:sz w:val="33"/>
          <w:szCs w:val="33"/>
          <w:lang w:val="zh-CN"/>
        </w:rPr>
      </w:pPr>
      <w:r>
        <w:rPr>
          <w:rFonts w:eastAsia="仿宋"/>
          <w:sz w:val="32"/>
          <w:szCs w:val="32"/>
        </w:rPr>
        <w:t>2</w:t>
      </w:r>
      <w:r>
        <w:rPr>
          <w:rFonts w:eastAsia="方正仿宋_GBK"/>
          <w:sz w:val="33"/>
          <w:szCs w:val="33"/>
          <w:lang w:val="zh-CN"/>
        </w:rPr>
        <w:t>022年一般公共预算财政拨款基本支出</w:t>
      </w:r>
      <w:r>
        <w:rPr>
          <w:rFonts w:eastAsia="方正仿宋_GBK"/>
          <w:sz w:val="33"/>
          <w:szCs w:val="33"/>
        </w:rPr>
        <w:t>376.2</w:t>
      </w:r>
      <w:r>
        <w:rPr>
          <w:rFonts w:eastAsia="方正仿宋_GBK"/>
          <w:sz w:val="33"/>
          <w:szCs w:val="33"/>
          <w:lang w:val="zh-CN"/>
        </w:rPr>
        <w:t>万元，其中：</w:t>
      </w:r>
    </w:p>
    <w:p>
      <w:pPr>
        <w:spacing w:line="600" w:lineRule="exact"/>
        <w:ind w:firstLine="660" w:firstLineChars="200"/>
        <w:rPr>
          <w:rFonts w:eastAsia="方正仿宋_GBK"/>
          <w:sz w:val="33"/>
          <w:szCs w:val="33"/>
          <w:lang w:val="zh-CN"/>
        </w:rPr>
      </w:pPr>
      <w:r>
        <w:rPr>
          <w:rFonts w:eastAsia="方正仿宋_GBK"/>
          <w:sz w:val="33"/>
          <w:szCs w:val="33"/>
          <w:lang w:val="zh-CN"/>
        </w:rPr>
        <w:t>人员经费</w:t>
      </w:r>
      <w:r>
        <w:rPr>
          <w:rFonts w:eastAsia="方正仿宋_GBK"/>
          <w:sz w:val="33"/>
          <w:szCs w:val="33"/>
        </w:rPr>
        <w:t>347.85</w:t>
      </w:r>
      <w:r>
        <w:rPr>
          <w:rFonts w:eastAsia="方正仿宋_GBK"/>
          <w:sz w:val="33"/>
          <w:szCs w:val="33"/>
          <w:lang w:val="zh-CN"/>
        </w:rPr>
        <w:t>万元，主要包括：基本工资、津贴补贴、奖金、伙食补助费、绩效工资、机关事业单位基本养老保险缴费、职工基本医疗保险缴费、公务员医疗补助缴费、其他社会保障缴费、其他工资福利支出、抚恤金、生活补助、医疗费补助。</w:t>
      </w:r>
      <w:r>
        <w:rPr>
          <w:rFonts w:eastAsia="方正仿宋_GBK"/>
          <w:sz w:val="33"/>
          <w:szCs w:val="33"/>
          <w:lang w:val="zh-CN"/>
        </w:rPr>
        <w:br w:type="textWrapping"/>
      </w:r>
      <w:r>
        <w:rPr>
          <w:rFonts w:eastAsia="方正仿宋_GBK"/>
          <w:sz w:val="33"/>
          <w:szCs w:val="33"/>
          <w:lang w:val="zh-CN"/>
        </w:rPr>
        <w:t>　　公用经费</w:t>
      </w:r>
      <w:r>
        <w:rPr>
          <w:rFonts w:eastAsia="方正仿宋_GBK"/>
          <w:sz w:val="33"/>
          <w:szCs w:val="33"/>
        </w:rPr>
        <w:t>28.35</w:t>
      </w:r>
      <w:r>
        <w:rPr>
          <w:rFonts w:eastAsia="方正仿宋_GBK"/>
          <w:sz w:val="33"/>
          <w:szCs w:val="33"/>
          <w:lang w:val="zh-CN"/>
        </w:rPr>
        <w:t>万元，主要包括：办公费、水费、电费、差旅费、维修（护）费、公务接待费、劳务费、委托业务费、工会经费、其他交通费、其他商品和服务支出等。</w:t>
      </w:r>
    </w:p>
    <w:p>
      <w:pPr>
        <w:ind w:firstLine="660" w:firstLineChars="200"/>
        <w:rPr>
          <w:rFonts w:eastAsia="方正黑体_GBK"/>
          <w:sz w:val="33"/>
          <w:szCs w:val="33"/>
        </w:rPr>
      </w:pPr>
      <w:bookmarkStart w:id="38" w:name="_Toc15377215"/>
      <w:bookmarkStart w:id="39" w:name="_Toc15396609"/>
      <w:r>
        <w:rPr>
          <w:rFonts w:eastAsia="方正黑体_GBK"/>
          <w:sz w:val="33"/>
          <w:szCs w:val="33"/>
        </w:rPr>
        <w:t>七、财政拨款“三公”经费支出决算情况说明</w:t>
      </w:r>
      <w:bookmarkEnd w:id="38"/>
      <w:bookmarkEnd w:id="39"/>
    </w:p>
    <w:p>
      <w:pPr>
        <w:ind w:firstLine="663" w:firstLineChars="200"/>
        <w:rPr>
          <w:rFonts w:eastAsia="方正楷体_GBK"/>
          <w:b/>
          <w:bCs/>
          <w:sz w:val="33"/>
          <w:szCs w:val="33"/>
        </w:rPr>
      </w:pPr>
      <w:bookmarkStart w:id="40" w:name="_Toc15377216"/>
      <w:r>
        <w:rPr>
          <w:rFonts w:hAnsi="方正楷体_GBK" w:eastAsia="方正楷体_GBK"/>
          <w:b/>
          <w:bCs/>
          <w:sz w:val="33"/>
          <w:szCs w:val="33"/>
        </w:rPr>
        <w:t>（一）</w:t>
      </w:r>
      <w:r>
        <w:rPr>
          <w:rFonts w:eastAsia="方正楷体_GBK"/>
          <w:b/>
          <w:bCs/>
          <w:sz w:val="33"/>
          <w:szCs w:val="33"/>
        </w:rPr>
        <w:t>“</w:t>
      </w:r>
      <w:r>
        <w:rPr>
          <w:rFonts w:hAnsi="方正楷体_GBK" w:eastAsia="方正楷体_GBK"/>
          <w:b/>
          <w:bCs/>
          <w:sz w:val="33"/>
          <w:szCs w:val="33"/>
        </w:rPr>
        <w:t>三公</w:t>
      </w:r>
      <w:r>
        <w:rPr>
          <w:rFonts w:eastAsia="方正楷体_GBK"/>
          <w:b/>
          <w:bCs/>
          <w:sz w:val="33"/>
          <w:szCs w:val="33"/>
        </w:rPr>
        <w:t>”</w:t>
      </w:r>
      <w:r>
        <w:rPr>
          <w:rFonts w:hAnsi="方正楷体_GBK" w:eastAsia="方正楷体_GBK"/>
          <w:b/>
          <w:bCs/>
          <w:sz w:val="33"/>
          <w:szCs w:val="33"/>
        </w:rPr>
        <w:t>经费财政拨款支出决算总体情况说明</w:t>
      </w:r>
      <w:bookmarkEnd w:id="40"/>
    </w:p>
    <w:p>
      <w:pPr>
        <w:spacing w:line="600" w:lineRule="exact"/>
        <w:ind w:firstLine="660" w:firstLineChars="200"/>
        <w:rPr>
          <w:rFonts w:eastAsia="方正仿宋_GBK"/>
          <w:sz w:val="33"/>
          <w:szCs w:val="33"/>
          <w:lang w:val="zh-CN"/>
        </w:rPr>
      </w:pPr>
      <w:r>
        <w:rPr>
          <w:rFonts w:eastAsia="方正仿宋_GBK"/>
          <w:sz w:val="33"/>
          <w:szCs w:val="33"/>
          <w:lang w:val="zh-CN"/>
        </w:rPr>
        <w:t>2022年“三公”经费财政拨款支出决算为0.14万元，完成预算100%；较上年减少0.03万元，下降17.6%。决算数</w:t>
      </w:r>
    </w:p>
    <w:p>
      <w:pPr>
        <w:spacing w:line="600" w:lineRule="exact"/>
        <w:rPr>
          <w:rFonts w:eastAsia="仿宋"/>
          <w:b/>
          <w:sz w:val="32"/>
          <w:szCs w:val="32"/>
        </w:rPr>
      </w:pPr>
      <w:r>
        <w:rPr>
          <w:rFonts w:eastAsia="方正仿宋_GBK"/>
          <w:sz w:val="33"/>
          <w:szCs w:val="33"/>
        </w:rPr>
        <w:drawing>
          <wp:anchor distT="0" distB="0" distL="114300" distR="114300" simplePos="0" relativeHeight="251664384" behindDoc="1" locked="0" layoutInCell="1" allowOverlap="1">
            <wp:simplePos x="0" y="0"/>
            <wp:positionH relativeFrom="column">
              <wp:posOffset>61595</wp:posOffset>
            </wp:positionH>
            <wp:positionV relativeFrom="paragraph">
              <wp:posOffset>42545</wp:posOffset>
            </wp:positionV>
            <wp:extent cx="5270500" cy="2296160"/>
            <wp:effectExtent l="5080" t="4445" r="20320" b="23495"/>
            <wp:wrapThrough wrapText="bothSides">
              <wp:wrapPolygon>
                <wp:start x="-21" y="-42"/>
                <wp:lineTo x="-21" y="21463"/>
                <wp:lineTo x="21527" y="21463"/>
                <wp:lineTo x="21527" y="-42"/>
                <wp:lineTo x="-21" y="-42"/>
              </wp:wrapPolygon>
            </wp:wrapThrough>
            <wp:docPr id="32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方正仿宋_GBK"/>
          <w:sz w:val="33"/>
          <w:szCs w:val="33"/>
          <w:lang w:val="zh-CN"/>
        </w:rPr>
        <w:t>与预算数持平</w:t>
      </w:r>
      <w:r>
        <w:rPr>
          <w:rFonts w:hAnsi="仿宋" w:eastAsia="仿宋"/>
          <w:sz w:val="32"/>
          <w:szCs w:val="32"/>
        </w:rPr>
        <w:t>。</w:t>
      </w:r>
    </w:p>
    <w:p>
      <w:pPr>
        <w:ind w:firstLine="663" w:firstLineChars="200"/>
        <w:rPr>
          <w:rFonts w:eastAsia="方正楷体_GBK"/>
          <w:b/>
          <w:bCs/>
          <w:sz w:val="33"/>
          <w:szCs w:val="33"/>
        </w:rPr>
      </w:pPr>
      <w:bookmarkStart w:id="41" w:name="_Toc15377217"/>
      <w:r>
        <w:rPr>
          <w:rFonts w:hAnsi="方正楷体_GBK" w:eastAsia="方正楷体_GBK"/>
          <w:b/>
          <w:bCs/>
          <w:sz w:val="33"/>
          <w:szCs w:val="33"/>
        </w:rPr>
        <w:t>（二）</w:t>
      </w:r>
      <w:r>
        <w:rPr>
          <w:rFonts w:eastAsia="方正楷体_GBK"/>
          <w:b/>
          <w:bCs/>
          <w:sz w:val="33"/>
          <w:szCs w:val="33"/>
        </w:rPr>
        <w:t>“</w:t>
      </w:r>
      <w:r>
        <w:rPr>
          <w:rFonts w:hAnsi="方正楷体_GBK" w:eastAsia="方正楷体_GBK"/>
          <w:b/>
          <w:bCs/>
          <w:sz w:val="33"/>
          <w:szCs w:val="33"/>
        </w:rPr>
        <w:t>三公</w:t>
      </w:r>
      <w:r>
        <w:rPr>
          <w:rFonts w:eastAsia="方正楷体_GBK"/>
          <w:b/>
          <w:bCs/>
          <w:sz w:val="33"/>
          <w:szCs w:val="33"/>
        </w:rPr>
        <w:t>”</w:t>
      </w:r>
      <w:r>
        <w:rPr>
          <w:rFonts w:hAnsi="方正楷体_GBK" w:eastAsia="方正楷体_GBK"/>
          <w:b/>
          <w:bCs/>
          <w:sz w:val="33"/>
          <w:szCs w:val="33"/>
        </w:rPr>
        <w:t>经费财政拨款支出决算具体情况说明</w:t>
      </w:r>
      <w:bookmarkEnd w:id="41"/>
    </w:p>
    <w:p>
      <w:pPr>
        <w:spacing w:line="600" w:lineRule="exact"/>
        <w:ind w:firstLine="660" w:firstLineChars="200"/>
        <w:rPr>
          <w:rFonts w:eastAsia="方正仿宋_GBK"/>
          <w:sz w:val="33"/>
          <w:szCs w:val="33"/>
          <w:lang w:val="zh-CN"/>
        </w:rPr>
      </w:pPr>
      <w:r>
        <w:rPr>
          <w:rFonts w:eastAsia="方正仿宋_GBK"/>
          <w:sz w:val="33"/>
          <w:szCs w:val="33"/>
          <w:lang w:val="zh-CN"/>
        </w:rPr>
        <w:t>2022年“三公”经费财政拨款支出决算中，因公出国（境）费支出决算0万元，占0%；公务用车购置及运行维护费支出决算0万元，占0%；公务接待费支出决算0.14万元，占100%。具体情况如下：</w:t>
      </w:r>
    </w:p>
    <w:p>
      <w:pPr>
        <w:spacing w:line="600" w:lineRule="exact"/>
        <w:ind w:firstLine="663" w:firstLineChars="200"/>
        <w:rPr>
          <w:rFonts w:eastAsia="方正仿宋_GBK"/>
          <w:sz w:val="33"/>
          <w:szCs w:val="33"/>
          <w:lang w:val="zh-CN"/>
        </w:rPr>
      </w:pPr>
      <w:r>
        <w:rPr>
          <w:rFonts w:eastAsia="方正仿宋_GBK"/>
          <w:b/>
          <w:bCs/>
          <w:sz w:val="33"/>
          <w:szCs w:val="33"/>
        </w:rPr>
        <w:t>1.</w:t>
      </w:r>
      <w:r>
        <w:rPr>
          <w:rFonts w:hAnsi="方正仿宋_GBK" w:eastAsia="方正仿宋_GBK"/>
          <w:b/>
          <w:bCs/>
          <w:sz w:val="33"/>
          <w:szCs w:val="33"/>
        </w:rPr>
        <w:t>因公出国（境）经费支出</w:t>
      </w:r>
      <w:r>
        <w:rPr>
          <w:rFonts w:eastAsia="方正仿宋_GBK"/>
          <w:b/>
          <w:bCs/>
          <w:sz w:val="33"/>
          <w:szCs w:val="33"/>
        </w:rPr>
        <w:t>0</w:t>
      </w:r>
      <w:r>
        <w:rPr>
          <w:rFonts w:hAnsi="方正仿宋_GBK" w:eastAsia="方正仿宋_GBK"/>
          <w:b/>
          <w:bCs/>
          <w:sz w:val="33"/>
          <w:szCs w:val="33"/>
        </w:rPr>
        <w:t>万元，完成预算</w:t>
      </w:r>
      <w:r>
        <w:rPr>
          <w:rFonts w:eastAsia="方正仿宋_GBK"/>
          <w:b/>
          <w:bCs/>
          <w:sz w:val="33"/>
          <w:szCs w:val="33"/>
        </w:rPr>
        <w:t>0%</w:t>
      </w:r>
      <w:r>
        <w:rPr>
          <w:rFonts w:hAnsi="方正仿宋_GBK" w:eastAsia="方正仿宋_GBK"/>
          <w:b/>
          <w:bCs/>
          <w:sz w:val="33"/>
          <w:szCs w:val="33"/>
        </w:rPr>
        <w:t>。</w:t>
      </w:r>
      <w:r>
        <w:rPr>
          <w:rFonts w:eastAsia="方正仿宋_GBK"/>
          <w:sz w:val="33"/>
          <w:szCs w:val="33"/>
          <w:lang w:val="zh-CN"/>
        </w:rPr>
        <w:t>全年安排因公出国（境）团组</w:t>
      </w:r>
      <w:r>
        <w:rPr>
          <w:rFonts w:eastAsia="方正仿宋_GBK"/>
          <w:sz w:val="33"/>
          <w:szCs w:val="33"/>
        </w:rPr>
        <w:t>0</w:t>
      </w:r>
      <w:r>
        <w:rPr>
          <w:rFonts w:eastAsia="方正仿宋_GBK"/>
          <w:sz w:val="33"/>
          <w:szCs w:val="33"/>
          <w:lang w:val="zh-CN"/>
        </w:rPr>
        <w:t>次，出国（境）</w:t>
      </w:r>
      <w:r>
        <w:rPr>
          <w:rFonts w:eastAsia="方正仿宋_GBK"/>
          <w:sz w:val="33"/>
          <w:szCs w:val="33"/>
        </w:rPr>
        <w:t>0</w:t>
      </w:r>
      <w:r>
        <w:rPr>
          <w:rFonts w:eastAsia="方正仿宋_GBK"/>
          <w:sz w:val="33"/>
          <w:szCs w:val="33"/>
          <w:lang w:val="zh-CN"/>
        </w:rPr>
        <w:t>人。因公出国（境）支出决算比20</w:t>
      </w:r>
      <w:r>
        <w:rPr>
          <w:rFonts w:eastAsia="方正仿宋_GBK"/>
          <w:sz w:val="33"/>
          <w:szCs w:val="33"/>
        </w:rPr>
        <w:t>21</w:t>
      </w:r>
      <w:r>
        <w:rPr>
          <w:rFonts w:eastAsia="方正仿宋_GBK"/>
          <w:sz w:val="33"/>
          <w:szCs w:val="33"/>
          <w:lang w:val="zh-CN"/>
        </w:rPr>
        <w:t>年无变动。主要原因是我单位无因公出国（境）支出。</w:t>
      </w:r>
    </w:p>
    <w:p>
      <w:pPr>
        <w:spacing w:line="600" w:lineRule="exact"/>
        <w:ind w:firstLine="663" w:firstLineChars="200"/>
        <w:rPr>
          <w:rFonts w:eastAsia="仿宋_GB2312"/>
          <w:b/>
          <w:bCs/>
          <w:color w:val="000000"/>
          <w:sz w:val="32"/>
          <w:szCs w:val="32"/>
        </w:rPr>
      </w:pPr>
      <w:r>
        <w:rPr>
          <w:rFonts w:eastAsia="方正仿宋_GBK"/>
          <w:b/>
          <w:bCs/>
          <w:sz w:val="33"/>
          <w:szCs w:val="33"/>
        </w:rPr>
        <w:t>2.</w:t>
      </w:r>
      <w:r>
        <w:rPr>
          <w:rFonts w:hAnsi="方正仿宋_GBK" w:eastAsia="方正仿宋_GBK"/>
          <w:b/>
          <w:bCs/>
          <w:sz w:val="33"/>
          <w:szCs w:val="33"/>
        </w:rPr>
        <w:t>公务用车购置及运行维护费支出</w:t>
      </w:r>
      <w:r>
        <w:rPr>
          <w:rFonts w:eastAsia="方正仿宋_GBK"/>
          <w:b/>
          <w:bCs/>
          <w:sz w:val="33"/>
          <w:szCs w:val="33"/>
        </w:rPr>
        <w:t>0</w:t>
      </w:r>
      <w:r>
        <w:rPr>
          <w:rFonts w:hAnsi="方正仿宋_GBK" w:eastAsia="方正仿宋_GBK"/>
          <w:b/>
          <w:bCs/>
          <w:sz w:val="33"/>
          <w:szCs w:val="33"/>
        </w:rPr>
        <w:t>万元</w:t>
      </w:r>
      <w:r>
        <w:rPr>
          <w:rFonts w:eastAsia="方正仿宋_GBK"/>
          <w:b/>
          <w:bCs/>
          <w:sz w:val="33"/>
          <w:szCs w:val="33"/>
        </w:rPr>
        <w:t>,</w:t>
      </w:r>
      <w:r>
        <w:rPr>
          <w:rFonts w:hAnsi="方正仿宋_GBK" w:eastAsia="方正仿宋_GBK"/>
          <w:b/>
          <w:bCs/>
          <w:sz w:val="33"/>
          <w:szCs w:val="33"/>
        </w:rPr>
        <w:t>完成预算</w:t>
      </w:r>
      <w:r>
        <w:rPr>
          <w:rFonts w:eastAsia="方正仿宋_GBK"/>
          <w:b/>
          <w:bCs/>
          <w:sz w:val="33"/>
          <w:szCs w:val="33"/>
        </w:rPr>
        <w:t>0%</w:t>
      </w:r>
      <w:r>
        <w:rPr>
          <w:rFonts w:hAnsi="方正仿宋_GBK" w:eastAsia="方正仿宋_GBK"/>
          <w:b/>
          <w:bCs/>
          <w:sz w:val="33"/>
          <w:szCs w:val="33"/>
        </w:rPr>
        <w:t>。</w:t>
      </w:r>
      <w:r>
        <w:rPr>
          <w:rFonts w:eastAsia="方正仿宋_GBK"/>
          <w:sz w:val="33"/>
          <w:szCs w:val="33"/>
          <w:lang w:val="zh-CN"/>
        </w:rPr>
        <w:t>公务用车购置及运行维护费支出决算比</w:t>
      </w:r>
      <w:r>
        <w:rPr>
          <w:rFonts w:eastAsia="方正仿宋_GBK"/>
          <w:sz w:val="33"/>
          <w:szCs w:val="33"/>
        </w:rPr>
        <w:t>2021</w:t>
      </w:r>
      <w:r>
        <w:rPr>
          <w:rFonts w:eastAsia="方正仿宋_GBK"/>
          <w:sz w:val="33"/>
          <w:szCs w:val="33"/>
          <w:lang w:val="zh-CN"/>
        </w:rPr>
        <w:t>年无变动。主要原因是我单位无公务用车购置及运行维护费支出。</w:t>
      </w:r>
    </w:p>
    <w:p>
      <w:pPr>
        <w:spacing w:line="600" w:lineRule="exact"/>
        <w:ind w:firstLine="660" w:firstLineChars="200"/>
        <w:rPr>
          <w:rFonts w:eastAsia="方正仿宋_GBK"/>
          <w:sz w:val="33"/>
          <w:szCs w:val="33"/>
          <w:lang w:val="zh-CN"/>
        </w:rPr>
      </w:pPr>
      <w:r>
        <w:rPr>
          <w:rFonts w:eastAsia="方正仿宋_GBK"/>
          <w:sz w:val="33"/>
          <w:szCs w:val="33"/>
          <w:lang w:val="zh-CN"/>
        </w:rPr>
        <w:t>其中：公务用车购置支出0万元。全年按规定更新购置公务用车0辆，金额0元。截至202</w:t>
      </w:r>
      <w:r>
        <w:rPr>
          <w:rFonts w:eastAsia="方正仿宋_GBK"/>
          <w:sz w:val="33"/>
          <w:szCs w:val="33"/>
        </w:rPr>
        <w:t>2</w:t>
      </w:r>
      <w:r>
        <w:rPr>
          <w:rFonts w:eastAsia="方正仿宋_GBK"/>
          <w:sz w:val="33"/>
          <w:szCs w:val="33"/>
          <w:lang w:val="zh-CN"/>
        </w:rPr>
        <w:t>年12月底，单位共有公务用车0辆，其中：主要领导干部用车0辆、机要通信用车0辆、应急保障用车0辆、 执法执勤用车0辆。</w:t>
      </w:r>
    </w:p>
    <w:p>
      <w:pPr>
        <w:spacing w:line="600" w:lineRule="exact"/>
        <w:ind w:firstLine="660" w:firstLineChars="200"/>
        <w:rPr>
          <w:rFonts w:eastAsia="仿宋_GB2312"/>
          <w:color w:val="000000"/>
          <w:sz w:val="32"/>
          <w:szCs w:val="32"/>
        </w:rPr>
      </w:pPr>
      <w:r>
        <w:rPr>
          <w:rFonts w:eastAsia="方正仿宋_GBK"/>
          <w:sz w:val="33"/>
          <w:szCs w:val="33"/>
          <w:lang w:val="zh-CN"/>
        </w:rPr>
        <w:t>公务用车运行维护费支出0万元。</w:t>
      </w:r>
    </w:p>
    <w:p>
      <w:pPr>
        <w:spacing w:line="600" w:lineRule="exact"/>
        <w:ind w:firstLine="663" w:firstLineChars="200"/>
        <w:rPr>
          <w:rFonts w:eastAsia="方正仿宋_GBK"/>
          <w:sz w:val="33"/>
          <w:szCs w:val="33"/>
          <w:lang w:val="zh-CN"/>
        </w:rPr>
      </w:pPr>
      <w:r>
        <w:rPr>
          <w:rFonts w:eastAsia="方正仿宋_GBK"/>
          <w:b/>
          <w:bCs/>
          <w:sz w:val="33"/>
          <w:szCs w:val="33"/>
        </w:rPr>
        <w:t>3.</w:t>
      </w:r>
      <w:r>
        <w:rPr>
          <w:rFonts w:hAnsi="方正仿宋_GBK" w:eastAsia="方正仿宋_GBK"/>
          <w:b/>
          <w:bCs/>
          <w:sz w:val="33"/>
          <w:szCs w:val="33"/>
        </w:rPr>
        <w:t>公务接待费支出</w:t>
      </w:r>
      <w:r>
        <w:rPr>
          <w:rFonts w:eastAsia="方正仿宋_GBK"/>
          <w:b/>
          <w:bCs/>
          <w:sz w:val="33"/>
          <w:szCs w:val="33"/>
        </w:rPr>
        <w:t>0.14</w:t>
      </w:r>
      <w:r>
        <w:rPr>
          <w:rFonts w:hAnsi="方正仿宋_GBK" w:eastAsia="方正仿宋_GBK"/>
          <w:b/>
          <w:bCs/>
          <w:sz w:val="33"/>
          <w:szCs w:val="33"/>
        </w:rPr>
        <w:t>万元，完成预算</w:t>
      </w:r>
      <w:r>
        <w:rPr>
          <w:rFonts w:eastAsia="方正仿宋_GBK"/>
          <w:b/>
          <w:bCs/>
          <w:sz w:val="33"/>
          <w:szCs w:val="33"/>
        </w:rPr>
        <w:t>100%</w:t>
      </w:r>
      <w:r>
        <w:rPr>
          <w:rFonts w:hAnsi="方正仿宋_GBK" w:eastAsia="方正仿宋_GBK"/>
          <w:b/>
          <w:bCs/>
          <w:sz w:val="33"/>
          <w:szCs w:val="33"/>
        </w:rPr>
        <w:t>。</w:t>
      </w:r>
      <w:r>
        <w:rPr>
          <w:rFonts w:eastAsia="方正仿宋_GBK"/>
          <w:sz w:val="33"/>
          <w:szCs w:val="33"/>
          <w:lang w:val="zh-CN"/>
        </w:rPr>
        <w:t>公务接待费支出决算比2021年减少</w:t>
      </w:r>
      <w:r>
        <w:rPr>
          <w:rFonts w:eastAsia="方正仿宋_GBK"/>
          <w:sz w:val="33"/>
          <w:szCs w:val="33"/>
        </w:rPr>
        <w:t>0.03</w:t>
      </w:r>
      <w:r>
        <w:rPr>
          <w:rFonts w:eastAsia="方正仿宋_GBK"/>
          <w:sz w:val="33"/>
          <w:szCs w:val="33"/>
          <w:lang w:val="zh-CN"/>
        </w:rPr>
        <w:t>万元，下降</w:t>
      </w:r>
      <w:r>
        <w:rPr>
          <w:rFonts w:eastAsia="方正仿宋_GBK"/>
          <w:sz w:val="33"/>
          <w:szCs w:val="33"/>
        </w:rPr>
        <w:t>17.6</w:t>
      </w:r>
      <w:r>
        <w:rPr>
          <w:rFonts w:eastAsia="方正仿宋_GBK"/>
          <w:sz w:val="33"/>
          <w:szCs w:val="33"/>
          <w:lang w:val="zh-CN"/>
        </w:rPr>
        <w:t>%。主要原因是厉行节约，减少经费支出。其中：</w:t>
      </w:r>
    </w:p>
    <w:p>
      <w:pPr>
        <w:spacing w:line="600" w:lineRule="exact"/>
        <w:ind w:firstLine="660" w:firstLineChars="200"/>
        <w:rPr>
          <w:rFonts w:eastAsia="方正仿宋_GBK"/>
          <w:sz w:val="33"/>
          <w:szCs w:val="33"/>
          <w:lang w:val="zh-CN"/>
        </w:rPr>
      </w:pPr>
      <w:r>
        <w:rPr>
          <w:rFonts w:eastAsia="方正仿宋_GBK"/>
          <w:sz w:val="33"/>
          <w:szCs w:val="33"/>
          <w:lang w:val="zh-CN"/>
        </w:rPr>
        <w:t>国内公务接待支出</w:t>
      </w:r>
      <w:r>
        <w:rPr>
          <w:rFonts w:eastAsia="方正仿宋_GBK"/>
          <w:sz w:val="33"/>
          <w:szCs w:val="33"/>
        </w:rPr>
        <w:t>0.14</w:t>
      </w:r>
      <w:r>
        <w:rPr>
          <w:rFonts w:eastAsia="方正仿宋_GBK"/>
          <w:sz w:val="33"/>
          <w:szCs w:val="33"/>
          <w:lang w:val="zh-CN"/>
        </w:rPr>
        <w:t>万元，主要用于执行公务、开展业务活动开支的住宿费、用餐费等。国内公务接待</w:t>
      </w:r>
      <w:r>
        <w:rPr>
          <w:rFonts w:eastAsia="方正仿宋_GBK"/>
          <w:sz w:val="33"/>
          <w:szCs w:val="33"/>
        </w:rPr>
        <w:t>4</w:t>
      </w:r>
      <w:r>
        <w:rPr>
          <w:rFonts w:eastAsia="方正仿宋_GBK"/>
          <w:sz w:val="33"/>
          <w:szCs w:val="33"/>
          <w:lang w:val="zh-CN"/>
        </w:rPr>
        <w:t>批次，</w:t>
      </w:r>
      <w:r>
        <w:rPr>
          <w:rFonts w:eastAsia="方正仿宋_GBK"/>
          <w:sz w:val="33"/>
          <w:szCs w:val="33"/>
        </w:rPr>
        <w:t>20</w:t>
      </w:r>
      <w:r>
        <w:rPr>
          <w:rFonts w:eastAsia="方正仿宋_GBK"/>
          <w:sz w:val="33"/>
          <w:szCs w:val="33"/>
          <w:lang w:val="zh-CN"/>
        </w:rPr>
        <w:t>人次（不包括陪同人员），共计支出</w:t>
      </w:r>
      <w:r>
        <w:rPr>
          <w:rFonts w:eastAsia="方正仿宋_GBK"/>
          <w:sz w:val="33"/>
          <w:szCs w:val="33"/>
        </w:rPr>
        <w:t>014</w:t>
      </w:r>
      <w:r>
        <w:rPr>
          <w:rFonts w:eastAsia="方正仿宋_GBK"/>
          <w:sz w:val="33"/>
          <w:szCs w:val="33"/>
          <w:lang w:val="zh-CN"/>
        </w:rPr>
        <w:t>万元，具体内容包括：上级单位到我单位检查工作接待支出</w:t>
      </w:r>
      <w:r>
        <w:rPr>
          <w:rFonts w:eastAsia="方正仿宋_GBK"/>
          <w:sz w:val="33"/>
          <w:szCs w:val="33"/>
        </w:rPr>
        <w:t>0.14</w:t>
      </w:r>
      <w:r>
        <w:rPr>
          <w:rFonts w:eastAsia="方正仿宋_GBK"/>
          <w:sz w:val="33"/>
          <w:szCs w:val="33"/>
          <w:lang w:val="zh-CN"/>
        </w:rPr>
        <w:t>万元。</w:t>
      </w:r>
    </w:p>
    <w:p>
      <w:pPr>
        <w:spacing w:line="600" w:lineRule="exact"/>
        <w:ind w:firstLine="660" w:firstLineChars="200"/>
        <w:rPr>
          <w:rFonts w:eastAsia="方正仿宋_GBK"/>
          <w:sz w:val="33"/>
          <w:szCs w:val="33"/>
          <w:lang w:val="zh-CN"/>
        </w:rPr>
      </w:pPr>
      <w:bookmarkStart w:id="42" w:name="_Toc15377218"/>
      <w:bookmarkStart w:id="43" w:name="_Toc15396610"/>
      <w:r>
        <w:rPr>
          <w:rFonts w:eastAsia="方正仿宋_GBK"/>
          <w:sz w:val="33"/>
          <w:szCs w:val="33"/>
          <w:lang w:val="zh-CN"/>
        </w:rPr>
        <w:t>外事接待支出0万元，外事接待0批次，0人，共计支出0万元。</w:t>
      </w:r>
    </w:p>
    <w:p>
      <w:pPr>
        <w:ind w:firstLine="660" w:firstLineChars="200"/>
        <w:rPr>
          <w:rFonts w:eastAsia="方正黑体_GBK"/>
          <w:sz w:val="33"/>
          <w:szCs w:val="33"/>
        </w:rPr>
      </w:pPr>
      <w:r>
        <w:rPr>
          <w:rFonts w:eastAsia="方正黑体_GBK"/>
          <w:sz w:val="33"/>
          <w:szCs w:val="33"/>
        </w:rPr>
        <w:t>八、政府性基金预算支出决算情况说明</w:t>
      </w:r>
      <w:bookmarkEnd w:id="42"/>
      <w:bookmarkEnd w:id="43"/>
    </w:p>
    <w:p>
      <w:pPr>
        <w:spacing w:line="600" w:lineRule="exact"/>
        <w:ind w:firstLine="660" w:firstLineChars="200"/>
        <w:rPr>
          <w:rFonts w:eastAsia="仿宋_GB2312"/>
          <w:sz w:val="32"/>
          <w:szCs w:val="32"/>
        </w:rPr>
      </w:pPr>
      <w:r>
        <w:rPr>
          <w:rFonts w:eastAsia="方正仿宋_GBK"/>
          <w:sz w:val="33"/>
          <w:szCs w:val="33"/>
          <w:lang w:val="zh-CN"/>
        </w:rPr>
        <w:t>2022年政府性基金预算财政拨款支出</w:t>
      </w:r>
      <w:r>
        <w:rPr>
          <w:rFonts w:eastAsia="方正仿宋_GBK"/>
          <w:sz w:val="33"/>
          <w:szCs w:val="33"/>
        </w:rPr>
        <w:t>0</w:t>
      </w:r>
      <w:r>
        <w:rPr>
          <w:rFonts w:eastAsia="方正仿宋_GBK"/>
          <w:sz w:val="33"/>
          <w:szCs w:val="33"/>
          <w:lang w:val="zh-CN"/>
        </w:rPr>
        <w:t>万元</w:t>
      </w:r>
      <w:r>
        <w:rPr>
          <w:rFonts w:eastAsia="仿宋_GB2312"/>
          <w:sz w:val="32"/>
          <w:szCs w:val="32"/>
        </w:rPr>
        <w:t>。</w:t>
      </w:r>
    </w:p>
    <w:p>
      <w:pPr>
        <w:ind w:firstLine="660" w:firstLineChars="200"/>
        <w:rPr>
          <w:rFonts w:eastAsia="方正黑体_GBK"/>
          <w:sz w:val="33"/>
          <w:szCs w:val="33"/>
        </w:rPr>
      </w:pPr>
      <w:bookmarkStart w:id="44" w:name="_Toc15396611"/>
      <w:bookmarkStart w:id="45" w:name="_Toc15377219"/>
      <w:r>
        <w:rPr>
          <w:rFonts w:eastAsia="方正黑体_GBK"/>
          <w:sz w:val="33"/>
          <w:szCs w:val="33"/>
        </w:rPr>
        <w:t>九、国有资本经营预算支出决算情况说明</w:t>
      </w:r>
      <w:bookmarkEnd w:id="44"/>
      <w:bookmarkEnd w:id="45"/>
    </w:p>
    <w:p>
      <w:pPr>
        <w:spacing w:line="600" w:lineRule="exact"/>
        <w:ind w:firstLine="660" w:firstLineChars="200"/>
        <w:rPr>
          <w:rFonts w:eastAsia="方正小标宋简体"/>
          <w:sz w:val="44"/>
          <w:szCs w:val="44"/>
        </w:rPr>
      </w:pPr>
      <w:r>
        <w:rPr>
          <w:rFonts w:eastAsia="方正仿宋_GBK"/>
          <w:sz w:val="33"/>
          <w:szCs w:val="33"/>
          <w:lang w:val="zh-CN"/>
        </w:rPr>
        <w:t>2022年国有资本经营预算财政拨款支出</w:t>
      </w:r>
      <w:r>
        <w:rPr>
          <w:rFonts w:eastAsia="方正仿宋_GBK"/>
          <w:sz w:val="33"/>
          <w:szCs w:val="33"/>
        </w:rPr>
        <w:t>0</w:t>
      </w:r>
      <w:r>
        <w:rPr>
          <w:rFonts w:eastAsia="方正仿宋_GBK"/>
          <w:sz w:val="33"/>
          <w:szCs w:val="33"/>
          <w:lang w:val="zh-CN"/>
        </w:rPr>
        <w:t>万元。</w:t>
      </w:r>
    </w:p>
    <w:p>
      <w:pPr>
        <w:ind w:firstLine="660" w:firstLineChars="200"/>
        <w:rPr>
          <w:rFonts w:eastAsia="方正黑体_GBK"/>
          <w:sz w:val="33"/>
          <w:szCs w:val="33"/>
        </w:rPr>
      </w:pPr>
      <w:bookmarkStart w:id="46" w:name="_Toc15396612"/>
      <w:bookmarkStart w:id="47" w:name="_Toc15377221"/>
      <w:r>
        <w:rPr>
          <w:rFonts w:eastAsia="方正黑体_GBK"/>
          <w:sz w:val="33"/>
          <w:szCs w:val="33"/>
        </w:rPr>
        <w:t>十、其他重要事项的情况说明</w:t>
      </w:r>
      <w:bookmarkEnd w:id="46"/>
      <w:bookmarkEnd w:id="47"/>
    </w:p>
    <w:p>
      <w:pPr>
        <w:ind w:firstLine="663" w:firstLineChars="200"/>
        <w:rPr>
          <w:rFonts w:eastAsia="方正楷体_GBK"/>
          <w:b/>
          <w:bCs/>
          <w:sz w:val="33"/>
          <w:szCs w:val="33"/>
        </w:rPr>
      </w:pPr>
      <w:bookmarkStart w:id="48" w:name="_Toc15377222"/>
      <w:r>
        <w:rPr>
          <w:rFonts w:hAnsi="方正楷体_GBK" w:eastAsia="方正楷体_GBK"/>
          <w:b/>
          <w:bCs/>
          <w:sz w:val="33"/>
          <w:szCs w:val="33"/>
        </w:rPr>
        <w:t>（一）机关运行经费支出情况</w:t>
      </w:r>
      <w:bookmarkEnd w:id="48"/>
    </w:p>
    <w:p>
      <w:pPr>
        <w:spacing w:line="600" w:lineRule="exact"/>
        <w:ind w:firstLine="660" w:firstLineChars="200"/>
        <w:rPr>
          <w:rFonts w:eastAsia="方正仿宋_GBK"/>
          <w:sz w:val="33"/>
          <w:szCs w:val="33"/>
          <w:lang w:val="zh-CN"/>
        </w:rPr>
      </w:pPr>
      <w:r>
        <w:rPr>
          <w:rFonts w:eastAsia="方正仿宋_GBK"/>
          <w:sz w:val="33"/>
          <w:szCs w:val="33"/>
          <w:lang w:val="zh-CN"/>
        </w:rPr>
        <w:t>2022年，中共盐边县委政法委员会机关运行经费支出28.35万元，比2021年增加5.66万元，增长24.9%。主要原因是：单位新调入人员公用经费增加。</w:t>
      </w:r>
    </w:p>
    <w:p>
      <w:pPr>
        <w:ind w:firstLine="663" w:firstLineChars="200"/>
        <w:rPr>
          <w:rFonts w:eastAsia="方正楷体_GBK"/>
          <w:b/>
          <w:bCs/>
          <w:sz w:val="33"/>
          <w:szCs w:val="33"/>
        </w:rPr>
      </w:pPr>
      <w:bookmarkStart w:id="49" w:name="_Toc15377223"/>
      <w:r>
        <w:rPr>
          <w:rFonts w:hAnsi="方正楷体_GBK" w:eastAsia="方正楷体_GBK"/>
          <w:b/>
          <w:bCs/>
          <w:sz w:val="33"/>
          <w:szCs w:val="33"/>
        </w:rPr>
        <w:t>（二）政府采购支出情况</w:t>
      </w:r>
      <w:bookmarkEnd w:id="49"/>
    </w:p>
    <w:p>
      <w:pPr>
        <w:spacing w:line="600" w:lineRule="exact"/>
        <w:ind w:firstLine="660" w:firstLineChars="200"/>
        <w:rPr>
          <w:rFonts w:eastAsia="方正仿宋_GBK"/>
          <w:sz w:val="33"/>
          <w:szCs w:val="33"/>
          <w:lang w:val="zh-CN"/>
        </w:rPr>
      </w:pPr>
      <w:r>
        <w:rPr>
          <w:rFonts w:eastAsia="方正仿宋_GBK"/>
          <w:sz w:val="33"/>
          <w:szCs w:val="33"/>
          <w:lang w:val="zh-CN"/>
        </w:rPr>
        <w:t>2022年，中共盐边县委政法委员会政府采购支出总额0万元，其中：政府采购货物支出0万元、政府采购工程支出0万元、政府采购服务支出0万元。授予中小企业合同金额0万元，占政府采购支出总额的0%，其中：授予小微企业合同金额0万元，</w:t>
      </w:r>
      <w:r>
        <w:rPr>
          <w:rFonts w:eastAsia="方正仿宋_GBK"/>
          <w:sz w:val="33"/>
          <w:szCs w:val="33"/>
        </w:rPr>
        <w:t>占政府采购支出总额的</w:t>
      </w:r>
      <w:r>
        <w:rPr>
          <w:rFonts w:eastAsia="方正仿宋_GBK"/>
          <w:sz w:val="33"/>
          <w:szCs w:val="33"/>
          <w:lang w:val="zh-CN"/>
        </w:rPr>
        <w:t>0%。</w:t>
      </w:r>
    </w:p>
    <w:p>
      <w:pPr>
        <w:ind w:firstLine="663" w:firstLineChars="200"/>
        <w:rPr>
          <w:rFonts w:eastAsia="方正楷体_GBK"/>
          <w:b/>
          <w:bCs/>
          <w:sz w:val="33"/>
          <w:szCs w:val="33"/>
        </w:rPr>
      </w:pPr>
      <w:bookmarkStart w:id="50" w:name="_Toc15377224"/>
      <w:r>
        <w:rPr>
          <w:rFonts w:hAnsi="方正楷体_GBK" w:eastAsia="方正楷体_GBK"/>
          <w:b/>
          <w:bCs/>
          <w:sz w:val="33"/>
          <w:szCs w:val="33"/>
        </w:rPr>
        <w:t>（三）国有资产占有使用情况</w:t>
      </w:r>
      <w:bookmarkEnd w:id="50"/>
    </w:p>
    <w:p>
      <w:pPr>
        <w:spacing w:line="600" w:lineRule="exact"/>
        <w:ind w:firstLine="660" w:firstLineChars="200"/>
        <w:rPr>
          <w:rFonts w:eastAsia="方正仿宋_GBK"/>
          <w:sz w:val="33"/>
          <w:szCs w:val="33"/>
          <w:lang w:val="zh-CN"/>
        </w:rPr>
      </w:pPr>
      <w:r>
        <w:rPr>
          <w:rFonts w:eastAsia="方正仿宋_GBK"/>
          <w:sz w:val="33"/>
          <w:szCs w:val="33"/>
          <w:lang w:val="zh-CN"/>
        </w:rPr>
        <w:t>截至2022年12月31日，中共盐边县委政法委员会共有车辆0辆，其中：副部（省）级及以上领导用车0辆、主要领导干部用车0辆、机要通信用车0辆、应急保障用车0辆、执法执勤用车0辆、特种专业技术用车0辆、离退休干部用车0辆、其他用车0辆。单价100万元（含）以上设备0台（套)。</w:t>
      </w:r>
    </w:p>
    <w:p>
      <w:pPr>
        <w:ind w:firstLine="663" w:firstLineChars="200"/>
        <w:rPr>
          <w:rFonts w:eastAsia="方正楷体_GBK"/>
          <w:b/>
          <w:bCs/>
          <w:sz w:val="33"/>
          <w:szCs w:val="33"/>
        </w:rPr>
      </w:pPr>
      <w:r>
        <w:rPr>
          <w:rFonts w:hAnsi="方正楷体_GBK" w:eastAsia="方正楷体_GBK"/>
          <w:b/>
          <w:bCs/>
          <w:sz w:val="33"/>
          <w:szCs w:val="33"/>
        </w:rPr>
        <w:t>（四）预算绩效管理情况</w:t>
      </w:r>
    </w:p>
    <w:p>
      <w:pPr>
        <w:spacing w:line="600" w:lineRule="exact"/>
        <w:ind w:firstLine="660" w:firstLineChars="200"/>
        <w:rPr>
          <w:rFonts w:eastAsia="方正仿宋_GBK"/>
          <w:sz w:val="33"/>
          <w:szCs w:val="33"/>
          <w:lang w:val="zh-CN"/>
        </w:rPr>
      </w:pPr>
      <w:r>
        <w:rPr>
          <w:rFonts w:eastAsia="方正仿宋_GBK"/>
          <w:sz w:val="33"/>
          <w:szCs w:val="33"/>
          <w:lang w:val="zh-CN"/>
        </w:rPr>
        <w:t>根据预算绩效管理要求，本部门在2022年度预算编制阶段，组织“扫黑除恶专项经费”、“社会网格化专项经费”等</w:t>
      </w:r>
      <w:r>
        <w:rPr>
          <w:rFonts w:eastAsia="方正仿宋_GBK"/>
          <w:sz w:val="33"/>
          <w:szCs w:val="33"/>
        </w:rPr>
        <w:t>2各</w:t>
      </w:r>
      <w:r>
        <w:rPr>
          <w:rFonts w:eastAsia="方正仿宋_GBK"/>
          <w:sz w:val="33"/>
          <w:szCs w:val="33"/>
          <w:lang w:val="zh-CN"/>
        </w:rPr>
        <w:t>项目开展了预算事前绩效评估，对</w:t>
      </w:r>
      <w:r>
        <w:rPr>
          <w:rFonts w:eastAsia="方正仿宋_GBK"/>
          <w:sz w:val="33"/>
          <w:szCs w:val="33"/>
        </w:rPr>
        <w:t>2</w:t>
      </w:r>
      <w:r>
        <w:rPr>
          <w:rFonts w:eastAsia="方正仿宋_GBK"/>
          <w:sz w:val="33"/>
          <w:szCs w:val="33"/>
          <w:lang w:val="zh-CN"/>
        </w:rPr>
        <w:t>个项目编制了绩效目标，预算执行过程中，选取</w:t>
      </w:r>
      <w:r>
        <w:rPr>
          <w:rFonts w:eastAsia="方正仿宋_GBK"/>
          <w:sz w:val="33"/>
          <w:szCs w:val="33"/>
        </w:rPr>
        <w:t>2</w:t>
      </w:r>
      <w:r>
        <w:rPr>
          <w:rFonts w:eastAsia="方正仿宋_GBK"/>
          <w:sz w:val="33"/>
          <w:szCs w:val="33"/>
          <w:lang w:val="zh-CN"/>
        </w:rPr>
        <w:t>个项目开展绩效监控。</w:t>
      </w:r>
    </w:p>
    <w:p>
      <w:pPr>
        <w:spacing w:line="600" w:lineRule="exact"/>
        <w:ind w:firstLine="660" w:firstLineChars="200"/>
        <w:rPr>
          <w:rFonts w:eastAsia="仿宋_GB2312"/>
          <w:b/>
          <w:sz w:val="32"/>
          <w:szCs w:val="32"/>
        </w:rPr>
      </w:pPr>
      <w:r>
        <w:rPr>
          <w:rFonts w:eastAsia="方正仿宋_GBK"/>
          <w:sz w:val="33"/>
          <w:szCs w:val="33"/>
          <w:lang w:val="zh-CN"/>
        </w:rPr>
        <w:t>组织对2022年度部门所有预算资金全面开展绩效自评，形成中共盐边县委政法委员会部门整体绩效自评报告，其中，中共盐边县委政法委员会部门整体绩效，绩效自评得分为</w:t>
      </w:r>
      <w:r>
        <w:rPr>
          <w:rFonts w:eastAsia="方正仿宋_GBK"/>
          <w:sz w:val="33"/>
          <w:szCs w:val="33"/>
        </w:rPr>
        <w:t>98</w:t>
      </w:r>
      <w:r>
        <w:rPr>
          <w:rFonts w:eastAsia="方正仿宋_GBK"/>
          <w:sz w:val="33"/>
          <w:szCs w:val="33"/>
          <w:lang w:val="zh-CN"/>
        </w:rPr>
        <w:t>分，绩效自评报告详见第四部分附件。</w:t>
      </w:r>
      <w:r>
        <w:rPr>
          <w:rFonts w:eastAsia="仿宋_GB2312"/>
          <w:b/>
          <w:sz w:val="32"/>
          <w:szCs w:val="32"/>
        </w:rPr>
        <w:br w:type="page"/>
      </w:r>
    </w:p>
    <w:p>
      <w:pPr>
        <w:numPr>
          <w:ilvl w:val="0"/>
          <w:numId w:val="1"/>
        </w:numPr>
        <w:spacing w:line="600" w:lineRule="exact"/>
        <w:ind w:firstLine="572" w:firstLineChars="150"/>
        <w:jc w:val="center"/>
        <w:outlineLvl w:val="0"/>
        <w:rPr>
          <w:rFonts w:eastAsia="方正小标宋_GBK"/>
          <w:bCs/>
          <w:sz w:val="38"/>
          <w:szCs w:val="38"/>
        </w:rPr>
      </w:pPr>
      <w:bookmarkStart w:id="51" w:name="_Toc15377225"/>
      <w:bookmarkStart w:id="52" w:name="_Toc15396613"/>
      <w:r>
        <w:rPr>
          <w:rFonts w:eastAsia="方正小标宋_GBK"/>
          <w:b/>
          <w:sz w:val="38"/>
          <w:szCs w:val="38"/>
        </w:rPr>
        <w:t>名</w:t>
      </w:r>
      <w:r>
        <w:rPr>
          <w:rFonts w:hint="eastAsia" w:eastAsia="方正小标宋_GBK"/>
          <w:bCs/>
          <w:sz w:val="38"/>
          <w:szCs w:val="38"/>
        </w:rPr>
        <w:t>词解释</w:t>
      </w:r>
      <w:bookmarkEnd w:id="51"/>
      <w:bookmarkEnd w:id="52"/>
    </w:p>
    <w:p>
      <w:pPr>
        <w:spacing w:line="600" w:lineRule="exact"/>
        <w:jc w:val="left"/>
        <w:rPr>
          <w:b/>
          <w:sz w:val="44"/>
          <w:szCs w:val="44"/>
        </w:rPr>
      </w:pPr>
    </w:p>
    <w:p>
      <w:pPr>
        <w:pStyle w:val="31"/>
        <w:spacing w:line="560" w:lineRule="exact"/>
        <w:ind w:firstLine="640" w:firstLineChars="200"/>
        <w:rPr>
          <w:rFonts w:ascii="Times New Roman" w:hAnsi="Times New Roman" w:eastAsia="仿宋_GB2312" w:cs="Times New Roman"/>
          <w:sz w:val="32"/>
          <w:szCs w:val="32"/>
        </w:rPr>
      </w:pPr>
      <w:bookmarkStart w:id="53" w:name="_Toc15396614"/>
      <w:bookmarkStart w:id="54" w:name="_Toc15377226"/>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财政拨款收入：指单位从同级财政部门取得的财政预算资金。</w:t>
      </w:r>
    </w:p>
    <w:p>
      <w:pPr>
        <w:spacing w:line="600" w:lineRule="exact"/>
        <w:ind w:firstLine="640" w:firstLineChars="200"/>
        <w:outlineLvl w:val="0"/>
        <w:rPr>
          <w:rStyle w:val="20"/>
          <w:rFonts w:eastAsia="仿宋_GB2312"/>
          <w:b w:val="0"/>
          <w:color w:val="000000"/>
          <w:sz w:val="32"/>
          <w:szCs w:val="32"/>
        </w:rPr>
      </w:pPr>
      <w:r>
        <w:rPr>
          <w:rStyle w:val="20"/>
          <w:rFonts w:eastAsia="仿宋_GB2312"/>
          <w:b w:val="0"/>
          <w:color w:val="000000"/>
          <w:sz w:val="32"/>
          <w:szCs w:val="32"/>
        </w:rPr>
        <w:t>2</w:t>
      </w:r>
      <w:r>
        <w:rPr>
          <w:rStyle w:val="20"/>
          <w:rFonts w:hint="eastAsia" w:eastAsia="仿宋_GB2312"/>
          <w:b w:val="0"/>
          <w:color w:val="000000"/>
          <w:sz w:val="32"/>
          <w:szCs w:val="32"/>
        </w:rPr>
        <w:t>.</w:t>
      </w:r>
      <w:r>
        <w:rPr>
          <w:rStyle w:val="20"/>
          <w:rFonts w:eastAsia="仿宋_GB2312"/>
          <w:b w:val="0"/>
          <w:color w:val="000000"/>
          <w:sz w:val="32"/>
          <w:szCs w:val="32"/>
        </w:rPr>
        <w:t>一般公共服务（类）其他共产党事务支出（款）</w:t>
      </w:r>
    </w:p>
    <w:p>
      <w:pPr>
        <w:widowControl/>
        <w:shd w:val="clear" w:color="auto" w:fill="FFFFFF"/>
        <w:spacing w:line="600" w:lineRule="atLeast"/>
        <w:ind w:firstLine="640" w:firstLineChars="200"/>
        <w:jc w:val="left"/>
        <w:rPr>
          <w:rFonts w:eastAsia="仿宋_GB2312"/>
          <w:color w:val="000000"/>
          <w:kern w:val="0"/>
          <w:sz w:val="32"/>
          <w:szCs w:val="32"/>
        </w:rPr>
      </w:pPr>
      <w:r>
        <w:rPr>
          <w:rStyle w:val="20"/>
          <w:rFonts w:hint="eastAsia" w:eastAsia="仿宋_GB2312"/>
          <w:b w:val="0"/>
          <w:color w:val="000000"/>
          <w:sz w:val="32"/>
          <w:szCs w:val="32"/>
        </w:rPr>
        <w:t>(1)</w:t>
      </w:r>
      <w:r>
        <w:rPr>
          <w:rStyle w:val="20"/>
          <w:rFonts w:eastAsia="仿宋_GB2312"/>
          <w:b w:val="0"/>
          <w:color w:val="000000"/>
          <w:sz w:val="32"/>
          <w:szCs w:val="32"/>
        </w:rPr>
        <w:t xml:space="preserve">行政运行: </w:t>
      </w:r>
      <w:r>
        <w:rPr>
          <w:rFonts w:eastAsia="仿宋_GB2312"/>
          <w:color w:val="000000"/>
          <w:kern w:val="0"/>
          <w:sz w:val="32"/>
          <w:szCs w:val="32"/>
        </w:rPr>
        <w:t>指行政单位（包括实行公务员管理的事业单位）的基本支出。</w:t>
      </w:r>
    </w:p>
    <w:p>
      <w:pPr>
        <w:widowControl/>
        <w:shd w:val="clear" w:color="auto" w:fill="FFFFFF"/>
        <w:spacing w:line="600" w:lineRule="atLeas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其他共产党事务支出：指其他用于中国共产党事务的支出。</w:t>
      </w:r>
    </w:p>
    <w:p>
      <w:pPr>
        <w:spacing w:line="600" w:lineRule="exact"/>
        <w:ind w:firstLine="640" w:firstLineChars="200"/>
      </w:pPr>
      <w:r>
        <w:rPr>
          <w:rStyle w:val="20"/>
          <w:rFonts w:hint="eastAsia" w:eastAsia="仿宋_GB2312"/>
          <w:b w:val="0"/>
          <w:color w:val="000000"/>
          <w:sz w:val="32"/>
          <w:szCs w:val="32"/>
        </w:rPr>
        <w:t>(3)</w:t>
      </w:r>
      <w:r>
        <w:rPr>
          <w:rStyle w:val="20"/>
          <w:rFonts w:eastAsia="仿宋_GB2312"/>
          <w:b w:val="0"/>
          <w:color w:val="000000"/>
          <w:sz w:val="32"/>
          <w:szCs w:val="32"/>
        </w:rPr>
        <w:t>事业运行：指事业单位的基本支出。不包括行政单位（包括实行公务员管理的事业单位）后勤服务中心、医务室等附属事业单位。</w:t>
      </w:r>
    </w:p>
    <w:p>
      <w:pPr>
        <w:spacing w:line="600" w:lineRule="exact"/>
        <w:ind w:firstLine="640" w:firstLineChars="200"/>
        <w:rPr>
          <w:rStyle w:val="20"/>
          <w:rFonts w:eastAsia="仿宋_GB2312"/>
          <w:b w:val="0"/>
          <w:color w:val="000000"/>
          <w:sz w:val="32"/>
          <w:szCs w:val="32"/>
        </w:rPr>
      </w:pPr>
      <w:r>
        <w:rPr>
          <w:rStyle w:val="20"/>
          <w:rFonts w:eastAsia="仿宋_GB2312"/>
          <w:b w:val="0"/>
          <w:color w:val="000000"/>
          <w:sz w:val="32"/>
          <w:szCs w:val="32"/>
        </w:rPr>
        <w:t>3</w:t>
      </w:r>
      <w:r>
        <w:rPr>
          <w:rStyle w:val="20"/>
          <w:rFonts w:hint="eastAsia" w:eastAsia="仿宋_GB2312"/>
          <w:b w:val="0"/>
          <w:color w:val="000000"/>
          <w:sz w:val="32"/>
          <w:szCs w:val="32"/>
        </w:rPr>
        <w:t>.</w:t>
      </w:r>
      <w:r>
        <w:rPr>
          <w:rStyle w:val="20"/>
          <w:rFonts w:eastAsia="仿宋_GB2312"/>
          <w:b w:val="0"/>
          <w:color w:val="000000"/>
          <w:sz w:val="32"/>
          <w:szCs w:val="32"/>
        </w:rPr>
        <w:t>社会保障和就业（类）行政事业单位养老支出（款）</w:t>
      </w:r>
    </w:p>
    <w:p>
      <w:pPr>
        <w:spacing w:line="600" w:lineRule="exact"/>
        <w:ind w:firstLine="640" w:firstLineChars="200"/>
        <w:rPr>
          <w:rStyle w:val="20"/>
          <w:rFonts w:eastAsia="仿宋_GB2312"/>
          <w:b w:val="0"/>
          <w:color w:val="000000"/>
          <w:sz w:val="32"/>
          <w:szCs w:val="32"/>
        </w:rPr>
      </w:pPr>
      <w:r>
        <w:rPr>
          <w:rStyle w:val="20"/>
          <w:rFonts w:hint="eastAsia" w:eastAsia="仿宋_GB2312"/>
          <w:b w:val="0"/>
          <w:color w:val="000000"/>
          <w:sz w:val="32"/>
          <w:szCs w:val="32"/>
        </w:rPr>
        <w:t>(1)</w:t>
      </w:r>
      <w:r>
        <w:rPr>
          <w:rStyle w:val="20"/>
          <w:rFonts w:eastAsia="仿宋_GB2312"/>
          <w:b w:val="0"/>
          <w:color w:val="000000"/>
          <w:sz w:val="32"/>
          <w:szCs w:val="32"/>
        </w:rPr>
        <w:t>行政单位离退休: 指行政单位（包括实行公务员管理的事业单位）开支的离退休支出。</w:t>
      </w:r>
    </w:p>
    <w:p>
      <w:pPr>
        <w:spacing w:line="600" w:lineRule="exact"/>
        <w:ind w:firstLine="640" w:firstLineChars="200"/>
        <w:rPr>
          <w:rStyle w:val="20"/>
          <w:rFonts w:eastAsia="仿宋_GB2312"/>
          <w:b w:val="0"/>
          <w:color w:val="000000"/>
          <w:sz w:val="32"/>
          <w:szCs w:val="32"/>
        </w:rPr>
      </w:pPr>
      <w:r>
        <w:rPr>
          <w:rFonts w:hint="eastAsia" w:eastAsia="仿宋_GB2312"/>
          <w:color w:val="000000"/>
          <w:sz w:val="32"/>
          <w:szCs w:val="32"/>
        </w:rPr>
        <w:t>(2)</w:t>
      </w:r>
      <w:r>
        <w:rPr>
          <w:rFonts w:eastAsia="仿宋_GB2312"/>
          <w:color w:val="000000"/>
          <w:sz w:val="32"/>
          <w:szCs w:val="32"/>
        </w:rPr>
        <w:t>机关事业单位基本养老保险缴费支出：</w:t>
      </w:r>
      <w:r>
        <w:rPr>
          <w:rStyle w:val="20"/>
          <w:rFonts w:eastAsia="仿宋_GB2312"/>
          <w:b w:val="0"/>
          <w:color w:val="000000"/>
          <w:sz w:val="32"/>
          <w:szCs w:val="32"/>
        </w:rPr>
        <w:t>指机关事业单位实施养老保险制度有单位缴纳的基本养老保险费支出。</w:t>
      </w:r>
    </w:p>
    <w:p>
      <w:pPr>
        <w:spacing w:line="560" w:lineRule="exact"/>
        <w:ind w:firstLine="640" w:firstLineChars="200"/>
        <w:rPr>
          <w:rFonts w:eastAsia="仿宋_GB2312"/>
        </w:rPr>
      </w:pPr>
      <w:r>
        <w:rPr>
          <w:rStyle w:val="20"/>
          <w:rFonts w:eastAsia="仿宋_GB2312"/>
          <w:b w:val="0"/>
          <w:color w:val="000000"/>
          <w:sz w:val="32"/>
          <w:szCs w:val="32"/>
        </w:rPr>
        <w:t xml:space="preserve"> 4.</w:t>
      </w:r>
      <w:r>
        <w:rPr>
          <w:rFonts w:eastAsia="仿宋_GB2312"/>
          <w:sz w:val="32"/>
          <w:szCs w:val="32"/>
        </w:rPr>
        <w:t>社会保障和就业（类）抚恤（款）伤残抚恤（项）：指反映按规定用于伤残人员的抚恤金和按规定开支的各种伤残补助费。</w:t>
      </w:r>
    </w:p>
    <w:p>
      <w:pPr>
        <w:spacing w:line="600" w:lineRule="exact"/>
        <w:ind w:firstLine="640" w:firstLineChars="200"/>
        <w:rPr>
          <w:rFonts w:eastAsia="仿宋_GB2312"/>
          <w:color w:val="000000"/>
          <w:sz w:val="32"/>
          <w:szCs w:val="32"/>
        </w:rPr>
      </w:pPr>
      <w:r>
        <w:rPr>
          <w:rStyle w:val="20"/>
          <w:rFonts w:eastAsia="仿宋_GB2312"/>
          <w:b w:val="0"/>
          <w:color w:val="000000"/>
          <w:sz w:val="32"/>
          <w:szCs w:val="32"/>
        </w:rPr>
        <w:t>5</w:t>
      </w:r>
      <w:r>
        <w:rPr>
          <w:rStyle w:val="20"/>
          <w:rFonts w:hint="eastAsia" w:eastAsia="仿宋_GB2312"/>
          <w:b w:val="0"/>
          <w:color w:val="000000"/>
          <w:sz w:val="32"/>
          <w:szCs w:val="32"/>
        </w:rPr>
        <w:t>.</w:t>
      </w:r>
      <w:r>
        <w:rPr>
          <w:rStyle w:val="20"/>
          <w:rFonts w:eastAsia="仿宋_GB2312"/>
          <w:b w:val="0"/>
          <w:color w:val="000000"/>
          <w:sz w:val="32"/>
          <w:szCs w:val="32"/>
        </w:rPr>
        <w:t>住房保障支出（类）住房改革支出（款）住房公积金（项）：指行政事业单位按人力资源和社会保障部、财政部规定的基本工资和津贴补贴以及规定比例为职工缴纳的住房公积金。</w:t>
      </w:r>
    </w:p>
    <w:p>
      <w:pPr>
        <w:spacing w:line="560" w:lineRule="exact"/>
        <w:ind w:firstLine="640" w:firstLineChars="200"/>
        <w:rPr>
          <w:rFonts w:eastAsia="仿宋_GB2312"/>
          <w:bCs/>
          <w:sz w:val="32"/>
          <w:szCs w:val="32"/>
        </w:rPr>
      </w:pPr>
      <w:r>
        <w:rPr>
          <w:rFonts w:eastAsia="仿宋_GB2312"/>
          <w:bCs/>
          <w:sz w:val="32"/>
          <w:szCs w:val="32"/>
        </w:rPr>
        <w:t>6</w:t>
      </w:r>
      <w:r>
        <w:rPr>
          <w:rFonts w:hint="eastAsia" w:eastAsia="仿宋_GB2312"/>
          <w:bCs/>
          <w:sz w:val="32"/>
          <w:szCs w:val="32"/>
        </w:rPr>
        <w:t>.</w:t>
      </w:r>
      <w:r>
        <w:rPr>
          <w:rFonts w:eastAsia="仿宋_GB2312"/>
          <w:bCs/>
          <w:sz w:val="32"/>
          <w:szCs w:val="32"/>
        </w:rPr>
        <w:t>卫生健康支出（类）行政事业单位医疗（款）</w:t>
      </w:r>
    </w:p>
    <w:p>
      <w:pPr>
        <w:spacing w:line="560" w:lineRule="exact"/>
        <w:ind w:firstLine="640" w:firstLineChars="200"/>
        <w:rPr>
          <w:rFonts w:eastAsia="仿宋_GB2312"/>
          <w:bCs/>
          <w:sz w:val="32"/>
          <w:szCs w:val="32"/>
        </w:rPr>
      </w:pPr>
      <w:r>
        <w:rPr>
          <w:rFonts w:hint="eastAsia" w:eastAsia="仿宋_GB2312"/>
          <w:bCs/>
          <w:sz w:val="32"/>
          <w:szCs w:val="32"/>
        </w:rPr>
        <w:sym w:font="Wingdings" w:char="F081"/>
      </w:r>
      <w:r>
        <w:rPr>
          <w:rFonts w:hint="eastAsia" w:eastAsia="仿宋_GB2312"/>
          <w:bCs/>
          <w:sz w:val="32"/>
          <w:szCs w:val="32"/>
        </w:rPr>
        <w:t>1)</w:t>
      </w:r>
      <w:r>
        <w:rPr>
          <w:rFonts w:eastAsia="仿宋_GB2312"/>
          <w:bCs/>
          <w:sz w:val="32"/>
          <w:szCs w:val="32"/>
        </w:rPr>
        <w:t>行政单位医疗：指财政部门安排的行政单位（包括实行公务员管理的事业单位，下同）基本医疗保险缴费经费，未参加医疗保险的行政单位的公费医疗经费，按国家规定享受离休人员、红军老战士待遇人员的医疗经费。</w:t>
      </w:r>
    </w:p>
    <w:p>
      <w:pPr>
        <w:spacing w:line="560" w:lineRule="exact"/>
        <w:ind w:firstLine="640" w:firstLineChars="200"/>
        <w:rPr>
          <w:rFonts w:eastAsia="仿宋_GB2312"/>
          <w:bCs/>
          <w:sz w:val="32"/>
          <w:szCs w:val="32"/>
        </w:rPr>
      </w:pPr>
      <w:r>
        <w:rPr>
          <w:rFonts w:hint="eastAsia" w:eastAsia="仿宋_GB2312"/>
          <w:bCs/>
          <w:sz w:val="32"/>
          <w:szCs w:val="32"/>
        </w:rPr>
        <w:sym w:font="Wingdings" w:char="F082"/>
      </w:r>
      <w:r>
        <w:rPr>
          <w:rFonts w:hint="eastAsia" w:eastAsia="仿宋_GB2312"/>
          <w:bCs/>
          <w:sz w:val="32"/>
          <w:szCs w:val="32"/>
        </w:rPr>
        <w:t>2)</w:t>
      </w:r>
      <w:r>
        <w:rPr>
          <w:rFonts w:eastAsia="仿宋_GB2312"/>
          <w:bCs/>
          <w:sz w:val="32"/>
          <w:szCs w:val="32"/>
        </w:rPr>
        <w:t>事业单位医疗：指财政部门安排的事业单位基本医疗保险缴费经费，未参加医疗保险的事业单位的公费医疗经费，按国家规定享受离休人员医疗经费。</w:t>
      </w:r>
    </w:p>
    <w:p>
      <w:pPr>
        <w:spacing w:line="560" w:lineRule="exact"/>
        <w:ind w:firstLine="640" w:firstLineChars="200"/>
        <w:rPr>
          <w:rFonts w:eastAsia="仿宋_GB2312"/>
          <w:bCs/>
          <w:sz w:val="32"/>
          <w:szCs w:val="32"/>
        </w:rPr>
      </w:pPr>
      <w:r>
        <w:rPr>
          <w:rFonts w:hint="eastAsia" w:eastAsia="仿宋_GB2312"/>
          <w:bCs/>
          <w:sz w:val="32"/>
          <w:szCs w:val="32"/>
        </w:rPr>
        <w:sym w:font="Wingdings" w:char="F083"/>
      </w:r>
      <w:r>
        <w:rPr>
          <w:rFonts w:hint="eastAsia" w:eastAsia="仿宋_GB2312"/>
          <w:bCs/>
          <w:sz w:val="32"/>
          <w:szCs w:val="32"/>
        </w:rPr>
        <w:t>3)</w:t>
      </w:r>
      <w:r>
        <w:rPr>
          <w:rFonts w:eastAsia="仿宋_GB2312"/>
          <w:bCs/>
          <w:sz w:val="32"/>
          <w:szCs w:val="32"/>
        </w:rPr>
        <w:t>公务员医疗补助：指财政部门安排的公务员医疗补助经费。</w:t>
      </w:r>
    </w:p>
    <w:p>
      <w:pPr>
        <w:spacing w:line="560" w:lineRule="exact"/>
        <w:ind w:firstLine="640" w:firstLineChars="200"/>
        <w:rPr>
          <w:rFonts w:eastAsia="仿宋_GB2312"/>
          <w:bCs/>
          <w:sz w:val="32"/>
          <w:szCs w:val="32"/>
        </w:rPr>
      </w:pPr>
      <w:r>
        <w:rPr>
          <w:rFonts w:hint="eastAsia" w:eastAsia="仿宋_GB2312"/>
          <w:bCs/>
          <w:sz w:val="32"/>
          <w:szCs w:val="32"/>
        </w:rPr>
        <w:sym w:font="Wingdings" w:char="0084"/>
      </w:r>
      <w:r>
        <w:rPr>
          <w:rFonts w:hint="eastAsia" w:eastAsia="仿宋_GB2312"/>
          <w:bCs/>
          <w:sz w:val="32"/>
          <w:szCs w:val="32"/>
        </w:rPr>
        <w:t>4)</w:t>
      </w:r>
      <w:r>
        <w:rPr>
          <w:rFonts w:eastAsia="仿宋_GB2312"/>
          <w:bCs/>
          <w:sz w:val="32"/>
          <w:szCs w:val="32"/>
        </w:rPr>
        <w:t>其他行政事业单位医疗支出：指除上述项目以外的其他用于行政事业单位医疗方面的支出。</w:t>
      </w:r>
    </w:p>
    <w:p>
      <w:pPr>
        <w:spacing w:line="560" w:lineRule="exact"/>
        <w:ind w:firstLine="640" w:firstLineChars="200"/>
        <w:rPr>
          <w:rFonts w:eastAsia="仿宋_GB2312"/>
          <w:bCs/>
          <w:sz w:val="32"/>
          <w:szCs w:val="32"/>
        </w:rPr>
      </w:pPr>
      <w:r>
        <w:rPr>
          <w:rFonts w:eastAsia="仿宋_GB2312"/>
          <w:color w:val="000000"/>
          <w:kern w:val="0"/>
          <w:sz w:val="32"/>
          <w:szCs w:val="32"/>
        </w:rPr>
        <w:t>7</w:t>
      </w:r>
      <w:r>
        <w:rPr>
          <w:rFonts w:hint="eastAsia" w:eastAsia="仿宋_GB2312"/>
          <w:color w:val="000000"/>
          <w:kern w:val="0"/>
          <w:sz w:val="32"/>
          <w:szCs w:val="32"/>
        </w:rPr>
        <w:t>.</w:t>
      </w:r>
      <w:r>
        <w:rPr>
          <w:rFonts w:eastAsia="仿宋_GB2312"/>
          <w:color w:val="000000"/>
          <w:kern w:val="0"/>
          <w:sz w:val="32"/>
          <w:szCs w:val="32"/>
        </w:rPr>
        <w:t>公共安全支出（类）公安（款）行政运行（项）：指</w:t>
      </w:r>
      <w:r>
        <w:rPr>
          <w:rFonts w:eastAsia="仿宋_GB2312"/>
          <w:bCs/>
          <w:sz w:val="32"/>
          <w:szCs w:val="32"/>
        </w:rPr>
        <w:t>行政单位（包括实行公务员管理的事业单位）的基本支出。</w:t>
      </w:r>
    </w:p>
    <w:p>
      <w:pPr>
        <w:pStyle w:val="7"/>
        <w:spacing w:before="93"/>
        <w:ind w:firstLine="640" w:firstLineChars="200"/>
        <w:rPr>
          <w:rFonts w:ascii="Times New Roman"/>
          <w:sz w:val="32"/>
          <w:szCs w:val="32"/>
        </w:rPr>
      </w:pPr>
      <w:r>
        <w:rPr>
          <w:rFonts w:ascii="Times New Roman"/>
          <w:sz w:val="32"/>
          <w:szCs w:val="32"/>
        </w:rPr>
        <w:t>8</w:t>
      </w:r>
      <w:r>
        <w:rPr>
          <w:rFonts w:hint="eastAsia" w:ascii="Times New Roman"/>
          <w:sz w:val="32"/>
          <w:szCs w:val="32"/>
        </w:rPr>
        <w:t>.</w:t>
      </w:r>
      <w:r>
        <w:rPr>
          <w:rFonts w:ascii="Times New Roman"/>
          <w:color w:val="000000"/>
          <w:sz w:val="32"/>
          <w:szCs w:val="32"/>
        </w:rPr>
        <w:t>公共安全支出（类）公安（款）其他公安支出（项）：指除上述项目以外其他用于公安方面的支出。</w:t>
      </w:r>
    </w:p>
    <w:p>
      <w:pPr>
        <w:ind w:firstLine="640" w:firstLineChars="200"/>
        <w:rPr>
          <w:rFonts w:eastAsia="仿宋_GB2312"/>
          <w:color w:val="000000"/>
          <w:sz w:val="32"/>
          <w:szCs w:val="32"/>
        </w:rPr>
      </w:pPr>
      <w:r>
        <w:rPr>
          <w:rFonts w:eastAsia="仿宋_GB2312"/>
          <w:color w:val="000000"/>
          <w:sz w:val="32"/>
          <w:szCs w:val="32"/>
        </w:rPr>
        <w:t>9</w:t>
      </w:r>
      <w:r>
        <w:rPr>
          <w:rFonts w:hint="eastAsia" w:eastAsia="仿宋_GB2312"/>
          <w:color w:val="000000"/>
          <w:sz w:val="32"/>
          <w:szCs w:val="32"/>
        </w:rPr>
        <w:t>.</w:t>
      </w:r>
      <w:r>
        <w:rPr>
          <w:rFonts w:eastAsia="仿宋_GB2312"/>
          <w:color w:val="000000"/>
          <w:sz w:val="32"/>
          <w:szCs w:val="32"/>
        </w:rPr>
        <w:t>基本支出：指为保障机构正常运转、完成日常工作任务而发生的人员支出和公用支出。</w:t>
      </w:r>
    </w:p>
    <w:p>
      <w:pPr>
        <w:ind w:firstLine="640" w:firstLineChars="200"/>
        <w:rPr>
          <w:rFonts w:eastAsia="仿宋_GB2312"/>
          <w:color w:val="000000"/>
          <w:sz w:val="32"/>
          <w:szCs w:val="32"/>
        </w:rPr>
      </w:pPr>
      <w:r>
        <w:rPr>
          <w:rFonts w:eastAsia="仿宋_GB2312"/>
          <w:color w:val="000000"/>
          <w:sz w:val="32"/>
          <w:szCs w:val="32"/>
        </w:rPr>
        <w:t>10</w:t>
      </w:r>
      <w:r>
        <w:rPr>
          <w:rFonts w:hint="eastAsia" w:eastAsia="仿宋_GB2312"/>
          <w:color w:val="000000"/>
          <w:sz w:val="32"/>
          <w:szCs w:val="32"/>
        </w:rPr>
        <w:t>.</w:t>
      </w:r>
      <w:r>
        <w:rPr>
          <w:rFonts w:eastAsia="仿宋_GB2312"/>
          <w:color w:val="000000"/>
          <w:sz w:val="32"/>
          <w:szCs w:val="32"/>
        </w:rPr>
        <w:t>项目支出：指在基本支出之外为完成特定行政任务和事业发展目标所发生的支出。</w:t>
      </w:r>
    </w:p>
    <w:p>
      <w:pPr>
        <w:pStyle w:val="31"/>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按规定保留的公务用车燃料费、维修费、过路过桥费、保险费、安全奖励费用等支出；公务接待费反映单位按规定开支的各类公务接待（含外宾接待）支出。</w:t>
      </w:r>
    </w:p>
    <w:p>
      <w:pPr>
        <w:pStyle w:val="31"/>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outlineLvl w:val="0"/>
        <w:rPr>
          <w:rFonts w:eastAsia="黑体"/>
          <w:sz w:val="44"/>
          <w:szCs w:val="44"/>
        </w:rPr>
      </w:pPr>
    </w:p>
    <w:bookmarkEnd w:id="53"/>
    <w:p>
      <w:pPr>
        <w:numPr>
          <w:ilvl w:val="0"/>
          <w:numId w:val="1"/>
        </w:numPr>
        <w:spacing w:line="600" w:lineRule="exact"/>
        <w:ind w:firstLine="572" w:firstLineChars="150"/>
        <w:jc w:val="center"/>
        <w:outlineLvl w:val="0"/>
        <w:rPr>
          <w:rFonts w:eastAsia="方正小标宋_GBK"/>
          <w:b/>
          <w:sz w:val="38"/>
          <w:szCs w:val="38"/>
        </w:rPr>
      </w:pPr>
      <w:r>
        <w:rPr>
          <w:rFonts w:hint="eastAsia" w:eastAsia="方正小标宋_GBK"/>
          <w:b/>
          <w:sz w:val="38"/>
          <w:szCs w:val="38"/>
        </w:rPr>
        <w:t>附件</w:t>
      </w:r>
    </w:p>
    <w:p>
      <w:pPr>
        <w:pStyle w:val="2"/>
        <w:ind w:left="315" w:leftChars="150" w:firstLine="0" w:firstLineChars="0"/>
        <w:rPr>
          <w:rFonts w:eastAsia="方正小标宋_GBK"/>
          <w:b/>
          <w:sz w:val="38"/>
          <w:szCs w:val="38"/>
        </w:rPr>
      </w:pPr>
      <w:r>
        <w:rPr>
          <w:rFonts w:hint="eastAsia"/>
        </w:rPr>
        <w:t>附件1</w:t>
      </w:r>
    </w:p>
    <w:p>
      <w:pPr>
        <w:spacing w:line="0" w:lineRule="atLeast"/>
        <w:jc w:val="center"/>
        <w:outlineLvl w:val="0"/>
        <w:rPr>
          <w:rFonts w:ascii="方正小标宋_GBK" w:hAnsi="方正小标宋_GBK" w:eastAsia="方正小标宋_GBK" w:cs="方正小标宋_GBK"/>
          <w:b/>
          <w:sz w:val="38"/>
          <w:szCs w:val="38"/>
        </w:rPr>
      </w:pPr>
      <w:r>
        <w:rPr>
          <w:rFonts w:hint="eastAsia" w:eastAsia="方正小标宋_GBK"/>
          <w:b/>
          <w:sz w:val="38"/>
          <w:szCs w:val="38"/>
        </w:rPr>
        <w:t xml:space="preserve">  </w:t>
      </w:r>
      <w:r>
        <w:rPr>
          <w:rFonts w:hint="eastAsia" w:ascii="方正小标宋_GBK" w:hAnsi="方正小标宋_GBK" w:eastAsia="方正小标宋_GBK" w:cs="方正小标宋_GBK"/>
          <w:b/>
          <w:sz w:val="38"/>
          <w:szCs w:val="38"/>
        </w:rPr>
        <w:t>中共盐边县委政法委员会</w:t>
      </w:r>
    </w:p>
    <w:p>
      <w:pPr>
        <w:spacing w:line="0" w:lineRule="atLeast"/>
        <w:jc w:val="center"/>
        <w:outlineLvl w:val="0"/>
        <w:rPr>
          <w:rFonts w:eastAsia="方正小标宋_GBK"/>
          <w:b/>
          <w:sz w:val="38"/>
          <w:szCs w:val="38"/>
        </w:rPr>
      </w:pPr>
      <w:r>
        <w:rPr>
          <w:rFonts w:hint="eastAsia" w:ascii="方正小标宋_GBK" w:hAnsi="方正小标宋_GBK" w:eastAsia="方正小标宋_GBK" w:cs="方正小标宋_GBK"/>
          <w:b/>
          <w:sz w:val="38"/>
          <w:szCs w:val="38"/>
        </w:rPr>
        <w:t xml:space="preserve">      2022年部门整体支出绩效评价报告</w:t>
      </w:r>
    </w:p>
    <w:p>
      <w:pPr>
        <w:widowControl/>
        <w:adjustRightInd w:val="0"/>
        <w:snapToGrid w:val="0"/>
        <w:spacing w:line="580" w:lineRule="exact"/>
        <w:ind w:firstLine="640"/>
        <w:jc w:val="left"/>
        <w:rPr>
          <w:rFonts w:eastAsia="方正仿宋_GBK"/>
          <w:color w:val="000000"/>
          <w:sz w:val="32"/>
          <w:szCs w:val="32"/>
        </w:rPr>
      </w:pPr>
    </w:p>
    <w:p>
      <w:pPr>
        <w:ind w:firstLine="660" w:firstLineChars="200"/>
        <w:jc w:val="left"/>
        <w:rPr>
          <w:rFonts w:eastAsia="方正黑体_GBK"/>
          <w:sz w:val="33"/>
          <w:szCs w:val="33"/>
        </w:rPr>
      </w:pPr>
      <w:r>
        <w:rPr>
          <w:rFonts w:eastAsia="方正仿宋_GBK"/>
          <w:sz w:val="33"/>
          <w:szCs w:val="33"/>
        </w:rPr>
        <w:t xml:space="preserve"> 为牢固树立预算绩效理念，进一步规范财政资金管理，提高资金使用效益及部门预算整体绩效目标管理水平，按照《盐边县财政局关于开展2022年度部门预算整体及项目支出绩效自评工作的通知》（盐边财绩〔2022〕3号）要求，结合我局的实际情况，通过自查收入支出情况、账表一致情况，对相关资料进行收集整理、分析汇总，现将县政法委2022年预算整体绩效评价结果报告如下。</w:t>
      </w:r>
    </w:p>
    <w:p>
      <w:pPr>
        <w:ind w:firstLine="660" w:firstLineChars="200"/>
        <w:rPr>
          <w:rFonts w:eastAsia="方正楷体_GBK"/>
          <w:b/>
          <w:bCs/>
          <w:sz w:val="33"/>
          <w:szCs w:val="33"/>
        </w:rPr>
      </w:pPr>
      <w:r>
        <w:rPr>
          <w:rFonts w:eastAsia="方正黑体_GBK"/>
          <w:sz w:val="33"/>
          <w:szCs w:val="33"/>
        </w:rPr>
        <w:t>一、部门概况</w:t>
      </w:r>
    </w:p>
    <w:p>
      <w:pPr>
        <w:ind w:firstLine="663" w:firstLineChars="200"/>
        <w:rPr>
          <w:rFonts w:eastAsia="仿宋_GB2312"/>
          <w:b/>
          <w:bCs/>
          <w:color w:val="000000"/>
          <w:kern w:val="0"/>
          <w:sz w:val="32"/>
          <w:szCs w:val="32"/>
          <w:shd w:val="clear" w:color="auto" w:fill="FFFFFF"/>
          <w:lang w:val="zh-CN"/>
        </w:rPr>
      </w:pPr>
      <w:r>
        <w:rPr>
          <w:rFonts w:hAnsi="方正楷体_GBK" w:eastAsia="方正楷体_GBK"/>
          <w:b/>
          <w:bCs/>
          <w:sz w:val="33"/>
          <w:szCs w:val="33"/>
          <w:lang w:val="zh-CN"/>
        </w:rPr>
        <w:t>（一）机构组成</w:t>
      </w:r>
    </w:p>
    <w:p>
      <w:pPr>
        <w:spacing w:line="600" w:lineRule="exact"/>
        <w:ind w:firstLine="660" w:firstLineChars="200"/>
        <w:rPr>
          <w:rFonts w:eastAsia="方正仿宋_GBK"/>
          <w:sz w:val="33"/>
          <w:szCs w:val="33"/>
          <w:lang w:val="zh-CN"/>
        </w:rPr>
      </w:pPr>
      <w:r>
        <w:rPr>
          <w:rFonts w:eastAsia="方正仿宋_GBK"/>
          <w:sz w:val="33"/>
          <w:szCs w:val="33"/>
          <w:lang w:val="zh-CN"/>
        </w:rPr>
        <w:t>中共盐边县委政法委员会下属非独立核算单位</w:t>
      </w:r>
      <w:r>
        <w:rPr>
          <w:rFonts w:eastAsia="方正仿宋_GBK"/>
          <w:sz w:val="33"/>
          <w:szCs w:val="33"/>
        </w:rPr>
        <w:t>1</w:t>
      </w:r>
      <w:r>
        <w:rPr>
          <w:rFonts w:eastAsia="方正仿宋_GBK"/>
          <w:sz w:val="33"/>
          <w:szCs w:val="33"/>
          <w:lang w:val="zh-CN"/>
        </w:rPr>
        <w:t>个，其中其他事业单位</w:t>
      </w:r>
      <w:r>
        <w:rPr>
          <w:rFonts w:eastAsia="方正仿宋_GBK"/>
          <w:sz w:val="33"/>
          <w:szCs w:val="33"/>
        </w:rPr>
        <w:t>1</w:t>
      </w:r>
      <w:r>
        <w:rPr>
          <w:rFonts w:eastAsia="方正仿宋_GBK"/>
          <w:sz w:val="33"/>
          <w:szCs w:val="33"/>
          <w:lang w:val="zh-CN"/>
        </w:rPr>
        <w:t>个。主要包括：盐边县社会治安综合治理中心。</w:t>
      </w:r>
    </w:p>
    <w:p>
      <w:pPr>
        <w:ind w:firstLine="663" w:firstLineChars="200"/>
        <w:rPr>
          <w:rFonts w:eastAsia="方正楷体_GBK"/>
          <w:b/>
          <w:bCs/>
          <w:sz w:val="33"/>
          <w:szCs w:val="33"/>
          <w:lang w:val="zh-CN"/>
        </w:rPr>
      </w:pPr>
      <w:r>
        <w:rPr>
          <w:rFonts w:hAnsi="方正楷体_GBK" w:eastAsia="方正楷体_GBK"/>
          <w:b/>
          <w:bCs/>
          <w:sz w:val="33"/>
          <w:szCs w:val="33"/>
          <w:lang w:val="zh-CN"/>
        </w:rPr>
        <w:t>（二）机构职能</w:t>
      </w:r>
    </w:p>
    <w:p>
      <w:pPr>
        <w:spacing w:line="600" w:lineRule="exact"/>
        <w:ind w:firstLine="660" w:firstLineChars="200"/>
        <w:rPr>
          <w:rFonts w:eastAsia="方正仿宋_GBK"/>
          <w:sz w:val="33"/>
          <w:szCs w:val="33"/>
          <w:lang w:val="zh-CN"/>
        </w:rPr>
      </w:pPr>
      <w:r>
        <w:rPr>
          <w:rFonts w:eastAsia="方正仿宋_GBK"/>
          <w:sz w:val="33"/>
          <w:szCs w:val="33"/>
          <w:lang w:val="zh-CN"/>
        </w:rPr>
        <w:t>1.根据党中央的路线、方针、政策和县委的部署，统一政法各部门的思想和行动，确保政法部门的执法活动坚持正确的政治方向。</w:t>
      </w:r>
    </w:p>
    <w:p>
      <w:pPr>
        <w:spacing w:line="600" w:lineRule="exact"/>
        <w:ind w:firstLine="660" w:firstLineChars="200"/>
        <w:rPr>
          <w:rFonts w:eastAsia="方正仿宋_GBK"/>
          <w:sz w:val="33"/>
          <w:szCs w:val="33"/>
          <w:lang w:val="zh-CN"/>
        </w:rPr>
      </w:pPr>
      <w:r>
        <w:rPr>
          <w:rFonts w:eastAsia="方正仿宋_GBK"/>
          <w:sz w:val="33"/>
          <w:szCs w:val="33"/>
          <w:lang w:val="zh-CN"/>
        </w:rPr>
        <w:t>2.研究制定贯彻落实党中央、省委、市委和县委关于政法工作的方针、政策和维护社会稳定工作的指示措施，及时向县委提出意见和建议，对一定时期内的政法工作、社会治安综合治理工作、社会稳定工作作出全局性的部署，并督促检查，抓好贯彻落实。</w:t>
      </w:r>
    </w:p>
    <w:p>
      <w:pPr>
        <w:spacing w:line="600" w:lineRule="exact"/>
        <w:ind w:firstLine="640"/>
        <w:rPr>
          <w:rFonts w:eastAsia="方正仿宋_GBK"/>
          <w:sz w:val="33"/>
          <w:szCs w:val="33"/>
          <w:lang w:val="zh-CN"/>
        </w:rPr>
      </w:pPr>
      <w:r>
        <w:rPr>
          <w:rFonts w:eastAsia="方正仿宋_GBK"/>
          <w:sz w:val="33"/>
          <w:szCs w:val="33"/>
          <w:lang w:val="zh-CN"/>
        </w:rPr>
        <w:t>3.加强对政法工作的督查。指导全县政法系统网络安全和智能化建设工作。</w:t>
      </w:r>
    </w:p>
    <w:p>
      <w:pPr>
        <w:spacing w:line="600" w:lineRule="exact"/>
        <w:ind w:firstLine="640"/>
        <w:rPr>
          <w:rFonts w:eastAsia="方正仿宋_GBK"/>
          <w:sz w:val="33"/>
          <w:szCs w:val="33"/>
          <w:lang w:val="zh-CN"/>
        </w:rPr>
      </w:pPr>
      <w:r>
        <w:rPr>
          <w:rFonts w:eastAsia="方正仿宋_GBK"/>
          <w:sz w:val="33"/>
          <w:szCs w:val="33"/>
          <w:lang w:val="zh-CN"/>
        </w:rPr>
        <w:t>4.组织推动政法工作的调查研究，推动政法工作改革。</w:t>
      </w:r>
    </w:p>
    <w:p>
      <w:pPr>
        <w:spacing w:line="600" w:lineRule="exact"/>
        <w:ind w:firstLine="640"/>
        <w:rPr>
          <w:rFonts w:eastAsia="方正仿宋_GBK"/>
          <w:sz w:val="33"/>
          <w:szCs w:val="33"/>
          <w:lang w:val="zh-CN"/>
        </w:rPr>
      </w:pPr>
      <w:r>
        <w:rPr>
          <w:rFonts w:eastAsia="方正仿宋_GBK"/>
          <w:sz w:val="33"/>
          <w:szCs w:val="33"/>
          <w:lang w:val="zh-CN"/>
        </w:rPr>
        <w:t>5.监督检查政法部门执行宪法、法律、法规和公正司法情况，研究制定严格执法、维护司法公正的具体措施。监督和支持政法各部门依法行使职权，指导和协调政法部门密切配合，研究和协调重大、疑难案件，推进严格执法、公正司法。</w:t>
      </w:r>
    </w:p>
    <w:p>
      <w:pPr>
        <w:spacing w:line="600" w:lineRule="exact"/>
        <w:ind w:firstLine="640"/>
        <w:rPr>
          <w:rFonts w:eastAsia="方正仿宋_GBK"/>
          <w:sz w:val="33"/>
          <w:szCs w:val="33"/>
          <w:lang w:val="zh-CN"/>
        </w:rPr>
      </w:pPr>
      <w:r>
        <w:rPr>
          <w:rFonts w:eastAsia="方正仿宋_GBK"/>
          <w:sz w:val="33"/>
          <w:szCs w:val="33"/>
          <w:lang w:val="zh-CN"/>
        </w:rPr>
        <w:t>6.指导推动政法系统党的建设和政法队伍建设，研究加强全县政法队伍建设的措施，协助县委、县委组织部考察、管理政法部门领导班子和领导干部，协助县委、县纪委监察机关做好监督检查和审查调查工作。代管盐边县法学会。</w:t>
      </w:r>
    </w:p>
    <w:p>
      <w:pPr>
        <w:spacing w:line="600" w:lineRule="exact"/>
        <w:ind w:firstLine="640"/>
        <w:rPr>
          <w:rFonts w:eastAsia="方正仿宋_GBK"/>
          <w:sz w:val="33"/>
          <w:szCs w:val="33"/>
          <w:lang w:val="zh-CN"/>
        </w:rPr>
      </w:pPr>
      <w:r>
        <w:rPr>
          <w:rFonts w:eastAsia="方正仿宋_GBK"/>
          <w:sz w:val="33"/>
          <w:szCs w:val="33"/>
          <w:lang w:val="zh-CN"/>
        </w:rPr>
        <w:t>7.承担全县社会治安综合治理工作的调查分析、组织协调和监督检查，协调推动各项综治工作措施的落实。</w:t>
      </w:r>
    </w:p>
    <w:p>
      <w:pPr>
        <w:spacing w:line="600" w:lineRule="exact"/>
        <w:ind w:firstLine="640"/>
        <w:rPr>
          <w:rFonts w:eastAsia="方正仿宋_GBK"/>
          <w:sz w:val="33"/>
          <w:szCs w:val="33"/>
          <w:lang w:val="zh-CN"/>
        </w:rPr>
      </w:pPr>
      <w:r>
        <w:rPr>
          <w:rFonts w:eastAsia="方正仿宋_GBK"/>
          <w:sz w:val="33"/>
          <w:szCs w:val="33"/>
          <w:lang w:val="zh-CN"/>
        </w:rPr>
        <w:t>8.指导全县维护社会稳定工作。协调推动相关部门做好反邪教工作。</w:t>
      </w:r>
    </w:p>
    <w:p>
      <w:pPr>
        <w:spacing w:line="600" w:lineRule="exact"/>
        <w:ind w:firstLine="640"/>
        <w:rPr>
          <w:rFonts w:eastAsia="方正仿宋_GBK"/>
          <w:sz w:val="33"/>
          <w:szCs w:val="33"/>
          <w:lang w:val="zh-CN"/>
        </w:rPr>
      </w:pPr>
      <w:r>
        <w:rPr>
          <w:rFonts w:eastAsia="方正仿宋_GBK"/>
          <w:sz w:val="33"/>
          <w:szCs w:val="33"/>
          <w:lang w:val="zh-CN"/>
        </w:rPr>
        <w:t>9.完成县委政法委三定规定中明确的其他工作职责。</w:t>
      </w:r>
    </w:p>
    <w:p>
      <w:pPr>
        <w:spacing w:line="600" w:lineRule="exact"/>
        <w:ind w:firstLine="640"/>
        <w:rPr>
          <w:rFonts w:eastAsia="方正仿宋_GBK"/>
          <w:sz w:val="33"/>
          <w:szCs w:val="33"/>
          <w:lang w:val="zh-CN"/>
        </w:rPr>
      </w:pPr>
      <w:r>
        <w:rPr>
          <w:rFonts w:eastAsia="方正仿宋_GBK"/>
          <w:sz w:val="33"/>
          <w:szCs w:val="33"/>
          <w:lang w:val="zh-CN"/>
        </w:rPr>
        <w:t>10.完成县委交办的其他任务。</w:t>
      </w:r>
    </w:p>
    <w:p>
      <w:pPr>
        <w:ind w:firstLine="663" w:firstLineChars="200"/>
        <w:rPr>
          <w:rFonts w:eastAsia="方正楷体_GBK"/>
          <w:b/>
          <w:bCs/>
          <w:sz w:val="33"/>
          <w:szCs w:val="33"/>
          <w:lang w:val="zh-CN"/>
        </w:rPr>
      </w:pPr>
      <w:r>
        <w:rPr>
          <w:rFonts w:eastAsia="方正楷体_GBK"/>
          <w:b/>
          <w:bCs/>
          <w:sz w:val="33"/>
          <w:szCs w:val="33"/>
          <w:lang w:val="zh-CN"/>
        </w:rPr>
        <w:t>（三）人员概况</w:t>
      </w:r>
    </w:p>
    <w:p>
      <w:pPr>
        <w:pStyle w:val="6"/>
        <w:ind w:firstLine="660" w:firstLineChars="200"/>
        <w:rPr>
          <w:rFonts w:eastAsia="仿宋_GB2312"/>
          <w:sz w:val="32"/>
          <w:szCs w:val="32"/>
          <w:lang w:val="zh-CN"/>
        </w:rPr>
      </w:pPr>
      <w:r>
        <w:rPr>
          <w:rFonts w:eastAsia="方正仿宋_GBK"/>
          <w:sz w:val="33"/>
          <w:szCs w:val="33"/>
          <w:lang w:val="zh-CN"/>
        </w:rPr>
        <w:t>2022年末在职人员</w:t>
      </w:r>
      <w:r>
        <w:rPr>
          <w:rFonts w:eastAsia="方正仿宋_GBK"/>
          <w:sz w:val="33"/>
          <w:szCs w:val="33"/>
        </w:rPr>
        <w:t>16</w:t>
      </w:r>
      <w:r>
        <w:rPr>
          <w:rFonts w:eastAsia="方正仿宋_GBK"/>
          <w:sz w:val="33"/>
          <w:szCs w:val="33"/>
          <w:lang w:val="zh-CN"/>
        </w:rPr>
        <w:t>人，其中行政在编人员</w:t>
      </w:r>
      <w:r>
        <w:rPr>
          <w:rFonts w:hint="eastAsia" w:eastAsia="方正仿宋_GBK"/>
          <w:sz w:val="33"/>
          <w:szCs w:val="33"/>
        </w:rPr>
        <w:t>9</w:t>
      </w:r>
      <w:r>
        <w:rPr>
          <w:rFonts w:eastAsia="方正仿宋_GBK"/>
          <w:sz w:val="33"/>
          <w:szCs w:val="33"/>
          <w:lang w:val="zh-CN"/>
        </w:rPr>
        <w:t>人，行政工勤人员</w:t>
      </w:r>
      <w:r>
        <w:rPr>
          <w:rFonts w:hint="eastAsia" w:eastAsia="方正仿宋_GBK"/>
          <w:sz w:val="33"/>
          <w:szCs w:val="33"/>
        </w:rPr>
        <w:t>2</w:t>
      </w:r>
      <w:r>
        <w:rPr>
          <w:rFonts w:eastAsia="方正仿宋_GBK"/>
          <w:sz w:val="33"/>
          <w:szCs w:val="33"/>
          <w:lang w:val="zh-CN"/>
        </w:rPr>
        <w:t>人，事业在编人员</w:t>
      </w:r>
      <w:r>
        <w:rPr>
          <w:rFonts w:eastAsia="方正仿宋_GBK"/>
          <w:sz w:val="33"/>
          <w:szCs w:val="33"/>
        </w:rPr>
        <w:t>5</w:t>
      </w:r>
      <w:r>
        <w:rPr>
          <w:rFonts w:eastAsia="方正仿宋_GBK"/>
          <w:sz w:val="33"/>
          <w:szCs w:val="33"/>
          <w:lang w:val="zh-CN"/>
        </w:rPr>
        <w:t>人，退休人员</w:t>
      </w:r>
      <w:r>
        <w:rPr>
          <w:rFonts w:eastAsia="方正仿宋_GBK"/>
          <w:sz w:val="33"/>
          <w:szCs w:val="33"/>
        </w:rPr>
        <w:t>2人。</w:t>
      </w:r>
    </w:p>
    <w:p>
      <w:pPr>
        <w:ind w:firstLine="630"/>
        <w:rPr>
          <w:rFonts w:eastAsia="方正楷体_GBK"/>
          <w:b/>
          <w:bCs/>
          <w:sz w:val="33"/>
          <w:szCs w:val="33"/>
        </w:rPr>
      </w:pPr>
      <w:r>
        <w:rPr>
          <w:rFonts w:eastAsia="方正黑体_GBK"/>
          <w:sz w:val="33"/>
          <w:szCs w:val="33"/>
        </w:rPr>
        <w:t>二、部门财政资金基本情况</w:t>
      </w:r>
    </w:p>
    <w:p>
      <w:pPr>
        <w:ind w:firstLine="663" w:firstLineChars="200"/>
        <w:rPr>
          <w:rFonts w:eastAsia="方正楷体_GBK"/>
          <w:b/>
          <w:bCs/>
          <w:sz w:val="33"/>
          <w:szCs w:val="33"/>
          <w:lang w:val="zh-CN"/>
        </w:rPr>
      </w:pPr>
      <w:r>
        <w:rPr>
          <w:rFonts w:eastAsia="方正楷体_GBK"/>
          <w:b/>
          <w:bCs/>
          <w:sz w:val="33"/>
          <w:szCs w:val="33"/>
          <w:lang w:val="zh-CN"/>
        </w:rPr>
        <w:t>（一）部门财政资金收入情况</w:t>
      </w:r>
    </w:p>
    <w:p>
      <w:pPr>
        <w:pStyle w:val="10"/>
        <w:spacing w:line="600" w:lineRule="exact"/>
        <w:ind w:firstLine="660" w:firstLineChars="200"/>
        <w:jc w:val="left"/>
        <w:rPr>
          <w:rFonts w:ascii="Times New Roman" w:hAnsi="Times New Roman" w:eastAsia="方正仿宋_GBK"/>
          <w:sz w:val="33"/>
          <w:szCs w:val="33"/>
        </w:rPr>
      </w:pPr>
      <w:r>
        <w:rPr>
          <w:rFonts w:ascii="Times New Roman" w:hAnsi="Times New Roman" w:eastAsia="方正仿宋_GBK"/>
          <w:sz w:val="33"/>
          <w:szCs w:val="33"/>
          <w:lang w:val="zh-CN"/>
        </w:rPr>
        <w:t>2022年年初部门预算安排收入为</w:t>
      </w:r>
      <w:r>
        <w:rPr>
          <w:rFonts w:ascii="Times New Roman" w:hAnsi="Times New Roman" w:eastAsia="方正仿宋_GBK"/>
          <w:sz w:val="33"/>
          <w:szCs w:val="33"/>
        </w:rPr>
        <w:t>335.42</w:t>
      </w:r>
      <w:r>
        <w:rPr>
          <w:rFonts w:ascii="Times New Roman" w:hAnsi="Times New Roman" w:eastAsia="方正仿宋_GBK"/>
          <w:sz w:val="33"/>
          <w:szCs w:val="33"/>
          <w:lang w:val="zh-CN"/>
        </w:rPr>
        <w:t>万元。当年调增及调减后实际预算下达收入</w:t>
      </w:r>
      <w:r>
        <w:rPr>
          <w:rFonts w:ascii="Times New Roman" w:hAnsi="Times New Roman" w:eastAsia="方正仿宋_GBK"/>
          <w:sz w:val="33"/>
          <w:szCs w:val="33"/>
        </w:rPr>
        <w:t>493.90</w:t>
      </w:r>
      <w:r>
        <w:rPr>
          <w:rFonts w:ascii="Times New Roman" w:hAnsi="Times New Roman" w:eastAsia="方正仿宋_GBK"/>
          <w:sz w:val="33"/>
          <w:szCs w:val="33"/>
          <w:lang w:val="zh-CN"/>
        </w:rPr>
        <w:t>万元。</w:t>
      </w:r>
    </w:p>
    <w:p>
      <w:pPr>
        <w:ind w:firstLine="663" w:firstLineChars="200"/>
        <w:rPr>
          <w:rFonts w:eastAsia="方正楷体_GBK"/>
          <w:b/>
          <w:bCs/>
          <w:sz w:val="33"/>
          <w:szCs w:val="33"/>
          <w:lang w:val="zh-CN"/>
        </w:rPr>
      </w:pPr>
      <w:r>
        <w:rPr>
          <w:rFonts w:eastAsia="方正楷体_GBK"/>
          <w:b/>
          <w:bCs/>
          <w:sz w:val="33"/>
          <w:szCs w:val="33"/>
          <w:lang w:val="zh-CN"/>
        </w:rPr>
        <w:t>（二）部门财政资金支出情况</w:t>
      </w:r>
    </w:p>
    <w:p>
      <w:pPr>
        <w:spacing w:line="560" w:lineRule="exact"/>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1.部门预算基本支出情况</w:t>
      </w:r>
    </w:p>
    <w:p>
      <w:pPr>
        <w:spacing w:line="600" w:lineRule="exact"/>
        <w:ind w:firstLine="640"/>
        <w:rPr>
          <w:rFonts w:eastAsia="方正仿宋_GBK"/>
          <w:sz w:val="33"/>
          <w:szCs w:val="33"/>
        </w:rPr>
      </w:pPr>
      <w:r>
        <w:rPr>
          <w:rFonts w:eastAsia="方正仿宋_GBK"/>
          <w:sz w:val="33"/>
          <w:szCs w:val="33"/>
        </w:rPr>
        <w:t>2022年年初部门预算安排基本支出为285.42万元。其中：工资福利支出256.66万元，日常公用支出28.76万元。当年调增及调减后实际预算下达基本支出376.20万元。</w:t>
      </w:r>
    </w:p>
    <w:p>
      <w:pPr>
        <w:spacing w:line="600" w:lineRule="exact"/>
        <w:ind w:firstLine="640"/>
        <w:rPr>
          <w:rFonts w:eastAsia="方正仿宋_GBK"/>
          <w:sz w:val="33"/>
          <w:szCs w:val="33"/>
        </w:rPr>
      </w:pPr>
      <w:r>
        <w:rPr>
          <w:rFonts w:eastAsia="方正仿宋_GBK"/>
          <w:sz w:val="33"/>
          <w:szCs w:val="33"/>
        </w:rPr>
        <w:t>基本支出中的工资福利、对个人和家庭补助支出主要用于职工基本工资、绩效工资、津贴补贴、养老保险等各类保险缴费、在职及退休人员目标奖奖金、住房公积金等。日常公用支出主要用于办公费、水电费、邮电费、差旅费、工会经费、其他交通费等方面。</w:t>
      </w:r>
    </w:p>
    <w:p>
      <w:pPr>
        <w:spacing w:line="560" w:lineRule="exact"/>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2.部门预算项目安排及支出情况。</w:t>
      </w:r>
    </w:p>
    <w:p>
      <w:pPr>
        <w:spacing w:line="600" w:lineRule="exact"/>
        <w:ind w:firstLine="640"/>
        <w:rPr>
          <w:rFonts w:eastAsia="方正仿宋_GBK"/>
          <w:sz w:val="33"/>
          <w:szCs w:val="33"/>
        </w:rPr>
      </w:pPr>
      <w:r>
        <w:rPr>
          <w:rFonts w:eastAsia="方正仿宋_GBK"/>
          <w:sz w:val="33"/>
          <w:szCs w:val="33"/>
        </w:rPr>
        <w:t>2022年年初部门预算安排项目支出为50万元；2022年调增及调减后实际预算下达项目支出117.70万元。</w:t>
      </w:r>
    </w:p>
    <w:p>
      <w:pPr>
        <w:spacing w:line="600" w:lineRule="exact"/>
        <w:ind w:firstLine="640"/>
        <w:rPr>
          <w:rFonts w:eastAsia="方正仿宋_GBK"/>
          <w:sz w:val="33"/>
          <w:szCs w:val="33"/>
          <w:lang w:val="zh-CN"/>
        </w:rPr>
      </w:pPr>
      <w:r>
        <w:rPr>
          <w:rFonts w:eastAsia="方正仿宋_GBK"/>
          <w:sz w:val="33"/>
          <w:szCs w:val="33"/>
          <w:lang w:val="zh-CN"/>
        </w:rPr>
        <w:t>项目支出主要政法委专网正常运行的网络维护等方面支出。</w:t>
      </w:r>
    </w:p>
    <w:p>
      <w:pPr>
        <w:ind w:firstLine="663" w:firstLineChars="200"/>
        <w:rPr>
          <w:rFonts w:eastAsia="方正楷体_GBK"/>
          <w:b/>
          <w:bCs/>
          <w:sz w:val="33"/>
          <w:szCs w:val="33"/>
          <w:lang w:val="zh-CN"/>
        </w:rPr>
      </w:pPr>
      <w:r>
        <w:rPr>
          <w:rFonts w:eastAsia="方正楷体_GBK"/>
          <w:b/>
          <w:bCs/>
          <w:sz w:val="33"/>
          <w:szCs w:val="33"/>
          <w:lang w:val="zh-CN"/>
        </w:rPr>
        <w:t>（三）结转结余情况</w:t>
      </w:r>
    </w:p>
    <w:p>
      <w:pPr>
        <w:pStyle w:val="10"/>
        <w:spacing w:line="600" w:lineRule="exact"/>
        <w:jc w:val="left"/>
        <w:rPr>
          <w:rFonts w:ascii="Times New Roman" w:hAnsi="Times New Roman" w:eastAsia="方正黑体_GBK"/>
          <w:sz w:val="33"/>
          <w:szCs w:val="33"/>
        </w:rPr>
      </w:pPr>
      <w:r>
        <w:rPr>
          <w:rFonts w:ascii="Times New Roman" w:hAnsi="Times New Roman" w:eastAsia="方正仿宋_GBK"/>
          <w:sz w:val="33"/>
          <w:szCs w:val="33"/>
        </w:rPr>
        <w:t xml:space="preserve">  无结转结余。</w:t>
      </w:r>
    </w:p>
    <w:p>
      <w:pPr>
        <w:ind w:firstLine="630"/>
        <w:rPr>
          <w:rFonts w:eastAsia="方正黑体_GBK"/>
          <w:sz w:val="33"/>
          <w:szCs w:val="33"/>
        </w:rPr>
      </w:pPr>
      <w:r>
        <w:rPr>
          <w:rFonts w:eastAsia="方正黑体_GBK"/>
          <w:sz w:val="33"/>
          <w:szCs w:val="33"/>
        </w:rPr>
        <w:t xml:space="preserve">  三、部门预算绩效管理情况</w:t>
      </w:r>
    </w:p>
    <w:p>
      <w:pPr>
        <w:ind w:firstLine="663" w:firstLineChars="200"/>
        <w:rPr>
          <w:rFonts w:eastAsia="方正楷体_GBK"/>
          <w:b/>
          <w:bCs/>
          <w:sz w:val="33"/>
          <w:szCs w:val="33"/>
        </w:rPr>
      </w:pPr>
      <w:r>
        <w:rPr>
          <w:rFonts w:eastAsia="方正楷体_GBK"/>
          <w:b/>
          <w:bCs/>
          <w:sz w:val="33"/>
          <w:szCs w:val="33"/>
        </w:rPr>
        <w:t>（一）部门预算绩效管理</w:t>
      </w:r>
    </w:p>
    <w:p>
      <w:pPr>
        <w:spacing w:line="600" w:lineRule="exact"/>
        <w:ind w:firstLine="663" w:firstLineChars="200"/>
        <w:rPr>
          <w:rFonts w:eastAsia="方正仿宋_GBK"/>
          <w:b/>
          <w:bCs/>
          <w:sz w:val="33"/>
          <w:szCs w:val="33"/>
        </w:rPr>
      </w:pPr>
      <w:r>
        <w:rPr>
          <w:rFonts w:eastAsia="方正仿宋_GBK"/>
          <w:b/>
          <w:bCs/>
          <w:sz w:val="33"/>
          <w:szCs w:val="33"/>
        </w:rPr>
        <w:t xml:space="preserve"> 1.绩效目标制定</w:t>
      </w:r>
    </w:p>
    <w:p>
      <w:pPr>
        <w:spacing w:line="600" w:lineRule="exact"/>
        <w:ind w:firstLine="660" w:firstLineChars="200"/>
        <w:rPr>
          <w:rFonts w:eastAsia="方正仿宋_GBK"/>
          <w:sz w:val="33"/>
          <w:szCs w:val="33"/>
          <w:lang w:val="zh-CN"/>
        </w:rPr>
      </w:pPr>
      <w:r>
        <w:rPr>
          <w:rFonts w:eastAsia="方正仿宋_GBK"/>
          <w:sz w:val="33"/>
          <w:szCs w:val="33"/>
          <w:lang w:val="zh-CN"/>
        </w:rPr>
        <w:t>2022年来，盐边县政法部门和全体干警在县委、县政府坚强领导下，勠力同心、攻坚克难，持续推进国家政治安全建设、影响社会稳定风险化解、社会治安综合治理、扫黑除恶专项斗争、打击惩处违法犯罪、维护司法公平正义、矛盾纠纷协调化解等工作，全县政法系统扎实开展政法队伍教育整顿，深入推进党史学习教育，不断夯实便民利民举措，人民群众安全感满意度持续提升，为全县经济社会持续平稳健康发展创造了良好的社会环境。</w:t>
      </w:r>
    </w:p>
    <w:p>
      <w:pPr>
        <w:spacing w:line="600" w:lineRule="exact"/>
        <w:ind w:firstLine="663" w:firstLineChars="200"/>
        <w:rPr>
          <w:rFonts w:eastAsia="方正仿宋_GBK"/>
          <w:b/>
          <w:bCs/>
          <w:sz w:val="33"/>
          <w:szCs w:val="33"/>
        </w:rPr>
      </w:pPr>
      <w:r>
        <w:rPr>
          <w:rFonts w:eastAsia="方正仿宋_GBK"/>
          <w:b/>
          <w:bCs/>
          <w:sz w:val="33"/>
          <w:szCs w:val="33"/>
        </w:rPr>
        <w:t>2.绩效目标执行情况</w:t>
      </w:r>
    </w:p>
    <w:p>
      <w:pPr>
        <w:spacing w:line="600" w:lineRule="exact"/>
        <w:ind w:firstLine="660" w:firstLineChars="200"/>
        <w:rPr>
          <w:rFonts w:eastAsia="方正仿宋_GBK"/>
          <w:sz w:val="33"/>
          <w:szCs w:val="33"/>
        </w:rPr>
      </w:pPr>
      <w:r>
        <w:rPr>
          <w:rFonts w:eastAsia="方正仿宋_GBK"/>
          <w:sz w:val="33"/>
          <w:szCs w:val="33"/>
        </w:rPr>
        <w:t>盐边县政法委2022年度全年资金拨付和使用均按计划进度完成，在资金的使用上，严守法律底线、纪律底线，无违反财务管理、财经纪律情况发生，会计核算真实完整，项 目资金支出和原定用途、预算批复用途相符，财政资金使用效率进一步提高。在资金的管理方面，进一步强化资金统筹，优化资金结构，明确开支范围，细化资金用途，确保各项工作的顺利开展和财政资金的有效使用。</w:t>
      </w:r>
    </w:p>
    <w:p>
      <w:pPr>
        <w:spacing w:line="600" w:lineRule="exact"/>
        <w:ind w:firstLine="663" w:firstLineChars="200"/>
        <w:rPr>
          <w:rFonts w:eastAsia="方正仿宋_GBK"/>
          <w:b/>
          <w:bCs/>
          <w:sz w:val="33"/>
          <w:szCs w:val="33"/>
        </w:rPr>
      </w:pPr>
      <w:r>
        <w:rPr>
          <w:rFonts w:eastAsia="方正仿宋_GBK"/>
          <w:b/>
          <w:bCs/>
          <w:sz w:val="33"/>
          <w:szCs w:val="33"/>
        </w:rPr>
        <w:t>（1）人员类</w:t>
      </w:r>
    </w:p>
    <w:p>
      <w:pPr>
        <w:spacing w:line="600" w:lineRule="exact"/>
        <w:ind w:firstLine="660" w:firstLineChars="200"/>
        <w:rPr>
          <w:rFonts w:eastAsia="方正仿宋_GBK"/>
          <w:sz w:val="33"/>
          <w:szCs w:val="33"/>
        </w:rPr>
      </w:pPr>
      <w:r>
        <w:rPr>
          <w:rFonts w:eastAsia="方正仿宋_GBK"/>
          <w:sz w:val="33"/>
          <w:szCs w:val="33"/>
        </w:rPr>
        <w:t>2022年度人员经费支出347.85万元，主要用于职工工资及福利待遇支出，未将人员工资福利支出等大平台指标挪作他用，基本支出保障有力，确保全年平稳保障职工</w:t>
      </w:r>
      <w:r>
        <w:rPr>
          <w:rFonts w:hint="eastAsia" w:eastAsia="方正仿宋_GBK"/>
          <w:sz w:val="33"/>
          <w:szCs w:val="33"/>
          <w:lang w:eastAsia="zh-CN"/>
        </w:rPr>
        <w:t>的</w:t>
      </w:r>
      <w:r>
        <w:rPr>
          <w:rFonts w:eastAsia="方正仿宋_GBK"/>
          <w:sz w:val="33"/>
          <w:szCs w:val="33"/>
        </w:rPr>
        <w:t>工资支出，维持基本行政运转，预算执行率100%。</w:t>
      </w:r>
    </w:p>
    <w:p>
      <w:pPr>
        <w:spacing w:line="600" w:lineRule="exact"/>
        <w:ind w:firstLine="663" w:firstLineChars="200"/>
        <w:rPr>
          <w:rFonts w:eastAsia="方正仿宋_GBK"/>
          <w:b/>
          <w:bCs/>
          <w:sz w:val="33"/>
          <w:szCs w:val="33"/>
        </w:rPr>
      </w:pPr>
      <w:r>
        <w:rPr>
          <w:rFonts w:eastAsia="方正仿宋_GBK"/>
          <w:b/>
          <w:bCs/>
          <w:sz w:val="33"/>
          <w:szCs w:val="33"/>
        </w:rPr>
        <w:t>（2）运转类</w:t>
      </w:r>
    </w:p>
    <w:p>
      <w:pPr>
        <w:spacing w:line="600" w:lineRule="exact"/>
        <w:ind w:firstLine="660" w:firstLineChars="200"/>
        <w:rPr>
          <w:rFonts w:eastAsia="方正仿宋_GBK"/>
          <w:sz w:val="33"/>
          <w:szCs w:val="33"/>
        </w:rPr>
      </w:pPr>
      <w:r>
        <w:rPr>
          <w:rFonts w:eastAsia="方正仿宋_GBK"/>
          <w:sz w:val="33"/>
          <w:szCs w:val="33"/>
        </w:rPr>
        <w:t>2022年度公用经费支出28.35万元，主要用于办公费、印刷费、水电费、差旅费、维修（护）费等日常公用经费，严格按照资金用途申报、使用资金，均已足额按时支付，有力保障了各项工作的顺利开展。预算执行率100%。</w:t>
      </w:r>
    </w:p>
    <w:p>
      <w:pPr>
        <w:spacing w:line="600" w:lineRule="exact"/>
        <w:ind w:firstLine="663" w:firstLineChars="200"/>
        <w:rPr>
          <w:rFonts w:eastAsia="方正仿宋_GBK"/>
          <w:b/>
          <w:bCs/>
          <w:sz w:val="33"/>
          <w:szCs w:val="33"/>
        </w:rPr>
      </w:pPr>
      <w:r>
        <w:rPr>
          <w:rFonts w:eastAsia="方正仿宋_GBK"/>
          <w:b/>
          <w:bCs/>
          <w:sz w:val="33"/>
          <w:szCs w:val="33"/>
        </w:rPr>
        <w:t>（3）特定目标类</w:t>
      </w:r>
    </w:p>
    <w:p>
      <w:pPr>
        <w:spacing w:line="600" w:lineRule="exact"/>
        <w:ind w:firstLine="660" w:firstLineChars="200"/>
        <w:rPr>
          <w:rFonts w:eastAsia="方正仿宋_GBK"/>
          <w:sz w:val="33"/>
          <w:szCs w:val="33"/>
        </w:rPr>
      </w:pPr>
      <w:r>
        <w:rPr>
          <w:rFonts w:eastAsia="方正仿宋_GBK"/>
          <w:sz w:val="33"/>
          <w:szCs w:val="33"/>
        </w:rPr>
        <w:t>2022年项目支出117.70万元，有效保障了维稳和扫黑除恶等工作的开展以及网格化网络正常运行。预算执行率100%。</w:t>
      </w:r>
    </w:p>
    <w:p>
      <w:pPr>
        <w:spacing w:line="600" w:lineRule="exact"/>
        <w:ind w:firstLine="663" w:firstLineChars="200"/>
        <w:rPr>
          <w:rFonts w:eastAsia="方正仿宋_GBK"/>
          <w:b/>
          <w:bCs/>
          <w:sz w:val="33"/>
          <w:szCs w:val="33"/>
        </w:rPr>
      </w:pPr>
      <w:r>
        <w:rPr>
          <w:rFonts w:eastAsia="方正仿宋_GBK"/>
          <w:b/>
          <w:bCs/>
          <w:sz w:val="33"/>
          <w:szCs w:val="33"/>
        </w:rPr>
        <w:t>2.绩效目标完成情况</w:t>
      </w:r>
    </w:p>
    <w:p>
      <w:pPr>
        <w:spacing w:line="600" w:lineRule="exact"/>
        <w:ind w:firstLine="663" w:firstLineChars="200"/>
        <w:rPr>
          <w:rFonts w:eastAsia="方正仿宋_GBK"/>
          <w:sz w:val="33"/>
          <w:szCs w:val="33"/>
        </w:rPr>
      </w:pPr>
      <w:r>
        <w:rPr>
          <w:rFonts w:eastAsia="方正仿宋_GBK"/>
          <w:b/>
          <w:bCs/>
          <w:sz w:val="33"/>
          <w:szCs w:val="33"/>
        </w:rPr>
        <w:t>（1）提高政治站位，坚持党对政法工作的绝对领导。</w:t>
      </w:r>
      <w:r>
        <w:rPr>
          <w:rFonts w:eastAsia="方正仿宋_GBK"/>
          <w:sz w:val="33"/>
          <w:szCs w:val="33"/>
        </w:rPr>
        <w:t>全县政法各部门深入学习贯彻党的二十大精神，始终把深入学习领会党的二十大精神作为当前和今后一个时期的重要政治任务。采用“线上+线下”同步方式，积极构建学习多样性，利用微信群、QQ群等途径，广泛推送党的二十大精神解读，使党的二十大精神学习遍及政法系统各部门；组织政法系统干部职工参加“学习之星”攀枝花市直机关学习宣传贯彻党的二十大精神线上答题竞赛，深入学习党的二十大精神；利用职工大会、党员大会、党组理论学习中心组等多种方式，准确解读党的二十大精神实质、核心要义，真正做到融会贯通、触类旁通、入脑入心，将党的二十大精神转化为推动政法工作的发展动力。深入学习十九届六中全会、省第十二次党代会精神和关于加强政法队伍建设的重要批示指示精神、训词精神，通过理论学习中心组学习、党支部“三会一课”等开展学习、分组讨论、撰写心得体会，营造浓厚氛围，做到真学真懂，推动学习贯彻走深走心走实。不断贯彻落实《中国共产党政法工作条例》、四川省《实施细则》及我市《实施意见》，定期组织开展学习，严格落实意识形态工作责任制，建立和完善意识形态应急处置机制，加强意识形态领域分析研判，定期研判政法各部门干部思想动态，及时发现和应对意识形态领域的苗头性、倾向性问题。严格按照中央和省委、市委、县委工作部署，树牢“四个意识”，坚定“四个自信”，坚决做到“两个维护”，坚决拥护“两个确立”，以高度的政治自觉、思想自觉和行动自觉，切实把党的路线方针政策贯彻到政治、思想、组织等各方面，落实到决策、执行、监督等各环节，确保党的绝对领导贯彻到政法工作全过程各方面。全县政法部门健全和完善议事决策规则、重大事项请示报告、意识形态风险防范、政治督察、作风巡查、执法检查、协管协查、政法委员述职、政治思想动态分析等机制制度54个，坚持把讲政治贯彻到政法工作各方面、执法司法办案各环节、服务管理全过程，不折不扣的把中央、省委、市委和县委各项举措部署落地落实见实效。</w:t>
      </w:r>
    </w:p>
    <w:p>
      <w:pPr>
        <w:spacing w:line="600" w:lineRule="exact"/>
        <w:ind w:firstLine="663" w:firstLineChars="200"/>
        <w:rPr>
          <w:rFonts w:eastAsia="方正仿宋_GBK"/>
          <w:sz w:val="33"/>
          <w:szCs w:val="33"/>
        </w:rPr>
      </w:pPr>
      <w:r>
        <w:rPr>
          <w:rFonts w:eastAsia="方正仿宋_GBK"/>
          <w:b/>
          <w:bCs/>
          <w:sz w:val="33"/>
          <w:szCs w:val="33"/>
        </w:rPr>
        <w:t>（2）强化源头治理，做好党的二十大安保维稳工作。</w:t>
      </w:r>
      <w:r>
        <w:rPr>
          <w:rFonts w:eastAsia="方正仿宋_GBK"/>
          <w:sz w:val="33"/>
          <w:szCs w:val="33"/>
        </w:rPr>
        <w:t>党的二十大召开前夕，县委、县政府高度重视，在县委常委会、县政府常务会上专题听取信访维稳工作汇报，专题研究信访维稳工作。县委书记王兴全，县委副书记、县长蒋启君先后两次组织专题召开二十大期间安保信访维稳工作会议，全县安全稳定信访工作调度会四次，分析当前安保维稳信访工作形势，对事对人对群体进行研判，对党的二十大期间全县安保信访维稳工作专题安排部署，县委、县政府与各乡（镇）、部门签订了《党的二十大安全稳定信访工作目标责任书》，同时成立了全县党的二十大期间安保信访维稳工作领导小组，根据我县实际情况编制了《盐边县党的二十大安全稳定工作方案》，落实各方责任。全面防范政治安全风险。牢固树立底线思维，持续抓好安全稳定各项专项工作，监测网络信息70万余条，舆论引导4600余条。</w:t>
      </w:r>
      <w:r>
        <w:rPr>
          <w:rFonts w:eastAsia="方正仿宋_GBK"/>
          <w:b/>
          <w:color w:val="000000"/>
          <w:sz w:val="33"/>
          <w:szCs w:val="33"/>
        </w:rPr>
        <w:t>全力开展风险隐患排查。</w:t>
      </w:r>
      <w:r>
        <w:rPr>
          <w:rFonts w:eastAsia="方正仿宋_GBK"/>
          <w:sz w:val="33"/>
          <w:szCs w:val="33"/>
        </w:rPr>
        <w:t>涉稳隐患排查11次，排查梳理汇总重点群体10个，重点人员30人，需持续关注涉稳问题17个、涉稳人员151人均在控。成功化解了红格提灌站职工安置、红格康城馨苑农民工工资拖欠、头道河渣场土地群体等群体3个，长期上访、缠访重点人员朱国平、周昌虎等2人签订息诉罢访协议。</w:t>
      </w:r>
      <w:r>
        <w:rPr>
          <w:rFonts w:eastAsia="方正仿宋_GBK"/>
          <w:b/>
          <w:color w:val="000000"/>
          <w:sz w:val="33"/>
          <w:szCs w:val="33"/>
        </w:rPr>
        <w:t>抓好社会稳定风险评估。</w:t>
      </w:r>
      <w:r>
        <w:rPr>
          <w:rFonts w:eastAsia="方正仿宋_GBK"/>
          <w:sz w:val="33"/>
          <w:szCs w:val="33"/>
        </w:rPr>
        <w:t>严格落实重大决策社会稳定风险评估“应评尽评”，将社会稳定风险评估作为决策执行政策、上项目、搞改革、举办活动的前置条件，着力规范工作程序，最大限度地避免和减少因决策不慎重、时机不成熟、操作不规范引发的社会矛盾。共开展社会稳定风险评估备案61件。</w:t>
      </w:r>
      <w:r>
        <w:rPr>
          <w:rFonts w:eastAsia="方正仿宋_GBK"/>
          <w:b/>
          <w:color w:val="000000"/>
          <w:sz w:val="33"/>
          <w:szCs w:val="33"/>
        </w:rPr>
        <w:t>扎实推进扫黑除恶常态化。</w:t>
      </w:r>
      <w:r>
        <w:rPr>
          <w:rFonts w:eastAsia="方正仿宋_GBK"/>
          <w:sz w:val="33"/>
          <w:szCs w:val="33"/>
        </w:rPr>
        <w:t>严格按照中央统一部署和省、市工作要求，深入推进扫黑除恶斗争常态化工作。向县委、县政府专题报告各2次，县委主要领导批示2次，召开扫黑除恶斗争领导小组会议4次、扫黑办主任会议4次，领导小组组长、副组长包片调研1轮次，县扫黑办开展督导检查2轮次。全县共破获电信诈骗衍生犯罪22件，抓获嫌疑人66人，已移送起诉10件50人。破获开设赌场案4件（网络赌博），抓获犯罪嫌疑人19人。打击政治养老诈骗专项行动期间，共收到线索17条，办结17条，办结率100%，成案数9条，成案率53%，共立刑事案件11件，采取刑事强制措施4人，追</w:t>
      </w:r>
      <w:r>
        <w:rPr>
          <w:rFonts w:hint="eastAsia" w:eastAsia="方正仿宋_GBK"/>
          <w:sz w:val="33"/>
          <w:szCs w:val="33"/>
          <w:lang w:eastAsia="zh-CN"/>
        </w:rPr>
        <w:t>赃</w:t>
      </w:r>
      <w:r>
        <w:rPr>
          <w:rFonts w:eastAsia="方正仿宋_GBK"/>
          <w:sz w:val="33"/>
          <w:szCs w:val="33"/>
        </w:rPr>
        <w:t>挽损12万余元。着力打好意识形态安全战。严格落实意识形态工作责任制，坚持一把手抓实抓牢意识形态第一责任人责任，制定意识形态工作实施方案5份，加强意识形态领域分析研判7次，专题研究意识形态工作5次，把意识形态同政法各项工作同部署、同落实、同检查、同考核。加强各单位“三微一端”等新媒体平台管理，加强意识形态阵地管理，遵循“三同步”原则认真开展舆情引导工作，做好重大舆情的处置应对工作，健全网络信息收集和处置机制，对涉及群众关心、社会关注的热点问题，第一时间及时、准确回应社会公众，从源头上筑牢社会安全稳定的思想防线。结合“三大攻坚战”、“重点项目突破行动”，全面排查精准掌握影响本辖区社会安全稳定的各类矛盾纠纷。对排查出的矛盾纠纷和苗头隐患，逐项分类梳理，逐一登记建档，采取挂牌督办、蹲点化解等办法进行调处化解。目前全县未发生重大舆情案件问题。</w:t>
      </w:r>
      <w:r>
        <w:rPr>
          <w:rFonts w:eastAsia="方正仿宋_GBK"/>
          <w:b/>
          <w:color w:val="000000"/>
          <w:sz w:val="33"/>
          <w:szCs w:val="33"/>
        </w:rPr>
        <w:t>加快推进平安盐边建设。</w:t>
      </w:r>
      <w:r>
        <w:rPr>
          <w:rFonts w:eastAsia="方正仿宋_GBK"/>
          <w:sz w:val="33"/>
          <w:szCs w:val="33"/>
        </w:rPr>
        <w:t>将精细化、数据化贯穿于基层社会治理全过程，在“平安盐边”“法治盐边”“智慧盐边”建设中，打造基层社会治理智能化精细化新亮点。在渔门镇挂牌成立全市首个“石榴籽”调解室和矛盾纠纷多元化解第三方调解中心驻北部片区调解室、红格镇挂牌成立矛盾纠纷多元化解南部片区调解室和新城锦绣小区成立“梳篦”调解室。今年以来，排查各类纠纷1170件，并成功调解。网格化服务管理信息系统已累计录入人口信息、群防群治队伍等共144274条，县网格化服务管理中心累计办理事件47871条。建设完成平安智慧小区16个，完成“雪亮工程”前端点位建设803路，已完成各乡镇6000户“慧眼工程”建设，持续深化“六无”平安村（社区）创建工作。县公安局开展“畅通盐边 道交平安”专项行动，推进“零酒驾”社区创建，实现道路交通事故预防“减量控大”目标。县司法局充分利用各种节点、赶集日和村（社区）法律顾问送法进乡村等有利时机，采取以案释法、以案警示等多种形式，切实提高群众的法律意识和法治素养，教育引导广大群众自觉尊法学法守法用法，依靠法律手段解决矛盾纠纷。县检察院打造了全市首个以禁毒防艾为主题的 “百灵鸟”青少年禁毒防艾法治教育实践基地，为盐边县青少年思政教育和法治教育搭建新的平台和载体，标志着盐边县法治建设工作迈上了新台阶。县法院依托一站式多元解纷和诉讼服务体系建设成果，注重“智慧法院”建设中当事人的体验感，持续推动窗口前移，为群众提供更高效便捷的智能诉讼服务。政法各部门以务实的作风、过硬的举措，坚决扛起了安全稳定责任，全力做好疫情防控期间、“两节”、“冬奥会”、“残奥会”、省市县</w:t>
      </w:r>
      <w:bookmarkStart w:id="65" w:name="_GoBack"/>
      <w:r>
        <w:rPr>
          <w:rFonts w:eastAsia="方正仿宋_GBK"/>
          <w:sz w:val="33"/>
          <w:szCs w:val="33"/>
        </w:rPr>
        <w:t>两会</w:t>
      </w:r>
      <w:bookmarkEnd w:id="65"/>
      <w:r>
        <w:rPr>
          <w:rFonts w:eastAsia="方正仿宋_GBK"/>
          <w:sz w:val="33"/>
          <w:szCs w:val="33"/>
        </w:rPr>
        <w:t xml:space="preserve">、省第十二次党代会等重大活动及敏感节点安全稳定工作。 </w:t>
      </w:r>
    </w:p>
    <w:p>
      <w:pPr>
        <w:spacing w:line="600" w:lineRule="exact"/>
        <w:ind w:firstLine="663" w:firstLineChars="200"/>
        <w:rPr>
          <w:rFonts w:eastAsia="方正仿宋_GBK"/>
          <w:sz w:val="33"/>
          <w:szCs w:val="33"/>
        </w:rPr>
      </w:pPr>
      <w:r>
        <w:rPr>
          <w:rFonts w:eastAsia="方正仿宋_GBK"/>
          <w:b/>
          <w:bCs/>
          <w:sz w:val="33"/>
          <w:szCs w:val="33"/>
        </w:rPr>
        <w:t>（3）从严管党治警，着力锻造新时代政法铁军。持续巩固教育整顿成果。</w:t>
      </w:r>
      <w:r>
        <w:rPr>
          <w:rFonts w:eastAsia="方正仿宋_GBK"/>
          <w:sz w:val="33"/>
          <w:szCs w:val="33"/>
        </w:rPr>
        <w:t>进一步优化了政法部门领导班子结构，激发干警干事创业热情。县法院激活干部交流轮岗常态，对14名法官助理及聘用制书记员进行轮岗，对各党支部人员进行调整，完成支部换届选举。积极落实“青蓝工程”，加强青年干部选拔任用，新提拔中层干部4名，入额遴选法官1名。</w:t>
      </w:r>
      <w:r>
        <w:rPr>
          <w:rFonts w:eastAsia="方正仿宋_GBK"/>
          <w:b/>
          <w:sz w:val="33"/>
          <w:szCs w:val="33"/>
        </w:rPr>
        <w:t>扎实开展“忠诚铸魂、铁纪担当”专项活动。</w:t>
      </w:r>
      <w:r>
        <w:rPr>
          <w:rFonts w:eastAsia="方正仿宋_GBK"/>
          <w:sz w:val="33"/>
          <w:szCs w:val="33"/>
        </w:rPr>
        <w:t>自活动开展以来，按照省、市 “忠诚铸魂、铁纪担当”专项活动安排部署要求，县政法委扛起第一责任，精心组织谋划，迅速启动推动，成立盐边县政法系统“忠诚铸魂、铁纪担当”专项活动领导小组，制定全县 “忠诚铸魂、铁纪担当”专项活动实施方案、任务清单，组建7个专项行动工作组，召开安排部署会4次、领导小组会3次。制作活动宣传展板25幅、制作“唱响巴蜀”法治宣传微视频1个。全县政法队伍再次按照高标准、严要求、全覆盖、深层次进行洗礼，政法干警政治思想素质和政治忠诚进一步提升、干事创业的积极性进一步增强、为民服务解难题的主动性进一步提高。全县开展干部职工“八小时以外”违法违纪行为、纪律作风督查及队伍管理风险自查1376人次，干部个人有关事项报告636人。从严要求干警规范司法作风，查摆诉讼服务、庭审及裁判文书制作等方面问题31条，已全部整改完毕。持续开展廉政警示教育。深化廉政教育，组织干警观看《零容忍》等警示教育片，邀请县监察委员会委员讲廉政党课1次，开展党风廉政教育日活动5次，通报相关违纪违法典型案例5次。筑实廉政篱笆，集中开展党风廉政教育专题会议1次，组织干警签署《拒绝酒驾醉驾承诺书》《家庭助廉承诺书》600余份。2022年因工作纪律、廉洁纪律政法系统被处分3人。</w:t>
      </w:r>
    </w:p>
    <w:p>
      <w:pPr>
        <w:widowControl/>
        <w:adjustRightInd w:val="0"/>
        <w:snapToGrid w:val="0"/>
        <w:spacing w:line="580" w:lineRule="exact"/>
        <w:ind w:firstLine="663" w:firstLineChars="200"/>
        <w:contextualSpacing/>
        <w:jc w:val="left"/>
        <w:rPr>
          <w:rFonts w:eastAsia="楷体_GB2312"/>
          <w:b/>
          <w:bCs/>
          <w:sz w:val="32"/>
          <w:szCs w:val="32"/>
        </w:rPr>
      </w:pPr>
      <w:r>
        <w:rPr>
          <w:rFonts w:eastAsia="方正楷体_GBK"/>
          <w:b/>
          <w:bCs/>
          <w:sz w:val="33"/>
          <w:szCs w:val="33"/>
        </w:rPr>
        <w:t>（二）结果应用情况</w:t>
      </w:r>
    </w:p>
    <w:p>
      <w:pPr>
        <w:spacing w:line="560" w:lineRule="exact"/>
        <w:ind w:firstLine="660" w:firstLineChars="200"/>
        <w:rPr>
          <w:rFonts w:eastAsia="方正仿宋_GBK"/>
          <w:sz w:val="33"/>
          <w:szCs w:val="33"/>
        </w:rPr>
      </w:pPr>
      <w:r>
        <w:rPr>
          <w:rFonts w:eastAsia="方正仿宋_GBK"/>
          <w:sz w:val="33"/>
          <w:szCs w:val="33"/>
        </w:rPr>
        <w:t>绩效自评对规范财政资金支出管理、强化绩效目标管理理念、加强资金使用效率起到了积极的促进作用。我单位将此次绩效自评的结果运用到2022年工作统筹安排、项目资金合理分配使用上，进一步提高工作效率，保质保量完成县委、县政府以及上级业务主管部门交办的各项工作。</w:t>
      </w:r>
    </w:p>
    <w:p>
      <w:pPr>
        <w:spacing w:line="560" w:lineRule="exact"/>
        <w:ind w:firstLine="660" w:firstLineChars="200"/>
        <w:rPr>
          <w:rFonts w:eastAsia="方正仿宋_GBK"/>
          <w:sz w:val="33"/>
          <w:szCs w:val="33"/>
        </w:rPr>
      </w:pPr>
      <w:r>
        <w:rPr>
          <w:rFonts w:eastAsia="方正仿宋_GBK"/>
          <w:sz w:val="33"/>
          <w:szCs w:val="33"/>
        </w:rPr>
        <w:t>绩效自评工作完成后将结果在“盐边县公众信息网”财政信息版块下的“财政绩效评价信息专栏”进行公示。</w:t>
      </w:r>
    </w:p>
    <w:p>
      <w:pPr>
        <w:ind w:firstLine="660" w:firstLineChars="200"/>
        <w:rPr>
          <w:rFonts w:eastAsia="方正黑体_GBK"/>
          <w:sz w:val="33"/>
          <w:szCs w:val="33"/>
        </w:rPr>
      </w:pPr>
      <w:r>
        <w:rPr>
          <w:rFonts w:eastAsia="方正黑体_GBK"/>
          <w:sz w:val="33"/>
          <w:szCs w:val="33"/>
        </w:rPr>
        <w:t>四、评价结论及建议</w:t>
      </w:r>
    </w:p>
    <w:p>
      <w:pPr>
        <w:widowControl/>
        <w:adjustRightInd w:val="0"/>
        <w:snapToGrid w:val="0"/>
        <w:spacing w:line="580" w:lineRule="exact"/>
        <w:ind w:firstLine="663" w:firstLineChars="200"/>
        <w:contextualSpacing/>
        <w:jc w:val="left"/>
        <w:rPr>
          <w:rFonts w:eastAsia="方正楷体_GBK"/>
          <w:b/>
          <w:bCs/>
          <w:sz w:val="33"/>
          <w:szCs w:val="33"/>
        </w:rPr>
      </w:pPr>
      <w:r>
        <w:rPr>
          <w:rFonts w:eastAsia="方正楷体_GBK"/>
          <w:b/>
          <w:bCs/>
          <w:sz w:val="33"/>
          <w:szCs w:val="33"/>
        </w:rPr>
        <w:t>（一）评价结论</w:t>
      </w:r>
    </w:p>
    <w:p>
      <w:pPr>
        <w:spacing w:line="560" w:lineRule="exact"/>
        <w:ind w:firstLine="660" w:firstLineChars="200"/>
        <w:jc w:val="left"/>
        <w:rPr>
          <w:rFonts w:eastAsia="方正仿宋_GBK"/>
          <w:sz w:val="33"/>
          <w:szCs w:val="33"/>
        </w:rPr>
      </w:pPr>
      <w:r>
        <w:rPr>
          <w:rFonts w:eastAsia="方正仿宋_GBK"/>
          <w:sz w:val="33"/>
          <w:szCs w:val="33"/>
          <w:lang w:val="zh-CN"/>
        </w:rPr>
        <w:t>通过自评，2022年度县政法委</w:t>
      </w:r>
      <w:r>
        <w:rPr>
          <w:rFonts w:eastAsia="方正仿宋_GBK"/>
          <w:sz w:val="33"/>
          <w:szCs w:val="33"/>
        </w:rPr>
        <w:t>各项经费达到对应的绩效目标，圆满完成了县委、县政府下达的各项工作任务。达到预期绩效目标，总体较满意。</w:t>
      </w:r>
    </w:p>
    <w:p>
      <w:pPr>
        <w:widowControl/>
        <w:adjustRightInd w:val="0"/>
        <w:snapToGrid w:val="0"/>
        <w:spacing w:line="580" w:lineRule="exact"/>
        <w:ind w:firstLine="663" w:firstLineChars="200"/>
        <w:contextualSpacing/>
        <w:jc w:val="left"/>
        <w:rPr>
          <w:rFonts w:eastAsia="方正楷体_GBK"/>
          <w:b/>
          <w:bCs/>
          <w:sz w:val="33"/>
          <w:szCs w:val="33"/>
        </w:rPr>
      </w:pPr>
      <w:r>
        <w:rPr>
          <w:rFonts w:eastAsia="方正楷体_GBK"/>
          <w:b/>
          <w:bCs/>
          <w:sz w:val="33"/>
          <w:szCs w:val="33"/>
        </w:rPr>
        <w:t>（二）存在问题</w:t>
      </w:r>
    </w:p>
    <w:p>
      <w:pPr>
        <w:pStyle w:val="16"/>
        <w:widowControl/>
        <w:spacing w:before="0" w:beforeAutospacing="0" w:after="0" w:afterAutospacing="0" w:line="560" w:lineRule="exact"/>
        <w:ind w:firstLine="663" w:firstLineChars="200"/>
        <w:jc w:val="both"/>
        <w:rPr>
          <w:rFonts w:eastAsia="方正仿宋_GBK"/>
          <w:kern w:val="2"/>
          <w:sz w:val="33"/>
          <w:szCs w:val="33"/>
        </w:rPr>
      </w:pPr>
      <w:r>
        <w:rPr>
          <w:rFonts w:eastAsia="方正仿宋_GBK"/>
          <w:b/>
          <w:bCs/>
          <w:kern w:val="2"/>
          <w:sz w:val="33"/>
          <w:szCs w:val="33"/>
        </w:rPr>
        <w:t>1. 绩效目标设立不够明确、细化和量化。</w:t>
      </w:r>
      <w:r>
        <w:rPr>
          <w:rFonts w:eastAsia="方正仿宋_GBK"/>
          <w:kern w:val="2"/>
          <w:sz w:val="33"/>
          <w:szCs w:val="33"/>
        </w:rPr>
        <w:t>项目单位虽然设立了项目资金绩效目标，但目标不够明确、细化和量化。</w:t>
      </w:r>
    </w:p>
    <w:p>
      <w:pPr>
        <w:spacing w:line="600" w:lineRule="exact"/>
        <w:ind w:firstLine="663" w:firstLineChars="200"/>
        <w:rPr>
          <w:rFonts w:eastAsia="方正仿宋_GBK"/>
          <w:b/>
          <w:bCs/>
          <w:sz w:val="33"/>
          <w:szCs w:val="33"/>
        </w:rPr>
      </w:pPr>
      <w:r>
        <w:rPr>
          <w:rFonts w:eastAsia="方正仿宋_GBK"/>
          <w:b/>
          <w:bCs/>
          <w:sz w:val="33"/>
          <w:szCs w:val="33"/>
        </w:rPr>
        <w:t>2. 资金使用效益有待进一步提高。</w:t>
      </w:r>
    </w:p>
    <w:p>
      <w:pPr>
        <w:widowControl/>
        <w:adjustRightInd w:val="0"/>
        <w:snapToGrid w:val="0"/>
        <w:spacing w:line="580" w:lineRule="exact"/>
        <w:ind w:firstLine="663" w:firstLineChars="200"/>
        <w:contextualSpacing/>
        <w:jc w:val="left"/>
        <w:rPr>
          <w:rFonts w:eastAsia="方正楷体_GBK"/>
          <w:b/>
          <w:bCs/>
          <w:sz w:val="33"/>
          <w:szCs w:val="33"/>
        </w:rPr>
      </w:pPr>
      <w:r>
        <w:rPr>
          <w:rFonts w:eastAsia="方正楷体_GBK"/>
          <w:b/>
          <w:bCs/>
          <w:sz w:val="33"/>
          <w:szCs w:val="33"/>
        </w:rPr>
        <w:t>（三）改进建议。</w:t>
      </w:r>
    </w:p>
    <w:p>
      <w:pPr>
        <w:spacing w:line="600" w:lineRule="exact"/>
        <w:ind w:firstLine="663" w:firstLineChars="200"/>
        <w:rPr>
          <w:rFonts w:eastAsia="方正仿宋_GBK"/>
          <w:sz w:val="33"/>
          <w:szCs w:val="33"/>
        </w:rPr>
      </w:pPr>
      <w:r>
        <w:rPr>
          <w:rFonts w:eastAsia="方正仿宋_GBK"/>
          <w:b/>
          <w:bCs/>
          <w:sz w:val="33"/>
          <w:szCs w:val="33"/>
        </w:rPr>
        <w:t>1.</w:t>
      </w:r>
      <w:r>
        <w:rPr>
          <w:rFonts w:eastAsia="方正仿宋_GBK"/>
          <w:b/>
          <w:bCs/>
          <w:sz w:val="33"/>
          <w:szCs w:val="33"/>
          <w:lang w:val="zh-CN"/>
        </w:rPr>
        <w:t>遵循预算管理办法，从严控制年中追加预算规模。</w:t>
      </w:r>
      <w:r>
        <w:rPr>
          <w:rFonts w:eastAsia="方正仿宋_GBK"/>
          <w:sz w:val="33"/>
          <w:szCs w:val="33"/>
          <w:lang w:val="zh-CN"/>
        </w:rPr>
        <w:t>对于年度无法预计的临时追加的相关工作所需经费，严格按照预算调整追加程序，逐级申报报批，有效降低预算控制率。</w:t>
      </w:r>
    </w:p>
    <w:p>
      <w:pPr>
        <w:spacing w:line="560" w:lineRule="exact"/>
        <w:ind w:firstLine="663" w:firstLineChars="200"/>
        <w:rPr>
          <w:rFonts w:eastAsia="方正仿宋_GBK"/>
          <w:sz w:val="33"/>
          <w:szCs w:val="33"/>
        </w:rPr>
      </w:pPr>
      <w:r>
        <w:rPr>
          <w:rFonts w:eastAsia="方正仿宋_GBK"/>
          <w:b/>
          <w:bCs/>
          <w:sz w:val="33"/>
          <w:szCs w:val="33"/>
        </w:rPr>
        <w:t>2.</w:t>
      </w:r>
      <w:r>
        <w:rPr>
          <w:rFonts w:eastAsia="方正仿宋_GBK"/>
          <w:b/>
          <w:bCs/>
          <w:sz w:val="33"/>
          <w:szCs w:val="33"/>
          <w:lang w:val="zh-CN"/>
        </w:rPr>
        <w:t>保障预算执行进度。</w:t>
      </w:r>
      <w:r>
        <w:rPr>
          <w:rFonts w:eastAsia="方正仿宋_GBK"/>
          <w:sz w:val="33"/>
          <w:szCs w:val="33"/>
          <w:lang w:val="zh-CN"/>
        </w:rPr>
        <w:t>加快推进项目实施进度，加强项目开展进度的跟踪，开展项目绩效的跟踪和评价，确保项目绩效的完成，发挥资金的使用效益，提高预算完成率。</w:t>
      </w:r>
    </w:p>
    <w:p>
      <w:pPr>
        <w:spacing w:line="560" w:lineRule="exact"/>
        <w:ind w:firstLine="660" w:firstLineChars="200"/>
        <w:rPr>
          <w:rFonts w:eastAsia="方正仿宋_GBK"/>
          <w:sz w:val="33"/>
          <w:szCs w:val="33"/>
        </w:rPr>
      </w:pPr>
    </w:p>
    <w:p>
      <w:pPr>
        <w:pStyle w:val="17"/>
        <w:spacing w:line="560" w:lineRule="exact"/>
        <w:ind w:left="1598" w:leftChars="304" w:hanging="960" w:hangingChars="300"/>
        <w:rPr>
          <w:rFonts w:ascii="Times New Roman" w:eastAsia="方正仿宋_GBK"/>
          <w:sz w:val="33"/>
          <w:szCs w:val="33"/>
        </w:rPr>
      </w:pPr>
      <w:r>
        <w:rPr>
          <w:rFonts w:ascii="Times New Roman" w:eastAsia="仿宋_GB2312"/>
          <w:color w:val="000000" w:themeColor="text1"/>
          <w:sz w:val="32"/>
          <w:lang w:val="zh-CN"/>
        </w:rPr>
        <w:t>附表：</w:t>
      </w:r>
      <w:r>
        <w:rPr>
          <w:rFonts w:ascii="Times New Roman" w:eastAsia="方正仿宋_GBK"/>
          <w:sz w:val="33"/>
          <w:szCs w:val="33"/>
        </w:rPr>
        <w:t>2022年度部门预算项目支出绩效自评表（详见附件）</w:t>
      </w:r>
    </w:p>
    <w:p>
      <w:pPr>
        <w:pStyle w:val="17"/>
        <w:spacing w:line="560" w:lineRule="exact"/>
        <w:ind w:left="1628" w:leftChars="304" w:hanging="990" w:hangingChars="300"/>
        <w:rPr>
          <w:rFonts w:ascii="Times New Roman" w:eastAsia="方正仿宋_GBK"/>
          <w:sz w:val="33"/>
          <w:szCs w:val="33"/>
        </w:rPr>
      </w:pPr>
    </w:p>
    <w:p>
      <w:pPr>
        <w:pStyle w:val="17"/>
        <w:spacing w:line="560" w:lineRule="exact"/>
        <w:ind w:left="1628" w:leftChars="304" w:hanging="990" w:hangingChars="300"/>
        <w:rPr>
          <w:rFonts w:ascii="Times New Roman" w:eastAsia="方正仿宋_GBK"/>
          <w:sz w:val="33"/>
          <w:szCs w:val="33"/>
        </w:rPr>
      </w:pPr>
    </w:p>
    <w:p>
      <w:pPr>
        <w:pStyle w:val="17"/>
        <w:spacing w:line="560" w:lineRule="exact"/>
        <w:ind w:left="1628" w:leftChars="304" w:hanging="990" w:hangingChars="300"/>
        <w:rPr>
          <w:rFonts w:ascii="Times New Roman" w:eastAsia="方正仿宋_GBK"/>
          <w:sz w:val="33"/>
          <w:szCs w:val="33"/>
        </w:rPr>
      </w:pPr>
    </w:p>
    <w:p>
      <w:pPr>
        <w:pStyle w:val="17"/>
        <w:spacing w:line="560" w:lineRule="exact"/>
        <w:ind w:left="1628" w:leftChars="304" w:hanging="990" w:hangingChars="300"/>
        <w:rPr>
          <w:rFonts w:ascii="Times New Roman" w:eastAsia="方正仿宋_GBK"/>
          <w:sz w:val="33"/>
          <w:szCs w:val="33"/>
        </w:rPr>
      </w:pPr>
    </w:p>
    <w:p>
      <w:pPr>
        <w:pStyle w:val="17"/>
        <w:spacing w:line="560" w:lineRule="exact"/>
        <w:ind w:left="1628" w:leftChars="304" w:hanging="990" w:hangingChars="300"/>
        <w:rPr>
          <w:rFonts w:ascii="Times New Roman" w:eastAsia="方正仿宋_GBK"/>
          <w:sz w:val="33"/>
          <w:szCs w:val="33"/>
        </w:rPr>
      </w:pPr>
    </w:p>
    <w:p>
      <w:pPr>
        <w:pStyle w:val="17"/>
        <w:spacing w:line="560" w:lineRule="exact"/>
        <w:ind w:left="1628" w:leftChars="304" w:hanging="990" w:hangingChars="300"/>
        <w:rPr>
          <w:rFonts w:ascii="Times New Roman" w:eastAsia="方正仿宋_GBK"/>
          <w:sz w:val="33"/>
          <w:szCs w:val="33"/>
        </w:rPr>
      </w:pPr>
    </w:p>
    <w:p>
      <w:pPr>
        <w:pStyle w:val="7"/>
        <w:spacing w:before="93"/>
        <w:rPr>
          <w:rFonts w:ascii="Times New Roman"/>
          <w:sz w:val="32"/>
          <w:szCs w:val="32"/>
        </w:rPr>
      </w:pPr>
      <w:r>
        <w:rPr>
          <w:rFonts w:ascii="Times New Roman"/>
          <w:sz w:val="32"/>
          <w:szCs w:val="32"/>
          <w:shd w:val="clear" w:color="auto" w:fill="FFFFFF"/>
          <w:lang w:val="zh-CN"/>
        </w:rPr>
        <w:t>附件</w:t>
      </w:r>
      <w:r>
        <w:rPr>
          <w:rFonts w:ascii="Times New Roman"/>
          <w:sz w:val="32"/>
          <w:szCs w:val="32"/>
          <w:shd w:val="clear" w:color="auto" w:fill="FFFFFF"/>
        </w:rPr>
        <w:t>2</w:t>
      </w:r>
    </w:p>
    <w:p>
      <w:pPr>
        <w:pStyle w:val="39"/>
        <w:spacing w:line="578" w:lineRule="exact"/>
        <w:jc w:val="center"/>
        <w:rPr>
          <w:rStyle w:val="33"/>
          <w:rFonts w:eastAsia="黑体"/>
          <w:b w:val="0"/>
          <w:sz w:val="32"/>
          <w:szCs w:val="32"/>
        </w:rPr>
      </w:pPr>
      <w:r>
        <w:rPr>
          <w:rFonts w:ascii="Times New Roman" w:hAnsi="Times New Roman" w:eastAsia="方正小标宋简体"/>
          <w:color w:val="000000" w:themeColor="text1"/>
          <w:kern w:val="2"/>
          <w:sz w:val="32"/>
          <w:szCs w:val="32"/>
          <w:lang w:val="en-US"/>
        </w:rPr>
        <w:t>2023年专项资金预算项目绩效自评报告</w:t>
      </w:r>
    </w:p>
    <w:p>
      <w:pPr>
        <w:spacing w:line="560" w:lineRule="exact"/>
        <w:ind w:firstLine="660" w:firstLineChars="200"/>
        <w:rPr>
          <w:rFonts w:eastAsia="方正仿宋_GBK"/>
          <w:sz w:val="33"/>
          <w:szCs w:val="33"/>
        </w:rPr>
      </w:pPr>
      <w:r>
        <w:rPr>
          <w:rFonts w:eastAsia="方正仿宋_GBK"/>
          <w:sz w:val="33"/>
          <w:szCs w:val="33"/>
        </w:rPr>
        <w:t>（中共盐边</w:t>
      </w:r>
      <w:r>
        <w:rPr>
          <w:rFonts w:hint="eastAsia" w:eastAsia="方正仿宋_GBK"/>
          <w:sz w:val="33"/>
          <w:szCs w:val="33"/>
        </w:rPr>
        <w:t>县</w:t>
      </w:r>
      <w:r>
        <w:rPr>
          <w:rFonts w:eastAsia="方正仿宋_GBK"/>
          <w:sz w:val="33"/>
          <w:szCs w:val="33"/>
        </w:rPr>
        <w:t>委政法委员会项目绩效自评报告，涉及涉密内容，不予以公开。）</w:t>
      </w:r>
    </w:p>
    <w:p>
      <w:pPr>
        <w:spacing w:line="580" w:lineRule="exact"/>
        <w:rPr>
          <w:rStyle w:val="33"/>
          <w:rFonts w:eastAsia="黑体"/>
          <w:b w:val="0"/>
        </w:rPr>
      </w:pPr>
    </w:p>
    <w:p>
      <w:pPr>
        <w:widowControl/>
        <w:jc w:val="left"/>
        <w:rPr>
          <w:rStyle w:val="33"/>
          <w:rFonts w:eastAsia="黑体"/>
          <w:b w:val="0"/>
        </w:rPr>
      </w:pPr>
      <w:r>
        <w:rPr>
          <w:rStyle w:val="33"/>
          <w:rFonts w:eastAsia="黑体"/>
          <w:b w:val="0"/>
        </w:rPr>
        <w:br w:type="page"/>
      </w:r>
    </w:p>
    <w:p>
      <w:pPr>
        <w:spacing w:line="600" w:lineRule="exact"/>
        <w:ind w:left="572"/>
        <w:jc w:val="center"/>
        <w:outlineLvl w:val="0"/>
        <w:rPr>
          <w:rFonts w:eastAsia="方正小标宋_GBK"/>
          <w:b/>
          <w:sz w:val="38"/>
          <w:szCs w:val="38"/>
        </w:rPr>
      </w:pPr>
      <w:bookmarkStart w:id="55" w:name="_Toc15396618"/>
      <w:r>
        <w:rPr>
          <w:rFonts w:eastAsia="方正小标宋_GBK"/>
          <w:b/>
          <w:sz w:val="38"/>
          <w:szCs w:val="38"/>
        </w:rPr>
        <w:t>第</w:t>
      </w:r>
      <w:r>
        <w:rPr>
          <w:rFonts w:hint="eastAsia" w:eastAsia="方正小标宋_GBK"/>
          <w:bCs/>
          <w:sz w:val="38"/>
          <w:szCs w:val="38"/>
        </w:rPr>
        <w:t>五部分 附表</w:t>
      </w:r>
      <w:bookmarkEnd w:id="54"/>
      <w:bookmarkEnd w:id="55"/>
      <w:bookmarkStart w:id="56" w:name="_Toc15396619"/>
    </w:p>
    <w:p>
      <w:pPr>
        <w:pStyle w:val="4"/>
        <w:ind w:firstLine="660" w:firstLineChars="200"/>
        <w:rPr>
          <w:rStyle w:val="34"/>
          <w:rFonts w:ascii="Times New Roman" w:hAnsi="Times New Roman" w:eastAsia="方正黑体_GBK" w:cs="Times New Roman"/>
          <w:b w:val="0"/>
          <w:bCs w:val="0"/>
          <w:sz w:val="33"/>
          <w:szCs w:val="33"/>
        </w:rPr>
      </w:pPr>
      <w:r>
        <w:rPr>
          <w:rFonts w:ascii="Times New Roman" w:hAnsi="Times New Roman" w:eastAsia="方正黑体_GBK" w:cs="Times New Roman"/>
          <w:b w:val="0"/>
          <w:sz w:val="33"/>
          <w:szCs w:val="33"/>
        </w:rPr>
        <w:t>一、收</w:t>
      </w:r>
      <w:r>
        <w:rPr>
          <w:rStyle w:val="34"/>
          <w:rFonts w:ascii="Times New Roman" w:hAnsi="Times New Roman" w:eastAsia="方正黑体_GBK" w:cs="Times New Roman"/>
          <w:b w:val="0"/>
          <w:bCs w:val="0"/>
          <w:sz w:val="33"/>
          <w:szCs w:val="33"/>
        </w:rPr>
        <w:t>入支出决算总表</w:t>
      </w:r>
      <w:bookmarkEnd w:id="56"/>
    </w:p>
    <w:p>
      <w:r>
        <w:drawing>
          <wp:inline distT="0" distB="0" distL="114300" distR="114300">
            <wp:extent cx="5267960" cy="4381500"/>
            <wp:effectExtent l="0" t="0" r="889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267960" cy="4381500"/>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bookmarkStart w:id="57" w:name="_Toc15396620"/>
      <w:r>
        <w:rPr>
          <w:rFonts w:ascii="Times New Roman" w:hAnsi="Times New Roman" w:eastAsia="方正黑体_GBK" w:cs="Times New Roman"/>
          <w:b w:val="0"/>
          <w:sz w:val="33"/>
          <w:szCs w:val="33"/>
        </w:rPr>
        <w:t>二、收入决算表</w:t>
      </w:r>
      <w:bookmarkEnd w:id="57"/>
    </w:p>
    <w:p>
      <w:pPr>
        <w:ind w:left="420" w:leftChars="200"/>
      </w:pPr>
      <w:r>
        <w:drawing>
          <wp:inline distT="0" distB="0" distL="114300" distR="114300">
            <wp:extent cx="5266690" cy="3158490"/>
            <wp:effectExtent l="0" t="0" r="1016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5266690" cy="3158490"/>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bookmarkStart w:id="58" w:name="_Toc15396621"/>
      <w:r>
        <w:rPr>
          <w:rFonts w:ascii="Times New Roman" w:hAnsi="Times New Roman" w:eastAsia="方正黑体_GBK" w:cs="Times New Roman"/>
          <w:b w:val="0"/>
          <w:sz w:val="33"/>
          <w:szCs w:val="33"/>
        </w:rPr>
        <w:t>三、支出决算表</w:t>
      </w:r>
      <w:bookmarkEnd w:id="58"/>
    </w:p>
    <w:p>
      <w:pPr>
        <w:ind w:left="420" w:leftChars="200"/>
      </w:pPr>
      <w:r>
        <w:drawing>
          <wp:inline distT="0" distB="0" distL="114300" distR="114300">
            <wp:extent cx="5265420" cy="3518535"/>
            <wp:effectExtent l="0" t="0" r="11430"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6"/>
                    <a:stretch>
                      <a:fillRect/>
                    </a:stretch>
                  </pic:blipFill>
                  <pic:spPr>
                    <a:xfrm>
                      <a:off x="0" y="0"/>
                      <a:ext cx="5265420" cy="3518535"/>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bookmarkStart w:id="59" w:name="_Toc15396622"/>
      <w:r>
        <w:rPr>
          <w:rFonts w:ascii="Times New Roman" w:hAnsi="Times New Roman" w:eastAsia="方正黑体_GBK" w:cs="Times New Roman"/>
          <w:b w:val="0"/>
          <w:sz w:val="33"/>
          <w:szCs w:val="33"/>
        </w:rPr>
        <w:t>四、财政拨款收入支出决算总表</w:t>
      </w:r>
      <w:bookmarkEnd w:id="59"/>
    </w:p>
    <w:p>
      <w:pPr>
        <w:ind w:left="420" w:leftChars="200"/>
      </w:pPr>
      <w:r>
        <w:drawing>
          <wp:inline distT="0" distB="0" distL="114300" distR="114300">
            <wp:extent cx="5272405" cy="3910330"/>
            <wp:effectExtent l="0" t="0" r="4445"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7"/>
                    <a:stretch>
                      <a:fillRect/>
                    </a:stretch>
                  </pic:blipFill>
                  <pic:spPr>
                    <a:xfrm>
                      <a:off x="0" y="0"/>
                      <a:ext cx="5272405" cy="3910330"/>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bookmarkStart w:id="60" w:name="_Toc15396623"/>
      <w:r>
        <w:rPr>
          <w:rFonts w:ascii="Times New Roman" w:hAnsi="Times New Roman" w:eastAsia="方正黑体_GBK" w:cs="Times New Roman"/>
          <w:b w:val="0"/>
          <w:sz w:val="33"/>
          <w:szCs w:val="33"/>
        </w:rPr>
        <w:t>五、财政拨款支出决算明细表</w:t>
      </w:r>
      <w:bookmarkEnd w:id="60"/>
      <w:bookmarkStart w:id="61" w:name="_Toc15396624"/>
    </w:p>
    <w:p>
      <w:pPr>
        <w:ind w:left="420" w:leftChars="200"/>
      </w:pPr>
      <w:r>
        <w:drawing>
          <wp:inline distT="0" distB="0" distL="114300" distR="114300">
            <wp:extent cx="5265420" cy="8114665"/>
            <wp:effectExtent l="0" t="0" r="11430" b="63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8"/>
                    <a:stretch>
                      <a:fillRect/>
                    </a:stretch>
                  </pic:blipFill>
                  <pic:spPr>
                    <a:xfrm>
                      <a:off x="0" y="0"/>
                      <a:ext cx="5265420" cy="8114665"/>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r>
        <w:rPr>
          <w:rFonts w:ascii="Times New Roman" w:hAnsi="Times New Roman" w:eastAsia="方正黑体_GBK" w:cs="Times New Roman"/>
          <w:b w:val="0"/>
          <w:sz w:val="33"/>
          <w:szCs w:val="33"/>
        </w:rPr>
        <w:t>六、一般公共预算财政拨款支出决算表</w:t>
      </w:r>
      <w:bookmarkEnd w:id="61"/>
    </w:p>
    <w:p>
      <w:pPr>
        <w:ind w:left="420" w:leftChars="200"/>
      </w:pPr>
      <w:r>
        <w:drawing>
          <wp:inline distT="0" distB="0" distL="114300" distR="114300">
            <wp:extent cx="5267960" cy="4726940"/>
            <wp:effectExtent l="0" t="0" r="8890" b="1651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9"/>
                    <a:stretch>
                      <a:fillRect/>
                    </a:stretch>
                  </pic:blipFill>
                  <pic:spPr>
                    <a:xfrm>
                      <a:off x="0" y="0"/>
                      <a:ext cx="5267960" cy="4726940"/>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bookmarkStart w:id="62" w:name="_Toc15396625"/>
      <w:r>
        <w:rPr>
          <w:rFonts w:ascii="Times New Roman" w:hAnsi="Times New Roman" w:eastAsia="方正黑体_GBK" w:cs="Times New Roman"/>
          <w:b w:val="0"/>
          <w:sz w:val="33"/>
          <w:szCs w:val="33"/>
        </w:rPr>
        <w:t>七、一般公共预算财政拨款支出决算明细表</w:t>
      </w:r>
      <w:bookmarkEnd w:id="62"/>
    </w:p>
    <w:p>
      <w:pPr>
        <w:ind w:left="420" w:leftChars="200"/>
      </w:pPr>
      <w:r>
        <w:drawing>
          <wp:inline distT="0" distB="0" distL="114300" distR="114300">
            <wp:extent cx="5194300" cy="2577465"/>
            <wp:effectExtent l="0" t="0" r="6350" b="1333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20"/>
                    <a:stretch>
                      <a:fillRect/>
                    </a:stretch>
                  </pic:blipFill>
                  <pic:spPr>
                    <a:xfrm>
                      <a:off x="0" y="0"/>
                      <a:ext cx="5194300" cy="2577465"/>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bookmarkStart w:id="63" w:name="_Toc15396626"/>
      <w:r>
        <w:rPr>
          <w:rFonts w:ascii="Times New Roman" w:hAnsi="Times New Roman" w:eastAsia="方正黑体_GBK" w:cs="Times New Roman"/>
          <w:b w:val="0"/>
          <w:sz w:val="33"/>
          <w:szCs w:val="33"/>
        </w:rPr>
        <w:t>八、一般公共预算财政拨款基本支出决算表</w:t>
      </w:r>
      <w:bookmarkEnd w:id="63"/>
    </w:p>
    <w:p>
      <w:pPr>
        <w:ind w:left="420" w:leftChars="200"/>
      </w:pPr>
      <w:r>
        <w:drawing>
          <wp:inline distT="0" distB="0" distL="114300" distR="114300">
            <wp:extent cx="5267960" cy="3090545"/>
            <wp:effectExtent l="0" t="0" r="8890" b="1460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21"/>
                    <a:stretch>
                      <a:fillRect/>
                    </a:stretch>
                  </pic:blipFill>
                  <pic:spPr>
                    <a:xfrm>
                      <a:off x="0" y="0"/>
                      <a:ext cx="5267960" cy="3090545"/>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bookmarkStart w:id="64" w:name="_Toc15396627"/>
      <w:r>
        <w:rPr>
          <w:rFonts w:ascii="Times New Roman" w:hAnsi="Times New Roman" w:eastAsia="方正黑体_GBK" w:cs="Times New Roman"/>
          <w:b w:val="0"/>
          <w:sz w:val="33"/>
          <w:szCs w:val="33"/>
        </w:rPr>
        <w:t>九、一般公共预算财政拨款项目支出决算表</w:t>
      </w:r>
      <w:bookmarkEnd w:id="64"/>
    </w:p>
    <w:p>
      <w:pPr>
        <w:ind w:left="420" w:leftChars="200"/>
      </w:pPr>
      <w:r>
        <w:drawing>
          <wp:inline distT="0" distB="0" distL="114300" distR="114300">
            <wp:extent cx="5272405" cy="3009265"/>
            <wp:effectExtent l="0" t="0" r="4445" b="63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2"/>
                    <a:stretch>
                      <a:fillRect/>
                    </a:stretch>
                  </pic:blipFill>
                  <pic:spPr>
                    <a:xfrm>
                      <a:off x="0" y="0"/>
                      <a:ext cx="5272405" cy="3009265"/>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r>
        <w:rPr>
          <w:rFonts w:ascii="Times New Roman" w:hAnsi="Times New Roman" w:eastAsia="方正黑体_GBK" w:cs="Times New Roman"/>
          <w:b w:val="0"/>
          <w:sz w:val="33"/>
          <w:szCs w:val="33"/>
        </w:rPr>
        <w:t>十、政府性基金预算财政拨款收入支出决算表</w:t>
      </w:r>
    </w:p>
    <w:p>
      <w:pPr>
        <w:ind w:left="420" w:leftChars="200"/>
      </w:pPr>
      <w:r>
        <w:drawing>
          <wp:inline distT="0" distB="0" distL="114300" distR="114300">
            <wp:extent cx="5272405" cy="1691005"/>
            <wp:effectExtent l="0" t="0" r="4445" b="444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23"/>
                    <a:stretch>
                      <a:fillRect/>
                    </a:stretch>
                  </pic:blipFill>
                  <pic:spPr>
                    <a:xfrm>
                      <a:off x="0" y="0"/>
                      <a:ext cx="5272405" cy="1691005"/>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r>
        <w:rPr>
          <w:rFonts w:ascii="Times New Roman" w:hAnsi="Times New Roman" w:eastAsia="方正黑体_GBK" w:cs="Times New Roman"/>
          <w:b w:val="0"/>
          <w:sz w:val="33"/>
          <w:szCs w:val="33"/>
        </w:rPr>
        <w:t>十一、国有资本经营预算财政拨款收入支出决算表</w:t>
      </w:r>
    </w:p>
    <w:p>
      <w:pPr>
        <w:ind w:left="420" w:leftChars="200"/>
      </w:pPr>
      <w:r>
        <w:drawing>
          <wp:inline distT="0" distB="0" distL="114300" distR="114300">
            <wp:extent cx="5271135" cy="2410460"/>
            <wp:effectExtent l="0" t="0" r="5715" b="889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24"/>
                    <a:stretch>
                      <a:fillRect/>
                    </a:stretch>
                  </pic:blipFill>
                  <pic:spPr>
                    <a:xfrm>
                      <a:off x="0" y="0"/>
                      <a:ext cx="5271135" cy="2410460"/>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r>
        <w:rPr>
          <w:rFonts w:ascii="Times New Roman" w:hAnsi="Times New Roman" w:eastAsia="方正黑体_GBK" w:cs="Times New Roman"/>
          <w:b w:val="0"/>
          <w:sz w:val="33"/>
          <w:szCs w:val="33"/>
        </w:rPr>
        <w:t>十</w:t>
      </w:r>
      <w:r>
        <w:rPr>
          <w:rFonts w:hint="eastAsia" w:ascii="Times New Roman" w:hAnsi="Times New Roman" w:eastAsia="方正黑体_GBK" w:cs="Times New Roman"/>
          <w:b w:val="0"/>
          <w:sz w:val="33"/>
          <w:szCs w:val="33"/>
        </w:rPr>
        <w:t>二</w:t>
      </w:r>
      <w:r>
        <w:rPr>
          <w:rFonts w:ascii="Times New Roman" w:hAnsi="Times New Roman" w:eastAsia="方正黑体_GBK" w:cs="Times New Roman"/>
          <w:b w:val="0"/>
          <w:sz w:val="33"/>
          <w:szCs w:val="33"/>
        </w:rPr>
        <w:t>、国有资本经营预算财政拨款支出决算表</w:t>
      </w:r>
    </w:p>
    <w:p>
      <w:pPr>
        <w:ind w:left="420" w:leftChars="200"/>
      </w:pPr>
      <w:r>
        <w:drawing>
          <wp:inline distT="0" distB="0" distL="114300" distR="114300">
            <wp:extent cx="5269865" cy="2543810"/>
            <wp:effectExtent l="0" t="0" r="6985" b="889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25"/>
                    <a:stretch>
                      <a:fillRect/>
                    </a:stretch>
                  </pic:blipFill>
                  <pic:spPr>
                    <a:xfrm>
                      <a:off x="0" y="0"/>
                      <a:ext cx="5269865" cy="2543810"/>
                    </a:xfrm>
                    <a:prstGeom prst="rect">
                      <a:avLst/>
                    </a:prstGeom>
                    <a:noFill/>
                    <a:ln>
                      <a:noFill/>
                    </a:ln>
                  </pic:spPr>
                </pic:pic>
              </a:graphicData>
            </a:graphic>
          </wp:inline>
        </w:drawing>
      </w:r>
    </w:p>
    <w:p>
      <w:pPr>
        <w:pStyle w:val="4"/>
        <w:ind w:firstLine="660" w:firstLineChars="200"/>
        <w:rPr>
          <w:rFonts w:ascii="Times New Roman" w:hAnsi="Times New Roman" w:eastAsia="方正黑体_GBK" w:cs="Times New Roman"/>
          <w:b w:val="0"/>
          <w:sz w:val="33"/>
          <w:szCs w:val="33"/>
        </w:rPr>
      </w:pPr>
      <w:r>
        <w:rPr>
          <w:rFonts w:ascii="Times New Roman" w:hAnsi="Times New Roman" w:eastAsia="方正黑体_GBK" w:cs="Times New Roman"/>
          <w:b w:val="0"/>
          <w:sz w:val="33"/>
          <w:szCs w:val="33"/>
        </w:rPr>
        <w:t>十</w:t>
      </w:r>
      <w:r>
        <w:rPr>
          <w:rFonts w:hint="eastAsia" w:ascii="Times New Roman" w:hAnsi="Times New Roman" w:eastAsia="方正黑体_GBK" w:cs="Times New Roman"/>
          <w:b w:val="0"/>
          <w:sz w:val="33"/>
          <w:szCs w:val="33"/>
        </w:rPr>
        <w:t>三</w:t>
      </w:r>
      <w:r>
        <w:rPr>
          <w:rFonts w:ascii="Times New Roman" w:hAnsi="Times New Roman" w:eastAsia="方正黑体_GBK" w:cs="Times New Roman"/>
          <w:b w:val="0"/>
          <w:sz w:val="33"/>
          <w:szCs w:val="33"/>
        </w:rPr>
        <w:t>、财政拨款“三公”经费支出决算表</w:t>
      </w:r>
    </w:p>
    <w:p>
      <w:pPr>
        <w:ind w:left="420" w:leftChars="200"/>
      </w:pPr>
      <w:r>
        <w:drawing>
          <wp:inline distT="0" distB="0" distL="114300" distR="114300">
            <wp:extent cx="5269230" cy="1087755"/>
            <wp:effectExtent l="0" t="0" r="7620" b="1714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26"/>
                    <a:stretch>
                      <a:fillRect/>
                    </a:stretch>
                  </pic:blipFill>
                  <pic:spPr>
                    <a:xfrm>
                      <a:off x="0" y="0"/>
                      <a:ext cx="5269230" cy="1087755"/>
                    </a:xfrm>
                    <a:prstGeom prst="rect">
                      <a:avLst/>
                    </a:prstGeom>
                    <a:noFill/>
                    <a:ln>
                      <a:noFill/>
                    </a:ln>
                  </pic:spPr>
                </pic:pic>
              </a:graphicData>
            </a:graphic>
          </wp:inline>
        </w:drawing>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eastAsia="方正仿宋简体"/>
        <w:sz w:val="24"/>
        <w:szCs w:val="24"/>
      </w:rPr>
    </w:pPr>
    <w:r>
      <w:rPr>
        <w:rStyle w:val="21"/>
        <w:rFonts w:hint="eastAsia" w:eastAsia="方正仿宋简体"/>
        <w:sz w:val="24"/>
        <w:szCs w:val="24"/>
      </w:rPr>
      <w:t>—</w:t>
    </w:r>
    <w:r>
      <w:rPr>
        <w:rStyle w:val="21"/>
        <w:rFonts w:eastAsia="方正仿宋简体"/>
        <w:sz w:val="24"/>
        <w:szCs w:val="24"/>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23</w:t>
    </w:r>
    <w:r>
      <w:rPr>
        <w:rFonts w:ascii="宋体" w:hAnsi="宋体"/>
        <w:sz w:val="28"/>
        <w:szCs w:val="28"/>
      </w:rPr>
      <w:fldChar w:fldCharType="end"/>
    </w:r>
    <w:r>
      <w:rPr>
        <w:rStyle w:val="21"/>
        <w:rFonts w:eastAsia="方正仿宋简体"/>
        <w:sz w:val="24"/>
        <w:szCs w:val="24"/>
      </w:rPr>
      <w:t xml:space="preserve"> </w:t>
    </w:r>
    <w:r>
      <w:rPr>
        <w:rStyle w:val="21"/>
        <w:rFonts w:hint="eastAsia" w:eastAsia="方正仿宋简体"/>
        <w:sz w:val="24"/>
        <w:szCs w:val="24"/>
      </w:rPr>
      <w:t>—</w:t>
    </w:r>
  </w:p>
  <w:p>
    <w:pPr>
      <w:pStyle w:val="12"/>
      <w:jc w:val="center"/>
    </w:pPr>
    <w:r>
      <w:rPr>
        <w:rStyle w:val="21"/>
        <w:rFonts w:hint="eastAsia" w:ascii="方正仿宋简体"/>
        <w:sz w:val="24"/>
      </w:rPr>
      <w:t xml:space="preserve">     </w:t>
    </w:r>
    <w:sdt>
      <w:sdtPr>
        <w:id w:val="-1994781956"/>
      </w:sdtPr>
      <w:sdtContent/>
    </w:sdt>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2FB"/>
    <w:rsid w:val="000222C6"/>
    <w:rsid w:val="0002549F"/>
    <w:rsid w:val="000468DB"/>
    <w:rsid w:val="0006487A"/>
    <w:rsid w:val="00065F8F"/>
    <w:rsid w:val="00070A43"/>
    <w:rsid w:val="000768F2"/>
    <w:rsid w:val="0009184B"/>
    <w:rsid w:val="00094236"/>
    <w:rsid w:val="0009593C"/>
    <w:rsid w:val="00097322"/>
    <w:rsid w:val="000A6A92"/>
    <w:rsid w:val="000B047F"/>
    <w:rsid w:val="000B1D1B"/>
    <w:rsid w:val="000B5923"/>
    <w:rsid w:val="000B5A48"/>
    <w:rsid w:val="000B6FF3"/>
    <w:rsid w:val="000B7774"/>
    <w:rsid w:val="000C3467"/>
    <w:rsid w:val="000C3CA6"/>
    <w:rsid w:val="000D1267"/>
    <w:rsid w:val="000D1D50"/>
    <w:rsid w:val="000D5782"/>
    <w:rsid w:val="000E6613"/>
    <w:rsid w:val="000E7119"/>
    <w:rsid w:val="00114E9B"/>
    <w:rsid w:val="00115EF5"/>
    <w:rsid w:val="00142216"/>
    <w:rsid w:val="00144D6A"/>
    <w:rsid w:val="0014729F"/>
    <w:rsid w:val="00157BAB"/>
    <w:rsid w:val="001654D1"/>
    <w:rsid w:val="00172A27"/>
    <w:rsid w:val="00174518"/>
    <w:rsid w:val="0018106D"/>
    <w:rsid w:val="001877A7"/>
    <w:rsid w:val="00191536"/>
    <w:rsid w:val="00194894"/>
    <w:rsid w:val="00196687"/>
    <w:rsid w:val="001C0962"/>
    <w:rsid w:val="001D7531"/>
    <w:rsid w:val="001E737D"/>
    <w:rsid w:val="001F0592"/>
    <w:rsid w:val="001F7506"/>
    <w:rsid w:val="002006CD"/>
    <w:rsid w:val="00202B36"/>
    <w:rsid w:val="00204B7A"/>
    <w:rsid w:val="00204CDE"/>
    <w:rsid w:val="0021101A"/>
    <w:rsid w:val="00220536"/>
    <w:rsid w:val="0022527F"/>
    <w:rsid w:val="00235629"/>
    <w:rsid w:val="00260C38"/>
    <w:rsid w:val="002616C0"/>
    <w:rsid w:val="00265372"/>
    <w:rsid w:val="002662AA"/>
    <w:rsid w:val="00280496"/>
    <w:rsid w:val="00294DC9"/>
    <w:rsid w:val="00295495"/>
    <w:rsid w:val="002A31DE"/>
    <w:rsid w:val="002A66F7"/>
    <w:rsid w:val="002B2613"/>
    <w:rsid w:val="002D6D05"/>
    <w:rsid w:val="002F1818"/>
    <w:rsid w:val="002F567B"/>
    <w:rsid w:val="003216A9"/>
    <w:rsid w:val="003230DD"/>
    <w:rsid w:val="00335A74"/>
    <w:rsid w:val="0036561B"/>
    <w:rsid w:val="0037013F"/>
    <w:rsid w:val="00380C92"/>
    <w:rsid w:val="003A484F"/>
    <w:rsid w:val="003A4883"/>
    <w:rsid w:val="003B0BE0"/>
    <w:rsid w:val="003B0C1B"/>
    <w:rsid w:val="003B688C"/>
    <w:rsid w:val="003C0291"/>
    <w:rsid w:val="003C39AE"/>
    <w:rsid w:val="003C4B0A"/>
    <w:rsid w:val="003C6115"/>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412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2FBC"/>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0EC3"/>
    <w:rsid w:val="007416B6"/>
    <w:rsid w:val="00746F48"/>
    <w:rsid w:val="0075404D"/>
    <w:rsid w:val="007540C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771"/>
    <w:rsid w:val="00900B08"/>
    <w:rsid w:val="00902155"/>
    <w:rsid w:val="00902FA3"/>
    <w:rsid w:val="00923564"/>
    <w:rsid w:val="0092392E"/>
    <w:rsid w:val="009315F9"/>
    <w:rsid w:val="00933499"/>
    <w:rsid w:val="00935C98"/>
    <w:rsid w:val="00946945"/>
    <w:rsid w:val="00951248"/>
    <w:rsid w:val="0095152F"/>
    <w:rsid w:val="009529F6"/>
    <w:rsid w:val="00954C49"/>
    <w:rsid w:val="00955E37"/>
    <w:rsid w:val="0097099F"/>
    <w:rsid w:val="00971997"/>
    <w:rsid w:val="00971FFC"/>
    <w:rsid w:val="0098660A"/>
    <w:rsid w:val="009931C3"/>
    <w:rsid w:val="009A5BC9"/>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8FA"/>
    <w:rsid w:val="00A56DF2"/>
    <w:rsid w:val="00A56E6E"/>
    <w:rsid w:val="00A67AB5"/>
    <w:rsid w:val="00A733B2"/>
    <w:rsid w:val="00A741C2"/>
    <w:rsid w:val="00A9134F"/>
    <w:rsid w:val="00A91760"/>
    <w:rsid w:val="00A93B00"/>
    <w:rsid w:val="00A93C21"/>
    <w:rsid w:val="00AB64C9"/>
    <w:rsid w:val="00AC3C6A"/>
    <w:rsid w:val="00AD5620"/>
    <w:rsid w:val="00AD656B"/>
    <w:rsid w:val="00AD6763"/>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127B"/>
    <w:rsid w:val="00B77EA6"/>
    <w:rsid w:val="00B81598"/>
    <w:rsid w:val="00B841F1"/>
    <w:rsid w:val="00B90A81"/>
    <w:rsid w:val="00B944D6"/>
    <w:rsid w:val="00BB4DF0"/>
    <w:rsid w:val="00BC289F"/>
    <w:rsid w:val="00BC2D50"/>
    <w:rsid w:val="00BC5361"/>
    <w:rsid w:val="00BC5460"/>
    <w:rsid w:val="00BC6B50"/>
    <w:rsid w:val="00BD0E25"/>
    <w:rsid w:val="00BE083A"/>
    <w:rsid w:val="00BF5B33"/>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2FD5"/>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49F1"/>
    <w:rsid w:val="00E01053"/>
    <w:rsid w:val="00E07ACF"/>
    <w:rsid w:val="00E331A1"/>
    <w:rsid w:val="00E33202"/>
    <w:rsid w:val="00E336A9"/>
    <w:rsid w:val="00E472B1"/>
    <w:rsid w:val="00E50624"/>
    <w:rsid w:val="00E5174E"/>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5D1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4B37676"/>
    <w:rsid w:val="066E0107"/>
    <w:rsid w:val="07996F6E"/>
    <w:rsid w:val="085F5870"/>
    <w:rsid w:val="0A2032A3"/>
    <w:rsid w:val="0F98263C"/>
    <w:rsid w:val="101860EC"/>
    <w:rsid w:val="10914CBA"/>
    <w:rsid w:val="10C055FF"/>
    <w:rsid w:val="118107EC"/>
    <w:rsid w:val="11A725B5"/>
    <w:rsid w:val="12F41825"/>
    <w:rsid w:val="13D50BC4"/>
    <w:rsid w:val="141A04F6"/>
    <w:rsid w:val="16243A29"/>
    <w:rsid w:val="16BB723D"/>
    <w:rsid w:val="1A5121A0"/>
    <w:rsid w:val="1A785AE6"/>
    <w:rsid w:val="1AB82F8E"/>
    <w:rsid w:val="1BE8440E"/>
    <w:rsid w:val="1D155CEE"/>
    <w:rsid w:val="1D512B21"/>
    <w:rsid w:val="1E8F5598"/>
    <w:rsid w:val="1FF35744"/>
    <w:rsid w:val="21F77EC8"/>
    <w:rsid w:val="23860B96"/>
    <w:rsid w:val="240371BF"/>
    <w:rsid w:val="27A23F9A"/>
    <w:rsid w:val="289F0E61"/>
    <w:rsid w:val="29FD04D3"/>
    <w:rsid w:val="2C8A61B5"/>
    <w:rsid w:val="2DF04E50"/>
    <w:rsid w:val="2EFC782A"/>
    <w:rsid w:val="2F040D46"/>
    <w:rsid w:val="2F4C456F"/>
    <w:rsid w:val="2FCF7030"/>
    <w:rsid w:val="319F7F4E"/>
    <w:rsid w:val="3304709D"/>
    <w:rsid w:val="34E164EC"/>
    <w:rsid w:val="36A63FB4"/>
    <w:rsid w:val="36AA5135"/>
    <w:rsid w:val="370C4B03"/>
    <w:rsid w:val="376D39B2"/>
    <w:rsid w:val="37E16F03"/>
    <w:rsid w:val="38AF6131"/>
    <w:rsid w:val="38D469F0"/>
    <w:rsid w:val="3A7F128B"/>
    <w:rsid w:val="3B4401B5"/>
    <w:rsid w:val="3D98207C"/>
    <w:rsid w:val="3DFB33D9"/>
    <w:rsid w:val="3E78745D"/>
    <w:rsid w:val="40966F40"/>
    <w:rsid w:val="44E268DA"/>
    <w:rsid w:val="47AD7EDB"/>
    <w:rsid w:val="47D50285"/>
    <w:rsid w:val="4A627F82"/>
    <w:rsid w:val="4ABD2637"/>
    <w:rsid w:val="4B0E749A"/>
    <w:rsid w:val="4B4F25DA"/>
    <w:rsid w:val="4BE068DB"/>
    <w:rsid w:val="4D577224"/>
    <w:rsid w:val="4EAB630A"/>
    <w:rsid w:val="4ECE2238"/>
    <w:rsid w:val="52BC73BE"/>
    <w:rsid w:val="537E6D0A"/>
    <w:rsid w:val="53D13F01"/>
    <w:rsid w:val="55A67E4F"/>
    <w:rsid w:val="580E0E14"/>
    <w:rsid w:val="5AF92295"/>
    <w:rsid w:val="5CD71FC4"/>
    <w:rsid w:val="61FF1FE6"/>
    <w:rsid w:val="6C4A05C8"/>
    <w:rsid w:val="6E7E3605"/>
    <w:rsid w:val="6EB11A95"/>
    <w:rsid w:val="6FF5CC65"/>
    <w:rsid w:val="715C0E4B"/>
    <w:rsid w:val="72734D90"/>
    <w:rsid w:val="73AD73D5"/>
    <w:rsid w:val="73B6EB34"/>
    <w:rsid w:val="744731E5"/>
    <w:rsid w:val="76E3355F"/>
    <w:rsid w:val="76EB79E6"/>
    <w:rsid w:val="778769C8"/>
    <w:rsid w:val="79EE5BA4"/>
    <w:rsid w:val="7A894339"/>
    <w:rsid w:val="7C6D7D36"/>
    <w:rsid w:val="7EEF11D3"/>
    <w:rsid w:val="7FA30C79"/>
    <w:rsid w:val="7FB7269E"/>
    <w:rsid w:val="7FC96657"/>
    <w:rsid w:val="7FCA1C52"/>
    <w:rsid w:val="7FD91FB6"/>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Times New Roman"/>
      <w:sz w:val="32"/>
      <w:szCs w:val="32"/>
    </w:rPr>
  </w:style>
  <w:style w:type="paragraph" w:styleId="6">
    <w:name w:val="Salutation"/>
    <w:basedOn w:val="1"/>
    <w:next w:val="1"/>
    <w:qFormat/>
    <w:uiPriority w:val="0"/>
  </w:style>
  <w:style w:type="paragraph" w:styleId="7">
    <w:name w:val="Body Text"/>
    <w:basedOn w:val="1"/>
    <w:link w:val="30"/>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6"/>
    <w:semiHidden/>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2"/>
    <w:basedOn w:val="8"/>
    <w:unhideWhenUsed/>
    <w:qFormat/>
    <w:uiPriority w:val="99"/>
    <w:pPr>
      <w:ind w:firstLine="420" w:firstLineChars="200"/>
    </w:pPr>
  </w:style>
  <w:style w:type="character" w:styleId="20">
    <w:name w:val="Strong"/>
    <w:basedOn w:val="19"/>
    <w:qFormat/>
    <w:uiPriority w:val="99"/>
    <w:rPr>
      <w:b/>
    </w:rPr>
  </w:style>
  <w:style w:type="character" w:styleId="21">
    <w:name w:val="page number"/>
    <w:basedOn w:val="19"/>
    <w:qFormat/>
    <w:uiPriority w:val="0"/>
  </w:style>
  <w:style w:type="character" w:styleId="22">
    <w:name w:val="Hyperlink"/>
    <w:basedOn w:val="19"/>
    <w:unhideWhenUsed/>
    <w:qFormat/>
    <w:uiPriority w:val="99"/>
    <w:rPr>
      <w:color w:val="0000FF" w:themeColor="hyperlink"/>
      <w:u w:val="single"/>
    </w:rPr>
  </w:style>
  <w:style w:type="paragraph" w:customStyle="1" w:styleId="23">
    <w:name w:val="_Style 4"/>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24">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5">
    <w:name w:val="Header Char"/>
    <w:basedOn w:val="19"/>
    <w:semiHidden/>
    <w:qFormat/>
    <w:uiPriority w:val="99"/>
    <w:rPr>
      <w:rFonts w:ascii="Times New Roman" w:hAnsi="Times New Roman"/>
      <w:sz w:val="18"/>
      <w:szCs w:val="18"/>
    </w:rPr>
  </w:style>
  <w:style w:type="character" w:customStyle="1" w:styleId="26">
    <w:name w:val="页眉 Char"/>
    <w:link w:val="13"/>
    <w:semiHidden/>
    <w:qFormat/>
    <w:locked/>
    <w:uiPriority w:val="99"/>
    <w:rPr>
      <w:sz w:val="18"/>
    </w:rPr>
  </w:style>
  <w:style w:type="character" w:customStyle="1" w:styleId="27">
    <w:name w:val="Footer Char"/>
    <w:basedOn w:val="19"/>
    <w:semiHidden/>
    <w:qFormat/>
    <w:uiPriority w:val="99"/>
    <w:rPr>
      <w:rFonts w:ascii="Times New Roman" w:hAnsi="Times New Roman"/>
      <w:sz w:val="18"/>
      <w:szCs w:val="18"/>
    </w:rPr>
  </w:style>
  <w:style w:type="character" w:customStyle="1" w:styleId="28">
    <w:name w:val="页脚 Char"/>
    <w:link w:val="12"/>
    <w:qFormat/>
    <w:locked/>
    <w:uiPriority w:val="99"/>
    <w:rPr>
      <w:sz w:val="18"/>
    </w:rPr>
  </w:style>
  <w:style w:type="character" w:customStyle="1" w:styleId="29">
    <w:name w:val="Body Text Char"/>
    <w:basedOn w:val="19"/>
    <w:semiHidden/>
    <w:qFormat/>
    <w:uiPriority w:val="99"/>
    <w:rPr>
      <w:rFonts w:ascii="Times New Roman" w:hAnsi="Times New Roman"/>
      <w:szCs w:val="24"/>
    </w:rPr>
  </w:style>
  <w:style w:type="character" w:customStyle="1" w:styleId="30">
    <w:name w:val="正文文本 Char"/>
    <w:link w:val="7"/>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character" w:customStyle="1" w:styleId="33">
    <w:name w:val="标题 1 Char"/>
    <w:basedOn w:val="19"/>
    <w:link w:val="3"/>
    <w:qFormat/>
    <w:uiPriority w:val="9"/>
    <w:rPr>
      <w:rFonts w:ascii="Times New Roman" w:hAnsi="Times New Roman"/>
      <w:b/>
      <w:bCs/>
      <w:kern w:val="44"/>
      <w:sz w:val="44"/>
      <w:szCs w:val="44"/>
    </w:rPr>
  </w:style>
  <w:style w:type="character" w:customStyle="1" w:styleId="34">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批注框文本 Char"/>
    <w:basedOn w:val="19"/>
    <w:link w:val="11"/>
    <w:semiHidden/>
    <w:qFormat/>
    <w:uiPriority w:val="99"/>
    <w:rPr>
      <w:rFonts w:ascii="Times New Roman" w:hAnsi="Times New Roman"/>
      <w:kern w:val="2"/>
      <w:sz w:val="18"/>
      <w:szCs w:val="18"/>
    </w:rPr>
  </w:style>
  <w:style w:type="character" w:customStyle="1" w:styleId="37">
    <w:name w:val="标题 3 Char"/>
    <w:basedOn w:val="19"/>
    <w:link w:val="5"/>
    <w:qFormat/>
    <w:uiPriority w:val="9"/>
    <w:rPr>
      <w:rFonts w:ascii="Times New Roman" w:hAnsi="Times New Roman"/>
      <w:b/>
      <w:bCs/>
      <w:kern w:val="2"/>
      <w:sz w:val="32"/>
      <w:szCs w:val="32"/>
    </w:rPr>
  </w:style>
  <w:style w:type="paragraph" w:customStyle="1" w:styleId="38">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9">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图1   收入、支出决算总计变动情况</a:t>
            </a:r>
            <a:endParaRPr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[2021决算公开图表政法委.xls]Sheet1!$A$58</c:f>
              <c:strCache>
                <c:ptCount val="1"/>
                <c:pt idx="0">
                  <c:v>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[2021决算公开图表政法委.xls]Sheet1!$B$58:$C$58</c:f>
              <c:strCache>
                <c:ptCount val="2"/>
                <c:pt idx="0">
                  <c:v>2021年</c:v>
                </c:pt>
                <c:pt idx="1">
                  <c:v>2022年</c:v>
                </c:pt>
              </c:strCache>
            </c:strRef>
          </c:cat>
          <c:val>
            <c:numRef>
              <c:f>[2021决算公开图表政法委.xls]Sheet1!$B$59:$C$59</c:f>
              <c:numCache>
                <c:formatCode>General</c:formatCode>
                <c:ptCount val="2"/>
                <c:pt idx="0">
                  <c:v>490.93</c:v>
                </c:pt>
                <c:pt idx="1">
                  <c:v>493.9</c:v>
                </c:pt>
              </c:numCache>
            </c:numRef>
          </c:val>
        </c:ser>
        <c:dLbls>
          <c:showLegendKey val="0"/>
          <c:showVal val="1"/>
          <c:showCatName val="0"/>
          <c:showSerName val="0"/>
          <c:showPercent val="0"/>
          <c:showBubbleSize val="0"/>
        </c:dLbls>
        <c:gapWidth val="150"/>
        <c:axId val="529739136"/>
        <c:axId val="539951488"/>
      </c:barChart>
      <c:catAx>
        <c:axId val="52973913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39951488"/>
        <c:crosses val="autoZero"/>
        <c:auto val="1"/>
        <c:lblAlgn val="ctr"/>
        <c:lblOffset val="100"/>
        <c:noMultiLvlLbl val="0"/>
      </c:catAx>
      <c:valAx>
        <c:axId val="539951488"/>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2973913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95"/>
          <c:y val="0.5075"/>
          <c:w val="0.19475"/>
          <c:h val="0.05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图2    收入决算结构图</a:t>
            </a:r>
            <a:endParaRPr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[2021决算公开图表政法委.xls]Sheet1!$C$3:$C$8</c:f>
              <c:numCache>
                <c:formatCode>General</c:formatCode>
                <c:ptCount val="6"/>
                <c:pt idx="0">
                  <c:v>493.9</c:v>
                </c:pt>
                <c:pt idx="1">
                  <c:v>0</c:v>
                </c:pt>
                <c:pt idx="2">
                  <c:v>0</c:v>
                </c:pt>
                <c:pt idx="3">
                  <c:v>0</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delete val="1"/>
          </c:dLbls>
          <c:cat>
            <c:strRef>
              <c:f>[2021决算公开图表政法委.xls]Sheet1!$B$3:$B$8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[2021决算公开图表政法委.xls]Sheet1!$D$3:$D$8</c:f>
              <c:numCache>
                <c:formatCode>0%</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11539663895916"/>
          <c:y val="0.215229837747554"/>
          <c:w val="0.3285"/>
          <c:h val="0.664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3"/>
              <c:layout>
                <c:manualLayout>
                  <c:x val="0.255875002203991"/>
                  <c:y val="0.50888153998363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701157184918108"/>
                  <c:y val="0.384754975173551"/>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[2021决算公开图表政法委.xls]Sheet1!$B$34:$B$38</c:f>
              <c:strCache>
                <c:ptCount val="5"/>
                <c:pt idx="0">
                  <c:v>基本支出</c:v>
                </c:pt>
                <c:pt idx="1">
                  <c:v>项目支出</c:v>
                </c:pt>
                <c:pt idx="2">
                  <c:v>上缴上级支出</c:v>
                </c:pt>
                <c:pt idx="3">
                  <c:v>经营支出</c:v>
                </c:pt>
                <c:pt idx="4">
                  <c:v>对附属单位补助支出</c:v>
                </c:pt>
              </c:strCache>
            </c:strRef>
          </c:cat>
          <c:val>
            <c:numRef>
              <c:f>[2021决算公开图表政法委.xls]Sheet1!$C$34:$C$38</c:f>
              <c:numCache>
                <c:formatCode>General</c:formatCode>
                <c:ptCount val="5"/>
                <c:pt idx="0">
                  <c:v>376.2</c:v>
                </c:pt>
                <c:pt idx="1">
                  <c:v>117.7</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[2021决算公开图表政法委.xls]Sheet1!$B$34:$B$38</c:f>
              <c:strCache>
                <c:ptCount val="5"/>
                <c:pt idx="0">
                  <c:v>基本支出</c:v>
                </c:pt>
                <c:pt idx="1">
                  <c:v>项目支出</c:v>
                </c:pt>
                <c:pt idx="2">
                  <c:v>上缴上级支出</c:v>
                </c:pt>
                <c:pt idx="3">
                  <c:v>经营支出</c:v>
                </c:pt>
                <c:pt idx="4">
                  <c:v>对附属单位补助支出</c:v>
                </c:pt>
              </c:strCache>
            </c:strRef>
          </c:cat>
          <c:val>
            <c:numRef>
              <c:f>[2021决算公开图表政法委.xls]Sheet1!$D$34:$D$38</c:f>
              <c:numCache>
                <c:formatCode>0.00%</c:formatCode>
                <c:ptCount val="5"/>
                <c:pt idx="0">
                  <c:v>0.762</c:v>
                </c:pt>
                <c:pt idx="1">
                  <c:v>0.238</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57075755750933"/>
          <c:y val="0.193301435406699"/>
          <c:w val="0.23726363964832"/>
          <c:h val="0.685645933014354"/>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4    </a:t>
            </a:r>
            <a:r>
              <a:rPr lang="zh-CN" altLang="en-US"/>
              <a:t>财政拨款收、支总计决算变动情况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[2021决算公开图表政法委.xls]Sheet1!$A$169</c:f>
              <c:strCache>
                <c:ptCount val="1"/>
                <c:pt idx="0">
                  <c:v>财政拨款收入、支出总计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[2021决算公开图表政法委.xls]Sheet1!$B$168:$C$168</c:f>
              <c:strCache>
                <c:ptCount val="2"/>
                <c:pt idx="0">
                  <c:v>2021年</c:v>
                </c:pt>
                <c:pt idx="1">
                  <c:v>2022年</c:v>
                </c:pt>
              </c:strCache>
            </c:strRef>
          </c:cat>
          <c:val>
            <c:numRef>
              <c:f>[2021决算公开图表政法委.xls]Sheet1!$B$169:$C$169</c:f>
              <c:numCache>
                <c:formatCode>General</c:formatCode>
                <c:ptCount val="2"/>
                <c:pt idx="0">
                  <c:v>490.93</c:v>
                </c:pt>
                <c:pt idx="1">
                  <c:v>493.9</c:v>
                </c:pt>
              </c:numCache>
            </c:numRef>
          </c:val>
        </c:ser>
        <c:dLbls>
          <c:showLegendKey val="0"/>
          <c:showVal val="1"/>
          <c:showCatName val="0"/>
          <c:showSerName val="0"/>
          <c:showPercent val="0"/>
          <c:showBubbleSize val="0"/>
        </c:dLbls>
        <c:gapWidth val="150"/>
        <c:axId val="42198528"/>
        <c:axId val="327303552"/>
      </c:barChart>
      <c:catAx>
        <c:axId val="42198528"/>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27303552"/>
        <c:crosses val="autoZero"/>
        <c:auto val="1"/>
        <c:lblAlgn val="ctr"/>
        <c:lblOffset val="100"/>
        <c:noMultiLvlLbl val="0"/>
      </c:catAx>
      <c:valAx>
        <c:axId val="32730355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2198528"/>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02458423716558"/>
          <c:y val="0.50428141633881"/>
          <c:w val="0.291275006025548"/>
          <c:h val="0.239759314973386"/>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      一般公共预算财政拨款支出决算变动情况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[2021决算公开图表政法委.xls]Sheet1!$B$84:$C$84</c:f>
              <c:strCache>
                <c:ptCount val="2"/>
                <c:pt idx="0">
                  <c:v>2021年</c:v>
                </c:pt>
                <c:pt idx="1">
                  <c:v>2022年</c:v>
                </c:pt>
              </c:strCache>
            </c:strRef>
          </c:cat>
          <c:val>
            <c:numRef>
              <c:f>[2021决算公开图表政法委.xls]Sheet1!$B$85:$C$85</c:f>
              <c:numCache>
                <c:formatCode>General</c:formatCode>
                <c:ptCount val="2"/>
                <c:pt idx="0">
                  <c:v>490.93</c:v>
                </c:pt>
                <c:pt idx="1">
                  <c:v>493.9</c:v>
                </c:pt>
              </c:numCache>
            </c:numRef>
          </c:val>
        </c:ser>
        <c:dLbls>
          <c:showLegendKey val="0"/>
          <c:showVal val="1"/>
          <c:showCatName val="0"/>
          <c:showSerName val="0"/>
          <c:showPercent val="0"/>
          <c:showBubbleSize val="0"/>
        </c:dLbls>
        <c:gapWidth val="150"/>
        <c:axId val="327314816"/>
        <c:axId val="327325952"/>
      </c:barChart>
      <c:catAx>
        <c:axId val="32731481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27325952"/>
        <c:crosses val="autoZero"/>
        <c:auto val="1"/>
        <c:lblAlgn val="ctr"/>
        <c:lblOffset val="100"/>
        <c:noMultiLvlLbl val="0"/>
      </c:catAx>
      <c:valAx>
        <c:axId val="32732595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2731481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84730250481696"/>
          <c:y val="0.505660377358491"/>
          <c:w val="0.309489402697495"/>
          <c:h val="0.128537735849057"/>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      一般公共预算财政拨款支出决算变动情况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[2021决算公开图表政法委.xls]Sheet1!$B$84:$C$84</c:f>
              <c:strCache>
                <c:ptCount val="2"/>
                <c:pt idx="0">
                  <c:v>2021年</c:v>
                </c:pt>
                <c:pt idx="1">
                  <c:v>2022年</c:v>
                </c:pt>
              </c:strCache>
            </c:strRef>
          </c:cat>
          <c:val>
            <c:numRef>
              <c:f>[2021决算公开图表政法委.xls]Sheet1!$B$85:$C$85</c:f>
              <c:numCache>
                <c:formatCode>General</c:formatCode>
                <c:ptCount val="2"/>
                <c:pt idx="0">
                  <c:v>490.93</c:v>
                </c:pt>
                <c:pt idx="1">
                  <c:v>493.9</c:v>
                </c:pt>
              </c:numCache>
            </c:numRef>
          </c:val>
        </c:ser>
        <c:dLbls>
          <c:showLegendKey val="0"/>
          <c:showVal val="1"/>
          <c:showCatName val="0"/>
          <c:showSerName val="0"/>
          <c:showPercent val="0"/>
          <c:showBubbleSize val="0"/>
        </c:dLbls>
        <c:gapWidth val="150"/>
        <c:axId val="327345664"/>
        <c:axId val="381075840"/>
      </c:barChart>
      <c:catAx>
        <c:axId val="327345664"/>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81075840"/>
        <c:crosses val="autoZero"/>
        <c:auto val="1"/>
        <c:lblAlgn val="ctr"/>
        <c:lblOffset val="100"/>
        <c:noMultiLvlLbl val="0"/>
      </c:catAx>
      <c:valAx>
        <c:axId val="381075840"/>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27345664"/>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84730250481696"/>
          <c:y val="0.505660377358491"/>
          <c:w val="0.309489402697495"/>
          <c:h val="0.128537735849057"/>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6    </a:t>
            </a:r>
            <a:r>
              <a:rPr lang="zh-CN" altLang="en-US"/>
              <a:t>一般公共预算财政拨款支出决算结构</a:t>
            </a:r>
            <a:endParaRPr lang="zh-CN" altLang="en-US" sz="14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24815415485619"/>
          <c:y val="0.00565610859728507"/>
        </c:manualLayout>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1"/>
              <c:layout>
                <c:manualLayout>
                  <c:x val="0.0211437793481807"/>
                  <c:y val="0.056381914068237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020311768696199"/>
                  <c:y val="0.00018539253787967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0561988563209585"/>
                  <c:y val="0.016123156645081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24796643372231"/>
                  <c:y val="0.061954314399268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[2021决算公开图表政法委.xls]Sheet1!$A$110:$A$114</c:f>
              <c:strCache>
                <c:ptCount val="5"/>
                <c:pt idx="0">
                  <c:v>一般公共服务支出</c:v>
                </c:pt>
                <c:pt idx="1">
                  <c:v>卫生健康支出</c:v>
                </c:pt>
                <c:pt idx="2">
                  <c:v>社会保障和就业支出</c:v>
                </c:pt>
                <c:pt idx="3">
                  <c:v>公共安全支出</c:v>
                </c:pt>
                <c:pt idx="4">
                  <c:v>住房保障支出</c:v>
                </c:pt>
              </c:strCache>
            </c:strRef>
          </c:cat>
          <c:val>
            <c:numRef>
              <c:f>[2021决算公开图表政法委.xls]Sheet1!$B$110:$B$114</c:f>
              <c:numCache>
                <c:formatCode>General</c:formatCode>
                <c:ptCount val="5"/>
                <c:pt idx="0">
                  <c:v>367.58</c:v>
                </c:pt>
                <c:pt idx="1">
                  <c:v>29.4</c:v>
                </c:pt>
                <c:pt idx="2">
                  <c:v>31.82</c:v>
                </c:pt>
                <c:pt idx="3">
                  <c:v>37.05</c:v>
                </c:pt>
                <c:pt idx="4">
                  <c:v>28.06</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[2021决算公开图表政法委.xls]Sheet1!$A$110:$A$114</c:f>
              <c:strCache>
                <c:ptCount val="5"/>
                <c:pt idx="0">
                  <c:v>一般公共服务支出</c:v>
                </c:pt>
                <c:pt idx="1">
                  <c:v>卫生健康支出</c:v>
                </c:pt>
                <c:pt idx="2">
                  <c:v>社会保障和就业支出</c:v>
                </c:pt>
                <c:pt idx="3">
                  <c:v>公共安全支出</c:v>
                </c:pt>
                <c:pt idx="4">
                  <c:v>住房保障支出</c:v>
                </c:pt>
              </c:strCache>
            </c:strRef>
          </c:cat>
          <c:val>
            <c:numRef>
              <c:f>[2021决算公开图表政法委.xls]Sheet1!$C$110:$C$114</c:f>
              <c:numCache>
                <c:formatCode>0.00%</c:formatCode>
                <c:ptCount val="5"/>
                <c:pt idx="0">
                  <c:v>0.744</c:v>
                </c:pt>
                <c:pt idx="1">
                  <c:v>0.06</c:v>
                </c:pt>
                <c:pt idx="2">
                  <c:v>0.064</c:v>
                </c:pt>
                <c:pt idx="3">
                  <c:v>0.075</c:v>
                </c:pt>
                <c:pt idx="4">
                  <c:v>0.057</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6"/>
          <c:y val="0.424"/>
          <c:w val="0.23425"/>
          <c:h val="0.265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7  “</a:t>
            </a:r>
            <a:r>
              <a:rPr lang="zh-CN" altLang="en-US"/>
              <a:t>三公”经费财政拨款支出结构</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402707831325301"/>
          <c:y val="0.0729358407079646"/>
        </c:manualLayout>
      </c:layout>
      <c:overlay val="0"/>
      <c:spPr>
        <a:noFill/>
        <a:ln w="3175">
          <a:noFill/>
        </a:ln>
      </c:spPr>
    </c:title>
    <c:autoTitleDeleted val="0"/>
    <c:plotArea>
      <c:layout>
        <c:manualLayout>
          <c:layoutTarget val="inner"/>
          <c:xMode val="edge"/>
          <c:yMode val="edge"/>
          <c:x val="0.241"/>
          <c:y val="0.4005"/>
          <c:w val="0.17075"/>
          <c:h val="0.3325"/>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Lbl>
              <c:idx val="0"/>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因公出国（境）费支出</a:t>
                    </a:r>
                    <a:r>
                      <a:rPr lang="en-US" altLang="zh-CN"/>
                      <a:t>, 0, 0%</a:t>
                    </a:r>
                    <a:endParaRPr lang="zh-CN" altLang="en-US"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extLst>
            </c:dLbl>
            <c:dLbl>
              <c:idx val="1"/>
              <c:layout>
                <c:manualLayout>
                  <c:x val="0.151296687912926"/>
                  <c:y val="0.17053322264539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16138328530259"/>
                  <c:y val="-0.141274238227147"/>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公务接待费支出</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 0.17, 100%</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[2021决算公开图表政法委.xls]Sheet1!$B$139:$B$141</c:f>
              <c:strCache>
                <c:ptCount val="3"/>
                <c:pt idx="0">
                  <c:v>因公出国（境）费支出</c:v>
                </c:pt>
                <c:pt idx="1">
                  <c:v>公务用车购置及运行维护费支出</c:v>
                </c:pt>
                <c:pt idx="2">
                  <c:v>公务接待费支出</c:v>
                </c:pt>
              </c:strCache>
            </c:strRef>
          </c:cat>
          <c:val>
            <c:numRef>
              <c:f>[2021决算公开图表政法委.xls]Sheet1!$C$139:$C$141</c:f>
              <c:numCache>
                <c:formatCode>General</c:formatCode>
                <c:ptCount val="3"/>
                <c:pt idx="0">
                  <c:v>0</c:v>
                </c:pt>
                <c:pt idx="1">
                  <c:v>0</c:v>
                </c:pt>
                <c:pt idx="2">
                  <c:v>0.14</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elete val="1"/>
          </c:dLbls>
          <c:cat>
            <c:strRef>
              <c:f>[2021决算公开图表政法委.xls]Sheet1!$B$139:$B$141</c:f>
              <c:strCache>
                <c:ptCount val="3"/>
                <c:pt idx="0">
                  <c:v>因公出国（境）费支出</c:v>
                </c:pt>
                <c:pt idx="1">
                  <c:v>公务用车购置及运行维护费支出</c:v>
                </c:pt>
                <c:pt idx="2">
                  <c:v>公务接待费支出</c:v>
                </c:pt>
              </c:strCache>
            </c:strRef>
          </c:cat>
          <c:val>
            <c:numRef>
              <c:f>[2021决算公开图表政法委.xls]Sheet1!$D$139:$D$141</c:f>
              <c:numCache>
                <c:formatCode>General</c:formatCode>
                <c:ptCount val="3"/>
                <c:pt idx="0">
                  <c:v>0</c:v>
                </c:pt>
                <c:pt idx="1" c:formatCode="0%">
                  <c:v>0</c:v>
                </c:pt>
                <c:pt idx="2" c:formatCode="0.00%">
                  <c:v>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55542168674699"/>
          <c:y val="0.305117168818747"/>
          <c:w val="0.33855421686747"/>
          <c:h val="0.6415590626494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1814</Words>
  <Characters>10343</Characters>
  <Lines>86</Lines>
  <Paragraphs>24</Paragraphs>
  <TotalTime>5</TotalTime>
  <ScaleCrop>false</ScaleCrop>
  <LinksUpToDate>false</LinksUpToDate>
  <CharactersWithSpaces>12133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2023-10-26T03:51:00Z</dcterms:created>
  <dc:creator>曹颖</dc:creator>
  <cp:lastModifiedBy>雨点儿</cp:lastModifiedBy>
  <cp:lastPrinted>2023-07-31T02:35:00Z</cp:lastPrinted>
  <dcterms:modified xsi:type="dcterms:W3CDTF">2023-11-27T02:15:24Z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