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方正小标宋简体" w:hAnsi="宋体" w:eastAsia="方正小标宋简体"/>
          <w:color w:val="auto"/>
          <w:sz w:val="72"/>
          <w:szCs w:val="72"/>
        </w:rPr>
      </w:pPr>
      <w:bookmarkStart w:id="0" w:name="_Toc15377425"/>
      <w:bookmarkStart w:id="1" w:name="_Toc15377193"/>
      <w:bookmarkStart w:id="2" w:name="_Toc15396475"/>
      <w:bookmarkStart w:id="3" w:name="_Toc15396597"/>
      <w:bookmarkStart w:id="4" w:name="_Toc15378441"/>
      <w:bookmarkStart w:id="5" w:name="_Toc15306267"/>
    </w:p>
    <w:p>
      <w:pPr>
        <w:spacing w:line="360" w:lineRule="auto"/>
        <w:jc w:val="center"/>
        <w:outlineLvl w:val="0"/>
        <w:rPr>
          <w:rFonts w:ascii="方正小标宋简体" w:hAnsi="宋体" w:eastAsia="方正小标宋简体"/>
          <w:color w:val="auto"/>
          <w:sz w:val="72"/>
          <w:szCs w:val="72"/>
        </w:rPr>
      </w:pPr>
    </w:p>
    <w:p>
      <w:pPr>
        <w:spacing w:line="360" w:lineRule="auto"/>
        <w:jc w:val="center"/>
        <w:outlineLvl w:val="0"/>
        <w:rPr>
          <w:rFonts w:ascii="方正小标宋简体" w:hAnsi="宋体" w:eastAsia="方正小标宋简体"/>
          <w:color w:val="auto"/>
          <w:sz w:val="72"/>
          <w:szCs w:val="72"/>
        </w:rPr>
      </w:pPr>
    </w:p>
    <w:p>
      <w:pPr>
        <w:spacing w:line="360" w:lineRule="auto"/>
        <w:jc w:val="center"/>
        <w:outlineLvl w:val="0"/>
        <w:rPr>
          <w:rFonts w:ascii="方正小标宋简体" w:hAnsi="宋体" w:eastAsia="方正小标宋简体"/>
          <w:color w:val="auto"/>
          <w:sz w:val="72"/>
          <w:szCs w:val="72"/>
        </w:rPr>
      </w:pPr>
    </w:p>
    <w:p>
      <w:pPr>
        <w:adjustRightInd w:val="0"/>
        <w:snapToGrid w:val="0"/>
        <w:spacing w:line="360" w:lineRule="auto"/>
        <w:jc w:val="center"/>
        <w:outlineLvl w:val="0"/>
        <w:rPr>
          <w:rFonts w:ascii="方正小标宋简体" w:hAnsi="方正小标宋简体" w:eastAsia="方正小标宋简体" w:cs="方正小标宋简体"/>
          <w:color w:val="auto"/>
          <w:sz w:val="72"/>
          <w:szCs w:val="72"/>
        </w:rPr>
      </w:pPr>
      <w:r>
        <w:rPr>
          <w:rFonts w:hint="eastAsia" w:ascii="方正小标宋简体" w:hAnsi="方正小标宋简体" w:eastAsia="方正小标宋简体" w:cs="方正小标宋简体"/>
          <w:color w:val="auto"/>
          <w:sz w:val="72"/>
          <w:szCs w:val="72"/>
        </w:rPr>
        <w:t>2021年度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color w:val="auto"/>
          <w:sz w:val="72"/>
          <w:szCs w:val="72"/>
        </w:rPr>
      </w:pPr>
      <w:bookmarkStart w:id="6" w:name="_Toc15377426"/>
      <w:bookmarkStart w:id="7" w:name="_Toc15396476"/>
      <w:bookmarkStart w:id="8" w:name="_Toc15396598"/>
      <w:bookmarkStart w:id="9" w:name="_Toc15378442"/>
      <w:bookmarkStart w:id="10" w:name="_Toc15377194"/>
      <w:r>
        <w:rPr>
          <w:rFonts w:hint="eastAsia" w:ascii="方正小标宋简体" w:hAnsi="方正小标宋简体" w:eastAsia="方正小标宋简体" w:cs="方正小标宋简体"/>
          <w:color w:val="auto"/>
          <w:sz w:val="72"/>
          <w:szCs w:val="72"/>
        </w:rPr>
        <w:t>盐边县</w:t>
      </w:r>
      <w:bookmarkEnd w:id="5"/>
      <w:bookmarkStart w:id="11" w:name="_Toc15306268"/>
      <w:r>
        <w:rPr>
          <w:rFonts w:hint="eastAsia" w:ascii="方正小标宋简体" w:hAnsi="方正小标宋简体" w:eastAsia="方正小标宋简体" w:cs="方正小标宋简体"/>
          <w:color w:val="auto"/>
          <w:sz w:val="72"/>
          <w:szCs w:val="72"/>
        </w:rPr>
        <w:t>医疗保障局      部门决算</w:t>
      </w:r>
      <w:bookmarkEnd w:id="6"/>
      <w:bookmarkEnd w:id="7"/>
      <w:bookmarkEnd w:id="8"/>
      <w:bookmarkEnd w:id="9"/>
      <w:bookmarkEnd w:id="10"/>
      <w:bookmarkEnd w:id="11"/>
    </w:p>
    <w:p>
      <w:pPr>
        <w:widowControl/>
        <w:spacing w:line="360" w:lineRule="auto"/>
        <w:jc w:val="center"/>
        <w:rPr>
          <w:rFonts w:ascii="黑体" w:hAnsi="黑体" w:eastAsia="黑体"/>
          <w:color w:val="auto"/>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spacing w:line="360" w:lineRule="auto"/>
        <w:jc w:val="center"/>
        <w:rPr>
          <w:rFonts w:ascii="黑体" w:hAnsi="黑体" w:eastAsia="黑体"/>
          <w:color w:val="auto"/>
          <w:sz w:val="48"/>
          <w:szCs w:val="48"/>
        </w:rPr>
      </w:pPr>
      <w:r>
        <w:rPr>
          <w:rFonts w:hint="eastAsia" w:ascii="黑体" w:hAnsi="黑体" w:eastAsia="黑体"/>
          <w:color w:val="auto"/>
          <w:sz w:val="48"/>
          <w:szCs w:val="48"/>
        </w:rPr>
        <w:t>目录</w:t>
      </w:r>
    </w:p>
    <w:p>
      <w:pPr>
        <w:widowControl/>
        <w:spacing w:line="360" w:lineRule="auto"/>
        <w:jc w:val="center"/>
        <w:rPr>
          <w:rFonts w:ascii="黑体" w:hAnsi="黑体" w:eastAsia="黑体" w:cstheme="minorBidi"/>
          <w:color w:val="auto"/>
          <w:sz w:val="28"/>
          <w:szCs w:val="28"/>
        </w:rPr>
      </w:pPr>
    </w:p>
    <w:p>
      <w:pPr>
        <w:pStyle w:val="11"/>
        <w:spacing w:line="360" w:lineRule="auto"/>
        <w:rPr>
          <w:color w:val="auto"/>
        </w:rPr>
      </w:pPr>
      <w:r>
        <w:rPr>
          <w:rFonts w:hint="eastAsia"/>
          <w:color w:val="auto"/>
        </w:rPr>
        <w:t>公开时间：2022年10月2</w:t>
      </w:r>
      <w:r>
        <w:rPr>
          <w:rFonts w:hint="eastAsia"/>
          <w:color w:val="auto"/>
          <w:lang w:val="en-US" w:eastAsia="zh-CN"/>
        </w:rPr>
        <w:t>1</w:t>
      </w:r>
      <w:r>
        <w:rPr>
          <w:rFonts w:hint="eastAsia"/>
          <w:color w:val="auto"/>
        </w:rPr>
        <w:t>日</w:t>
      </w:r>
    </w:p>
    <w:p>
      <w:pPr>
        <w:spacing w:line="360" w:lineRule="auto"/>
        <w:rPr>
          <w:color w:val="auto"/>
        </w:rPr>
      </w:pPr>
    </w:p>
    <w:p>
      <w:pPr>
        <w:pStyle w:val="11"/>
        <w:adjustRightInd w:val="0"/>
        <w:snapToGrid w:val="0"/>
        <w:spacing w:before="0" w:line="36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第一部分</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部门概况</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1</w:t>
      </w:r>
    </w:p>
    <w:p>
      <w:pPr>
        <w:pStyle w:val="12"/>
        <w:adjustRightInd w:val="0"/>
        <w:snapToGrid w:val="0"/>
        <w:spacing w:line="36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一、基本职能及主要工作</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1</w:t>
      </w:r>
    </w:p>
    <w:p>
      <w:pPr>
        <w:pStyle w:val="12"/>
        <w:adjustRightInd w:val="0"/>
        <w:snapToGrid w:val="0"/>
        <w:spacing w:line="36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二、机构设置</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9</w:t>
      </w:r>
    </w:p>
    <w:p>
      <w:pPr>
        <w:pStyle w:val="11"/>
        <w:adjustRightInd w:val="0"/>
        <w:snapToGrid w:val="0"/>
        <w:spacing w:before="0" w:line="36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第二部分 2021年度部门决算情况说明</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10</w:t>
      </w:r>
    </w:p>
    <w:p>
      <w:pPr>
        <w:pStyle w:val="12"/>
        <w:adjustRightInd w:val="0"/>
        <w:snapToGrid w:val="0"/>
        <w:spacing w:line="36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一、收入支出决算总体情况说明</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10</w:t>
      </w:r>
    </w:p>
    <w:p>
      <w:pPr>
        <w:pStyle w:val="12"/>
        <w:adjustRightInd w:val="0"/>
        <w:snapToGrid w:val="0"/>
        <w:spacing w:line="36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二、收入决算情况说明</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10</w:t>
      </w:r>
    </w:p>
    <w:p>
      <w:pPr>
        <w:pStyle w:val="12"/>
        <w:adjustRightInd w:val="0"/>
        <w:snapToGrid w:val="0"/>
        <w:spacing w:line="36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三、支出决算情况说明</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11</w:t>
      </w:r>
    </w:p>
    <w:p>
      <w:pPr>
        <w:pStyle w:val="12"/>
        <w:adjustRightInd w:val="0"/>
        <w:snapToGrid w:val="0"/>
        <w:spacing w:line="36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四、财政拨款收入支出决算总体情况说明</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12</w:t>
      </w:r>
    </w:p>
    <w:p>
      <w:pPr>
        <w:pStyle w:val="12"/>
        <w:adjustRightInd w:val="0"/>
        <w:snapToGrid w:val="0"/>
        <w:spacing w:line="36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五、一般公共预算财政拨款支出决算情况说明</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13</w:t>
      </w:r>
    </w:p>
    <w:p>
      <w:pPr>
        <w:pStyle w:val="12"/>
        <w:adjustRightInd w:val="0"/>
        <w:snapToGrid w:val="0"/>
        <w:spacing w:line="360"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六、一般公共预算财政拨款基本支出决算情况说明</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6</w:t>
      </w:r>
    </w:p>
    <w:p>
      <w:pPr>
        <w:pStyle w:val="12"/>
        <w:adjustRightInd w:val="0"/>
        <w:snapToGrid w:val="0"/>
        <w:spacing w:line="360"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七、“三公”经费财政拨款支出决算情况说明</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6</w:t>
      </w:r>
    </w:p>
    <w:p>
      <w:pPr>
        <w:pStyle w:val="12"/>
        <w:adjustRightInd w:val="0"/>
        <w:snapToGrid w:val="0"/>
        <w:spacing w:line="360"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八、政府性基金预算支出决算情况说明</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8</w:t>
      </w:r>
    </w:p>
    <w:p>
      <w:pPr>
        <w:pStyle w:val="12"/>
        <w:adjustRightInd w:val="0"/>
        <w:snapToGrid w:val="0"/>
        <w:spacing w:line="360" w:lineRule="auto"/>
        <w:ind w:leftChars="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九、国有资本经营预算支出决算情况说明</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8</w:t>
      </w:r>
    </w:p>
    <w:p>
      <w:pPr>
        <w:pStyle w:val="12"/>
        <w:adjustRightInd w:val="0"/>
        <w:snapToGrid w:val="0"/>
        <w:spacing w:line="360" w:lineRule="auto"/>
        <w:ind w:leftChars="0"/>
        <w:jc w:val="left"/>
        <w:rPr>
          <w:rFonts w:hint="eastAsia" w:ascii="仿宋_GB2312" w:hAnsi="仿宋_GB2312" w:eastAsia="仿宋_GB2312" w:cs="仿宋_GB2312"/>
          <w:color w:val="auto"/>
          <w:sz w:val="28"/>
          <w:szCs w:val="28"/>
          <w:lang w:eastAsia="zh-CN"/>
        </w:rPr>
      </w:pPr>
      <w:r>
        <w:rPr>
          <w:rStyle w:val="16"/>
          <w:rFonts w:hint="eastAsia" w:ascii="仿宋_GB2312" w:hAnsi="仿宋_GB2312" w:eastAsia="仿宋_GB2312" w:cs="仿宋_GB2312"/>
          <w:color w:val="auto"/>
          <w:sz w:val="28"/>
          <w:szCs w:val="28"/>
          <w:u w:val="none"/>
        </w:rPr>
        <w:t>十、</w:t>
      </w:r>
      <w:r>
        <w:rPr>
          <w:rFonts w:hint="eastAsia" w:ascii="仿宋_GB2312" w:hAnsi="仿宋_GB2312" w:eastAsia="仿宋_GB2312" w:cs="仿宋_GB2312"/>
          <w:color w:val="auto"/>
          <w:sz w:val="28"/>
          <w:szCs w:val="28"/>
        </w:rPr>
        <w:t>其他重要事项的情况说明</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8</w:t>
      </w:r>
      <w:bookmarkStart w:id="78" w:name="_GoBack"/>
      <w:bookmarkEnd w:id="78"/>
    </w:p>
    <w:p>
      <w:pPr>
        <w:pStyle w:val="11"/>
        <w:adjustRightInd w:val="0"/>
        <w:snapToGrid w:val="0"/>
        <w:spacing w:before="0" w:line="360"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第三部分名词解释</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1</w:t>
      </w:r>
    </w:p>
    <w:p>
      <w:pPr>
        <w:pStyle w:val="11"/>
        <w:adjustRightInd w:val="0"/>
        <w:snapToGrid w:val="0"/>
        <w:spacing w:before="0" w:line="360"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第四部分附件</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5</w:t>
      </w:r>
    </w:p>
    <w:p>
      <w:pPr>
        <w:pStyle w:val="11"/>
        <w:adjustRightInd w:val="0"/>
        <w:snapToGrid w:val="0"/>
        <w:spacing w:before="0" w:line="360"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第五部分附表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1</w:t>
      </w:r>
    </w:p>
    <w:p>
      <w:pPr>
        <w:pStyle w:val="12"/>
        <w:adjustRightInd w:val="0"/>
        <w:snapToGrid w:val="0"/>
        <w:spacing w:line="360" w:lineRule="auto"/>
        <w:ind w:leftChars="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一、收入支出决算总表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1</w:t>
      </w:r>
    </w:p>
    <w:p>
      <w:pPr>
        <w:pStyle w:val="12"/>
        <w:adjustRightInd w:val="0"/>
        <w:snapToGrid w:val="0"/>
        <w:spacing w:line="360" w:lineRule="auto"/>
        <w:ind w:leftChars="0"/>
        <w:jc w:val="left"/>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rPr>
        <w:t>二、收入决算表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1</w:t>
      </w:r>
    </w:p>
    <w:p>
      <w:pPr>
        <w:pStyle w:val="12"/>
        <w:adjustRightInd w:val="0"/>
        <w:snapToGrid w:val="0"/>
        <w:spacing w:line="360" w:lineRule="auto"/>
        <w:ind w:leftChars="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四、财政拨款收入支出决算总表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1</w:t>
      </w:r>
    </w:p>
    <w:p>
      <w:pPr>
        <w:pStyle w:val="12"/>
        <w:adjustRightInd w:val="0"/>
        <w:snapToGrid w:val="0"/>
        <w:spacing w:line="360" w:lineRule="auto"/>
        <w:ind w:leftChars="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五、财政拨款支出决算明细表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1</w:t>
      </w:r>
    </w:p>
    <w:p>
      <w:pPr>
        <w:pStyle w:val="12"/>
        <w:adjustRightInd w:val="0"/>
        <w:snapToGrid w:val="0"/>
        <w:spacing w:line="360" w:lineRule="auto"/>
        <w:ind w:leftChars="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六、一般公共预算财政拨款支出决算表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1</w:t>
      </w:r>
    </w:p>
    <w:p>
      <w:pPr>
        <w:pStyle w:val="12"/>
        <w:adjustRightInd w:val="0"/>
        <w:snapToGrid w:val="0"/>
        <w:spacing w:line="360" w:lineRule="auto"/>
        <w:ind w:leftChars="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七、一般公共预算财政拨款支出决算明细表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1</w:t>
      </w:r>
    </w:p>
    <w:p>
      <w:pPr>
        <w:pStyle w:val="12"/>
        <w:adjustRightInd w:val="0"/>
        <w:snapToGrid w:val="0"/>
        <w:spacing w:line="360" w:lineRule="auto"/>
        <w:ind w:left="0" w:leftChars="0" w:firstLine="0" w:firstLineChars="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八、一般公共预算财政拨款基本支出决算表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1</w:t>
      </w:r>
    </w:p>
    <w:p>
      <w:pPr>
        <w:pStyle w:val="12"/>
        <w:adjustRightInd w:val="0"/>
        <w:snapToGrid w:val="0"/>
        <w:spacing w:line="360" w:lineRule="auto"/>
        <w:ind w:leftChars="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九、一般公共预算财政拨款项目支出决算表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1</w:t>
      </w:r>
    </w:p>
    <w:p>
      <w:pPr>
        <w:pStyle w:val="12"/>
        <w:adjustRightInd w:val="0"/>
        <w:snapToGrid w:val="0"/>
        <w:spacing w:line="360" w:lineRule="auto"/>
        <w:ind w:leftChars="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十、一般公共预算财政拨款“三公”经费支出决算表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1</w:t>
      </w:r>
    </w:p>
    <w:p>
      <w:pPr>
        <w:pStyle w:val="12"/>
        <w:adjustRightInd w:val="0"/>
        <w:snapToGrid w:val="0"/>
        <w:spacing w:line="360" w:lineRule="auto"/>
        <w:ind w:leftChars="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十一、政府性基金预算财政拨款收入支出决算表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1</w:t>
      </w:r>
    </w:p>
    <w:p>
      <w:pPr>
        <w:pStyle w:val="12"/>
        <w:adjustRightInd w:val="0"/>
        <w:snapToGrid w:val="0"/>
        <w:spacing w:line="360" w:lineRule="auto"/>
        <w:ind w:leftChars="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十二、政府性基金预算财政拨款“三公”经费支出决算表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1</w:t>
      </w:r>
    </w:p>
    <w:p>
      <w:pPr>
        <w:pStyle w:val="12"/>
        <w:adjustRightInd w:val="0"/>
        <w:snapToGrid w:val="0"/>
        <w:spacing w:line="360" w:lineRule="auto"/>
        <w:ind w:leftChars="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十三、国有资本经营预算财政拨款收入支出决算表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1</w:t>
      </w:r>
    </w:p>
    <w:p>
      <w:pPr>
        <w:pStyle w:val="12"/>
        <w:adjustRightInd w:val="0"/>
        <w:snapToGrid w:val="0"/>
        <w:spacing w:line="360" w:lineRule="auto"/>
        <w:ind w:leftChars="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十四、国有资本经营预算财政拨款支出决算表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51</w:t>
      </w:r>
    </w:p>
    <w:p>
      <w:pPr>
        <w:pStyle w:val="3"/>
        <w:spacing w:line="360" w:lineRule="auto"/>
        <w:jc w:val="both"/>
        <w:rPr>
          <w:rFonts w:hint="eastAsia" w:ascii="仿宋_GB2312" w:hAnsi="仿宋_GB2312" w:eastAsia="仿宋_GB2312" w:cs="仿宋_GB2312"/>
          <w:b w:val="0"/>
          <w:color w:val="auto"/>
          <w:sz w:val="28"/>
          <w:szCs w:val="28"/>
        </w:rPr>
        <w:sectPr>
          <w:footerReference r:id="rId5" w:type="default"/>
          <w:pgSz w:w="11906" w:h="16838"/>
          <w:pgMar w:top="1440" w:right="1800" w:bottom="1440" w:left="1800" w:header="851" w:footer="992" w:gutter="0"/>
          <w:pgNumType w:start="1"/>
          <w:cols w:space="425" w:num="1"/>
          <w:docGrid w:type="lines" w:linePitch="312" w:charSpace="0"/>
        </w:sectPr>
      </w:pPr>
      <w:bookmarkStart w:id="12" w:name="_Toc15377196"/>
      <w:bookmarkStart w:id="13" w:name="_Toc15396599"/>
    </w:p>
    <w:p>
      <w:pPr>
        <w:pStyle w:val="3"/>
        <w:spacing w:line="360" w:lineRule="auto"/>
        <w:jc w:val="center"/>
        <w:rPr>
          <w:rFonts w:ascii="黑体" w:eastAsia="黑体"/>
          <w:color w:val="auto"/>
          <w:sz w:val="32"/>
          <w:szCs w:val="32"/>
        </w:rPr>
      </w:pPr>
      <w:r>
        <w:rPr>
          <w:rFonts w:hint="eastAsia" w:ascii="黑体" w:hAnsi="黑体" w:eastAsia="黑体"/>
          <w:b w:val="0"/>
          <w:color w:val="auto"/>
        </w:rPr>
        <w:t xml:space="preserve">第一部分 </w:t>
      </w:r>
      <w:r>
        <w:rPr>
          <w:rStyle w:val="25"/>
          <w:rFonts w:hint="eastAsia" w:ascii="黑体" w:hAnsi="黑体" w:eastAsia="黑体"/>
          <w:b w:val="0"/>
          <w:bCs w:val="0"/>
          <w:color w:val="auto"/>
        </w:rPr>
        <w:t>部门概况</w:t>
      </w:r>
      <w:bookmarkEnd w:id="12"/>
      <w:bookmarkEnd w:id="13"/>
    </w:p>
    <w:p>
      <w:pPr>
        <w:pStyle w:val="4"/>
        <w:spacing w:line="360" w:lineRule="auto"/>
        <w:rPr>
          <w:rStyle w:val="26"/>
          <w:rFonts w:ascii="仿宋" w:hAnsi="仿宋" w:eastAsia="仿宋"/>
          <w:b w:val="0"/>
          <w:bCs w:val="0"/>
          <w:color w:val="auto"/>
        </w:rPr>
      </w:pPr>
      <w:bookmarkStart w:id="14" w:name="_Toc15396600"/>
      <w:bookmarkStart w:id="15" w:name="_Toc15377197"/>
      <w:r>
        <w:rPr>
          <w:rFonts w:hint="eastAsia" w:ascii="黑体" w:hAnsi="黑体" w:eastAsia="黑体"/>
          <w:b w:val="0"/>
          <w:color w:val="auto"/>
        </w:rPr>
        <w:t>一、基</w:t>
      </w:r>
      <w:r>
        <w:rPr>
          <w:rStyle w:val="26"/>
          <w:rFonts w:hint="eastAsia" w:ascii="黑体" w:hAnsi="黑体" w:eastAsia="黑体"/>
          <w:b w:val="0"/>
          <w:bCs w:val="0"/>
          <w:color w:val="auto"/>
        </w:rPr>
        <w:t>本职能及主要工作</w:t>
      </w:r>
      <w:bookmarkEnd w:id="14"/>
      <w:bookmarkEnd w:id="15"/>
    </w:p>
    <w:p>
      <w:pPr>
        <w:pStyle w:val="2"/>
        <w:adjustRightInd w:val="0"/>
        <w:snapToGrid w:val="0"/>
        <w:spacing w:before="93" w:line="360" w:lineRule="auto"/>
        <w:ind w:firstLine="672" w:firstLineChars="210"/>
        <w:outlineLvl w:val="2"/>
        <w:rPr>
          <w:rFonts w:ascii="仿宋" w:hAnsi="仿宋" w:eastAsia="仿宋"/>
          <w:bCs/>
          <w:color w:val="auto"/>
          <w:sz w:val="32"/>
          <w:szCs w:val="32"/>
        </w:rPr>
      </w:pPr>
      <w:bookmarkStart w:id="16" w:name="_Toc15377198"/>
      <w:bookmarkStart w:id="17" w:name="_Toc15378445"/>
      <w:r>
        <w:rPr>
          <w:rFonts w:hint="eastAsia" w:ascii="仿宋" w:hAnsi="仿宋" w:eastAsia="仿宋"/>
          <w:bCs/>
          <w:color w:val="auto"/>
          <w:sz w:val="32"/>
          <w:szCs w:val="32"/>
        </w:rPr>
        <w:t>（一）主要职能。</w:t>
      </w:r>
      <w:bookmarkEnd w:id="16"/>
      <w:bookmarkEnd w:id="17"/>
    </w:p>
    <w:p>
      <w:pPr>
        <w:pStyle w:val="2"/>
        <w:spacing w:before="93" w:line="360" w:lineRule="auto"/>
        <w:ind w:firstLine="640" w:firstLineChars="200"/>
        <w:rPr>
          <w:rFonts w:ascii="Times New Roman"/>
          <w:color w:val="auto"/>
          <w:sz w:val="32"/>
          <w:szCs w:val="32"/>
        </w:rPr>
      </w:pPr>
      <w:r>
        <w:rPr>
          <w:rFonts w:hint="eastAsia" w:ascii="Times New Roman"/>
          <w:color w:val="auto"/>
          <w:sz w:val="32"/>
          <w:szCs w:val="32"/>
        </w:rPr>
        <w:t>1</w:t>
      </w:r>
      <w:r>
        <w:rPr>
          <w:rFonts w:hint="eastAsia" w:ascii="Times New Roman"/>
          <w:color w:val="auto"/>
          <w:sz w:val="32"/>
          <w:szCs w:val="32"/>
          <w:lang w:val="en-US" w:eastAsia="zh-CN"/>
        </w:rPr>
        <w:t>.</w:t>
      </w:r>
      <w:r>
        <w:rPr>
          <w:rFonts w:ascii="Times New Roman"/>
          <w:color w:val="auto"/>
          <w:sz w:val="32"/>
          <w:szCs w:val="32"/>
        </w:rPr>
        <w:t>贯彻执行医疗保险、生育保险、医疗救助等医疗保障的法律、法规、规章。拟订全县医疗保障事业发展规划，并组织实施和监督检查。</w:t>
      </w:r>
    </w:p>
    <w:p>
      <w:pPr>
        <w:pStyle w:val="2"/>
        <w:spacing w:before="93" w:line="360" w:lineRule="auto"/>
        <w:ind w:firstLine="640" w:firstLineChars="200"/>
        <w:rPr>
          <w:rFonts w:ascii="Times New Roman"/>
          <w:color w:val="auto"/>
          <w:sz w:val="32"/>
          <w:szCs w:val="32"/>
        </w:rPr>
      </w:pPr>
      <w:r>
        <w:rPr>
          <w:rFonts w:hint="eastAsia" w:ascii="Times New Roman"/>
          <w:color w:val="auto"/>
          <w:sz w:val="32"/>
          <w:szCs w:val="32"/>
        </w:rPr>
        <w:t>2</w:t>
      </w:r>
      <w:r>
        <w:rPr>
          <w:rFonts w:hint="eastAsia" w:ascii="Times New Roman"/>
          <w:color w:val="auto"/>
          <w:sz w:val="32"/>
          <w:szCs w:val="32"/>
          <w:lang w:val="en-US" w:eastAsia="zh-CN"/>
        </w:rPr>
        <w:t>.</w:t>
      </w:r>
      <w:r>
        <w:rPr>
          <w:rFonts w:ascii="Times New Roman"/>
          <w:color w:val="auto"/>
          <w:sz w:val="32"/>
          <w:szCs w:val="32"/>
        </w:rPr>
        <w:t>组织拟订并实施医疗保障基金监督管理制度，建立健全医疗保障基金安全防控机制，监督强化全县医疗保障基金运行管理。</w:t>
      </w:r>
    </w:p>
    <w:p>
      <w:pPr>
        <w:pStyle w:val="2"/>
        <w:spacing w:before="93" w:line="360" w:lineRule="auto"/>
        <w:ind w:firstLine="640" w:firstLineChars="200"/>
        <w:rPr>
          <w:rFonts w:ascii="Times New Roman"/>
          <w:color w:val="auto"/>
          <w:sz w:val="32"/>
          <w:szCs w:val="32"/>
        </w:rPr>
      </w:pPr>
      <w:r>
        <w:rPr>
          <w:rFonts w:hint="eastAsia" w:ascii="Times New Roman"/>
          <w:color w:val="auto"/>
          <w:sz w:val="32"/>
          <w:szCs w:val="32"/>
        </w:rPr>
        <w:t>3</w:t>
      </w:r>
      <w:r>
        <w:rPr>
          <w:rFonts w:hint="eastAsia" w:ascii="Times New Roman"/>
          <w:color w:val="auto"/>
          <w:sz w:val="32"/>
          <w:szCs w:val="32"/>
          <w:lang w:val="en-US" w:eastAsia="zh-CN"/>
        </w:rPr>
        <w:t>.</w:t>
      </w:r>
      <w:r>
        <w:rPr>
          <w:rFonts w:ascii="Times New Roman"/>
          <w:color w:val="auto"/>
          <w:sz w:val="32"/>
          <w:szCs w:val="32"/>
        </w:rPr>
        <w:t>实施医疗保障筹资和待遇政策，完善全县医疗保障筹资标准动态调整机制，统筹城乡医疗保障待遇标准，建立健全与筹资水平相适应的待遇调整机制。贯彻执行长期护理保险制度改革政策。</w:t>
      </w:r>
    </w:p>
    <w:p>
      <w:pPr>
        <w:pStyle w:val="2"/>
        <w:spacing w:before="93" w:line="360" w:lineRule="auto"/>
        <w:ind w:firstLine="640" w:firstLineChars="200"/>
        <w:rPr>
          <w:rFonts w:ascii="Times New Roman"/>
          <w:color w:val="auto"/>
          <w:sz w:val="32"/>
          <w:szCs w:val="32"/>
        </w:rPr>
      </w:pPr>
      <w:r>
        <w:rPr>
          <w:rFonts w:hint="eastAsia" w:ascii="Times New Roman"/>
          <w:color w:val="auto"/>
          <w:sz w:val="32"/>
          <w:szCs w:val="32"/>
        </w:rPr>
        <w:t>4</w:t>
      </w:r>
      <w:r>
        <w:rPr>
          <w:rFonts w:hint="eastAsia" w:ascii="Times New Roman"/>
          <w:color w:val="auto"/>
          <w:sz w:val="32"/>
          <w:szCs w:val="32"/>
          <w:lang w:val="en-US" w:eastAsia="zh-CN"/>
        </w:rPr>
        <w:t>.</w:t>
      </w:r>
      <w:r>
        <w:rPr>
          <w:rFonts w:ascii="Times New Roman"/>
          <w:color w:val="auto"/>
          <w:sz w:val="32"/>
          <w:szCs w:val="32"/>
        </w:rPr>
        <w:t>组织实施全省城乡统一的药品、医用耗材、医疗服务项目、医疗服务设施等医疗保障目录和支付标准，根据授权在医疗保障目录准入谈判规则下进行目录增补和支付标准的调整。</w:t>
      </w:r>
    </w:p>
    <w:p>
      <w:pPr>
        <w:pStyle w:val="2"/>
        <w:spacing w:before="93" w:line="360" w:lineRule="auto"/>
        <w:ind w:firstLine="640" w:firstLineChars="200"/>
        <w:rPr>
          <w:rFonts w:ascii="Times New Roman"/>
          <w:color w:val="auto"/>
          <w:sz w:val="32"/>
          <w:szCs w:val="32"/>
        </w:rPr>
      </w:pPr>
      <w:r>
        <w:rPr>
          <w:rFonts w:hint="eastAsia" w:ascii="Times New Roman"/>
          <w:color w:val="auto"/>
          <w:sz w:val="32"/>
          <w:szCs w:val="32"/>
        </w:rPr>
        <w:t>5</w:t>
      </w:r>
      <w:r>
        <w:rPr>
          <w:rFonts w:hint="eastAsia" w:ascii="Times New Roman"/>
          <w:color w:val="auto"/>
          <w:sz w:val="32"/>
          <w:szCs w:val="32"/>
          <w:lang w:val="en-US" w:eastAsia="zh-CN"/>
        </w:rPr>
        <w:t>.</w:t>
      </w:r>
      <w:r>
        <w:rPr>
          <w:rFonts w:ascii="Times New Roman"/>
          <w:color w:val="auto"/>
          <w:sz w:val="32"/>
          <w:szCs w:val="32"/>
        </w:rPr>
        <w:t>参与拟订并组织实施全县统一的药品、医用耗材价格和医疗服务项目、医疗服务设施收费等政策，建立医保支付医药服务价格合理确定和动态调整机制，推动建立市场主导的社会医药服务价格形成机制，建立价格信息监测和信息发布制度。</w:t>
      </w:r>
    </w:p>
    <w:p>
      <w:pPr>
        <w:pStyle w:val="2"/>
        <w:spacing w:before="93" w:line="360" w:lineRule="auto"/>
        <w:ind w:firstLine="640" w:firstLineChars="200"/>
        <w:rPr>
          <w:rFonts w:ascii="Times New Roman"/>
          <w:color w:val="auto"/>
          <w:sz w:val="32"/>
          <w:szCs w:val="32"/>
        </w:rPr>
      </w:pPr>
      <w:r>
        <w:rPr>
          <w:rFonts w:hint="eastAsia" w:ascii="Times New Roman"/>
          <w:color w:val="auto"/>
          <w:sz w:val="32"/>
          <w:szCs w:val="32"/>
        </w:rPr>
        <w:t>6</w:t>
      </w:r>
      <w:r>
        <w:rPr>
          <w:rFonts w:hint="eastAsia" w:ascii="Times New Roman"/>
          <w:color w:val="auto"/>
          <w:sz w:val="32"/>
          <w:szCs w:val="32"/>
          <w:lang w:val="en-US" w:eastAsia="zh-CN"/>
        </w:rPr>
        <w:t>.</w:t>
      </w:r>
      <w:r>
        <w:rPr>
          <w:rFonts w:ascii="Times New Roman"/>
          <w:color w:val="auto"/>
          <w:sz w:val="32"/>
          <w:szCs w:val="32"/>
        </w:rPr>
        <w:t>贯彻执行全省药品、医用耗材的招标采购政策并监督实施，根据省、市安排部署，参与全省药品、医用耗材招标采购平台建设，承担并完成相关工作任务。</w:t>
      </w:r>
    </w:p>
    <w:p>
      <w:pPr>
        <w:pStyle w:val="2"/>
        <w:spacing w:before="93" w:line="360" w:lineRule="auto"/>
        <w:ind w:firstLine="640" w:firstLineChars="200"/>
        <w:rPr>
          <w:rFonts w:ascii="Times New Roman"/>
          <w:color w:val="auto"/>
          <w:sz w:val="32"/>
          <w:szCs w:val="32"/>
        </w:rPr>
      </w:pPr>
      <w:r>
        <w:rPr>
          <w:rFonts w:hint="eastAsia" w:ascii="Times New Roman"/>
          <w:color w:val="auto"/>
          <w:sz w:val="32"/>
          <w:szCs w:val="32"/>
        </w:rPr>
        <w:t>7</w:t>
      </w:r>
      <w:r>
        <w:rPr>
          <w:rFonts w:hint="eastAsia" w:ascii="Times New Roman"/>
          <w:color w:val="auto"/>
          <w:sz w:val="32"/>
          <w:szCs w:val="32"/>
          <w:lang w:val="en-US" w:eastAsia="zh-CN"/>
        </w:rPr>
        <w:t>.</w:t>
      </w:r>
      <w:r>
        <w:rPr>
          <w:rFonts w:ascii="Times New Roman"/>
          <w:color w:val="auto"/>
          <w:sz w:val="32"/>
          <w:szCs w:val="32"/>
        </w:rPr>
        <w:t>推进医疗保障基金支付方式改革，参与市级制定基金支付管理办法并组织实施。执行医疗保障信用评价体系和信息披露制度，监督管理纳入医疗保障范围内的医疗服务行为和医疗费用，依法查处医疗保障领域违法违规行为。</w:t>
      </w:r>
    </w:p>
    <w:p>
      <w:pPr>
        <w:pStyle w:val="2"/>
        <w:spacing w:before="93" w:line="360" w:lineRule="auto"/>
        <w:ind w:firstLine="640" w:firstLineChars="200"/>
        <w:rPr>
          <w:rFonts w:ascii="Times New Roman"/>
          <w:color w:val="auto"/>
          <w:sz w:val="32"/>
          <w:szCs w:val="32"/>
        </w:rPr>
      </w:pPr>
      <w:r>
        <w:rPr>
          <w:rFonts w:hint="eastAsia" w:ascii="Times New Roman"/>
          <w:color w:val="auto"/>
          <w:sz w:val="32"/>
          <w:szCs w:val="32"/>
        </w:rPr>
        <w:t>8</w:t>
      </w:r>
      <w:r>
        <w:rPr>
          <w:rFonts w:hint="eastAsia" w:ascii="Times New Roman"/>
          <w:color w:val="auto"/>
          <w:sz w:val="32"/>
          <w:szCs w:val="32"/>
          <w:lang w:val="en-US" w:eastAsia="zh-CN"/>
        </w:rPr>
        <w:t>.</w:t>
      </w:r>
      <w:r>
        <w:rPr>
          <w:rFonts w:ascii="Times New Roman"/>
          <w:color w:val="auto"/>
          <w:sz w:val="32"/>
          <w:szCs w:val="32"/>
        </w:rPr>
        <w:t>负责全县医疗保障业务经办管理和公共服务体系建设。组织实施异地就医管理和费用结算政策。贯彻执行医疗保障关系转移接续政策。指导和监督管理全县医保经办服务工作。开展医疗保障领域对外合作交流。</w:t>
      </w:r>
    </w:p>
    <w:p>
      <w:pPr>
        <w:pStyle w:val="2"/>
        <w:spacing w:before="93" w:line="360" w:lineRule="auto"/>
        <w:ind w:firstLine="640" w:firstLineChars="200"/>
        <w:rPr>
          <w:rFonts w:ascii="Times New Roman"/>
          <w:color w:val="auto"/>
          <w:sz w:val="32"/>
          <w:szCs w:val="32"/>
        </w:rPr>
      </w:pPr>
      <w:r>
        <w:rPr>
          <w:rFonts w:hint="eastAsia" w:ascii="Times New Roman"/>
          <w:color w:val="auto"/>
          <w:sz w:val="32"/>
          <w:szCs w:val="32"/>
        </w:rPr>
        <w:t>9</w:t>
      </w:r>
      <w:r>
        <w:rPr>
          <w:rFonts w:hint="eastAsia" w:ascii="Times New Roman"/>
          <w:color w:val="auto"/>
          <w:sz w:val="32"/>
          <w:szCs w:val="32"/>
          <w:lang w:val="en-US" w:eastAsia="zh-CN"/>
        </w:rPr>
        <w:t>.</w:t>
      </w:r>
      <w:r>
        <w:rPr>
          <w:rFonts w:ascii="Times New Roman"/>
          <w:color w:val="auto"/>
          <w:sz w:val="32"/>
          <w:szCs w:val="32"/>
        </w:rPr>
        <w:t>参与拟订市级医疗保障信息化建设规划和信息化建设。组织开展医疗保障大数据管理和应用。</w:t>
      </w:r>
    </w:p>
    <w:p>
      <w:pPr>
        <w:pStyle w:val="2"/>
        <w:spacing w:before="93" w:line="360" w:lineRule="auto"/>
        <w:ind w:firstLine="640" w:firstLineChars="200"/>
        <w:rPr>
          <w:rFonts w:ascii="Times New Roman"/>
          <w:color w:val="auto"/>
          <w:sz w:val="32"/>
          <w:szCs w:val="32"/>
        </w:rPr>
      </w:pPr>
      <w:r>
        <w:rPr>
          <w:rFonts w:hint="eastAsia" w:ascii="Times New Roman"/>
          <w:color w:val="auto"/>
          <w:sz w:val="32"/>
          <w:szCs w:val="32"/>
        </w:rPr>
        <w:t>10</w:t>
      </w:r>
      <w:r>
        <w:rPr>
          <w:rFonts w:hint="eastAsia" w:ascii="Times New Roman"/>
          <w:color w:val="auto"/>
          <w:sz w:val="32"/>
          <w:szCs w:val="32"/>
          <w:lang w:val="en-US" w:eastAsia="zh-CN"/>
        </w:rPr>
        <w:t>.</w:t>
      </w:r>
      <w:r>
        <w:rPr>
          <w:rFonts w:ascii="Times New Roman"/>
          <w:color w:val="auto"/>
          <w:sz w:val="32"/>
          <w:szCs w:val="32"/>
        </w:rPr>
        <w:t>组织拟订县本级离休干部、六级以上革命伤残军人的医疗保障政策和副厅级以上干部、县级干部、高级知识分子的医疗照顾政策。</w:t>
      </w:r>
    </w:p>
    <w:p>
      <w:pPr>
        <w:pStyle w:val="2"/>
        <w:spacing w:before="93" w:line="360" w:lineRule="auto"/>
        <w:ind w:firstLine="640" w:firstLineChars="200"/>
        <w:rPr>
          <w:rFonts w:ascii="Times New Roman"/>
          <w:color w:val="auto"/>
          <w:sz w:val="32"/>
          <w:szCs w:val="32"/>
        </w:rPr>
      </w:pPr>
      <w:r>
        <w:rPr>
          <w:rFonts w:hint="eastAsia" w:ascii="Times New Roman"/>
          <w:color w:val="auto"/>
          <w:sz w:val="32"/>
          <w:szCs w:val="32"/>
        </w:rPr>
        <w:t>11</w:t>
      </w:r>
      <w:r>
        <w:rPr>
          <w:rFonts w:hint="eastAsia" w:ascii="Times New Roman"/>
          <w:color w:val="auto"/>
          <w:sz w:val="32"/>
          <w:szCs w:val="32"/>
          <w:lang w:val="en-US" w:eastAsia="zh-CN"/>
        </w:rPr>
        <w:t>.</w:t>
      </w:r>
      <w:r>
        <w:rPr>
          <w:rFonts w:ascii="Times New Roman"/>
          <w:color w:val="auto"/>
          <w:sz w:val="32"/>
          <w:szCs w:val="32"/>
        </w:rPr>
        <w:t>负责职责范围内的安全生产和职业健康、生态环境保护、审批服务便民化等工作。</w:t>
      </w:r>
    </w:p>
    <w:p>
      <w:pPr>
        <w:pStyle w:val="2"/>
        <w:spacing w:before="93" w:line="360" w:lineRule="auto"/>
        <w:ind w:firstLine="640" w:firstLineChars="200"/>
        <w:rPr>
          <w:rFonts w:ascii="Times New Roman"/>
          <w:color w:val="auto"/>
          <w:sz w:val="32"/>
          <w:szCs w:val="32"/>
        </w:rPr>
      </w:pPr>
      <w:r>
        <w:rPr>
          <w:rFonts w:hint="eastAsia" w:ascii="Times New Roman"/>
          <w:color w:val="auto"/>
          <w:sz w:val="32"/>
          <w:szCs w:val="32"/>
        </w:rPr>
        <w:t>12</w:t>
      </w:r>
      <w:r>
        <w:rPr>
          <w:rFonts w:hint="eastAsia" w:ascii="Times New Roman"/>
          <w:color w:val="auto"/>
          <w:sz w:val="32"/>
          <w:szCs w:val="32"/>
          <w:lang w:val="en-US" w:eastAsia="zh-CN"/>
        </w:rPr>
        <w:t>.</w:t>
      </w:r>
      <w:r>
        <w:rPr>
          <w:rFonts w:ascii="Times New Roman"/>
          <w:color w:val="auto"/>
          <w:sz w:val="32"/>
          <w:szCs w:val="32"/>
        </w:rPr>
        <w:t>完成县委、县政府交办的其他任务。</w:t>
      </w:r>
    </w:p>
    <w:p>
      <w:pPr>
        <w:pStyle w:val="2"/>
        <w:spacing w:before="93" w:line="360" w:lineRule="auto"/>
        <w:ind w:firstLine="640" w:firstLineChars="200"/>
        <w:rPr>
          <w:rFonts w:ascii="Times New Roman"/>
          <w:color w:val="auto"/>
          <w:sz w:val="32"/>
          <w:szCs w:val="32"/>
        </w:rPr>
      </w:pPr>
      <w:r>
        <w:rPr>
          <w:rFonts w:hint="eastAsia" w:ascii="Times New Roman"/>
          <w:color w:val="auto"/>
          <w:sz w:val="32"/>
          <w:szCs w:val="32"/>
        </w:rPr>
        <w:t>13</w:t>
      </w:r>
      <w:r>
        <w:rPr>
          <w:rFonts w:hint="eastAsia" w:ascii="Times New Roman"/>
          <w:color w:val="auto"/>
          <w:sz w:val="32"/>
          <w:szCs w:val="32"/>
          <w:lang w:val="en-US" w:eastAsia="zh-CN"/>
        </w:rPr>
        <w:t>.</w:t>
      </w:r>
      <w:r>
        <w:rPr>
          <w:rFonts w:ascii="Times New Roman"/>
          <w:color w:val="auto"/>
          <w:sz w:val="32"/>
          <w:szCs w:val="32"/>
        </w:rPr>
        <w:t>职能转变。完善统一的城乡居民基本医疗保险和大病保险制度，不断提高医疗保障水平，建立健全覆盖全民、城乡统筹的多层次医疗保障体系，确保医疗保障资金合理使用、安全可控，推进医疗、医保、医药“三医联动”改革，更好地保障人民群众就医需求、减轻医药费用负担。</w:t>
      </w:r>
    </w:p>
    <w:p>
      <w:pPr>
        <w:pStyle w:val="2"/>
        <w:spacing w:before="93" w:line="360" w:lineRule="auto"/>
        <w:ind w:firstLine="640" w:firstLineChars="200"/>
        <w:rPr>
          <w:rFonts w:ascii="Times New Roman"/>
          <w:color w:val="auto"/>
          <w:sz w:val="32"/>
          <w:szCs w:val="32"/>
        </w:rPr>
      </w:pPr>
      <w:r>
        <w:rPr>
          <w:rFonts w:hint="eastAsia" w:ascii="Times New Roman"/>
          <w:color w:val="auto"/>
          <w:sz w:val="32"/>
          <w:szCs w:val="32"/>
        </w:rPr>
        <w:t>14</w:t>
      </w:r>
      <w:r>
        <w:rPr>
          <w:rFonts w:hint="eastAsia" w:ascii="Times New Roman"/>
          <w:color w:val="auto"/>
          <w:sz w:val="32"/>
          <w:szCs w:val="32"/>
          <w:lang w:val="en-US" w:eastAsia="zh-CN"/>
        </w:rPr>
        <w:t>.</w:t>
      </w:r>
      <w:r>
        <w:rPr>
          <w:rFonts w:hint="eastAsia" w:ascii="Times New Roman"/>
          <w:color w:val="auto"/>
          <w:sz w:val="32"/>
          <w:szCs w:val="32"/>
        </w:rPr>
        <w:t>有关职责分工。</w:t>
      </w:r>
    </w:p>
    <w:p>
      <w:pPr>
        <w:pStyle w:val="2"/>
        <w:spacing w:before="93" w:line="360" w:lineRule="auto"/>
        <w:ind w:firstLine="640" w:firstLineChars="200"/>
        <w:rPr>
          <w:rFonts w:ascii="Times New Roman"/>
          <w:color w:val="auto"/>
          <w:sz w:val="32"/>
          <w:szCs w:val="32"/>
        </w:rPr>
      </w:pPr>
      <w:r>
        <w:rPr>
          <w:rFonts w:hint="eastAsia" w:ascii="Times New Roman"/>
          <w:color w:val="auto"/>
          <w:sz w:val="32"/>
          <w:szCs w:val="32"/>
        </w:rPr>
        <w:t>（1）</w:t>
      </w:r>
      <w:r>
        <w:rPr>
          <w:rFonts w:ascii="Times New Roman"/>
          <w:color w:val="auto"/>
          <w:sz w:val="32"/>
          <w:szCs w:val="32"/>
        </w:rPr>
        <w:t>与县卫生健康局的有关职责分工。两部门在医疗、医保、医药等方面加强制度、政策衔接，建立沟通协商机制，协同推进改革，提高医疗资源使用效率和医疗保障水平。</w:t>
      </w:r>
    </w:p>
    <w:p>
      <w:pPr>
        <w:pStyle w:val="2"/>
        <w:spacing w:before="93" w:line="360" w:lineRule="auto"/>
        <w:ind w:firstLine="640" w:firstLineChars="200"/>
        <w:rPr>
          <w:rFonts w:ascii="仿宋" w:hAnsi="仿宋" w:eastAsia="仿宋"/>
          <w:bCs/>
          <w:color w:val="auto"/>
          <w:sz w:val="32"/>
          <w:szCs w:val="32"/>
        </w:rPr>
      </w:pPr>
      <w:r>
        <w:rPr>
          <w:rFonts w:hint="eastAsia" w:ascii="Times New Roman"/>
          <w:color w:val="auto"/>
          <w:sz w:val="32"/>
          <w:szCs w:val="32"/>
        </w:rPr>
        <w:t>（2）</w:t>
      </w:r>
      <w:r>
        <w:rPr>
          <w:rFonts w:ascii="Times New Roman"/>
          <w:color w:val="auto"/>
          <w:sz w:val="32"/>
          <w:szCs w:val="32"/>
        </w:rPr>
        <w:t>与国家税务总局盐边县税务局的有关职责分工。两部门在医疗、生育、长期护理保险基金征缴工作等方面加强协调，建立沟通机制，共同做好社会保险费税务征缴的</w:t>
      </w:r>
      <w:r>
        <w:rPr>
          <w:rFonts w:hint="eastAsia" w:ascii="Times New Roman"/>
          <w:color w:val="auto"/>
          <w:sz w:val="32"/>
          <w:szCs w:val="32"/>
        </w:rPr>
        <w:t>相关工作。</w:t>
      </w:r>
    </w:p>
    <w:p>
      <w:pPr>
        <w:pStyle w:val="2"/>
        <w:adjustRightInd w:val="0"/>
        <w:snapToGrid w:val="0"/>
        <w:spacing w:before="93" w:line="360" w:lineRule="auto"/>
        <w:ind w:firstLine="672" w:firstLineChars="210"/>
        <w:outlineLvl w:val="2"/>
        <w:rPr>
          <w:rFonts w:ascii="仿宋" w:hAnsi="仿宋" w:eastAsia="仿宋"/>
          <w:bCs/>
          <w:color w:val="auto"/>
          <w:sz w:val="32"/>
          <w:szCs w:val="32"/>
        </w:rPr>
      </w:pPr>
      <w:bookmarkStart w:id="18" w:name="_Toc15378446"/>
      <w:bookmarkStart w:id="19" w:name="_Toc15377199"/>
      <w:r>
        <w:rPr>
          <w:rFonts w:hint="eastAsia" w:ascii="仿宋" w:hAnsi="仿宋" w:eastAsia="仿宋"/>
          <w:bCs/>
          <w:color w:val="auto"/>
          <w:sz w:val="32"/>
          <w:szCs w:val="32"/>
        </w:rPr>
        <w:t>（二）</w:t>
      </w:r>
      <w:r>
        <w:rPr>
          <w:rFonts w:ascii="仿宋" w:hAnsi="仿宋" w:eastAsia="仿宋"/>
          <w:bCs/>
          <w:color w:val="auto"/>
          <w:sz w:val="32"/>
          <w:szCs w:val="32"/>
        </w:rPr>
        <w:t>20</w:t>
      </w:r>
      <w:r>
        <w:rPr>
          <w:rFonts w:hint="eastAsia" w:ascii="仿宋" w:hAnsi="仿宋" w:eastAsia="仿宋"/>
          <w:bCs/>
          <w:color w:val="auto"/>
          <w:sz w:val="32"/>
          <w:szCs w:val="32"/>
        </w:rPr>
        <w:t>21年重点工作完成情况。</w:t>
      </w:r>
      <w:bookmarkEnd w:id="18"/>
      <w:bookmarkEnd w:id="19"/>
    </w:p>
    <w:p>
      <w:pPr>
        <w:widowControl/>
        <w:shd w:val="clear" w:color="auto" w:fill="FFFFFF"/>
        <w:spacing w:line="360" w:lineRule="auto"/>
        <w:ind w:firstLine="640" w:firstLineChars="200"/>
        <w:outlineLvl w:val="1"/>
        <w:rPr>
          <w:rFonts w:ascii="仿宋" w:hAnsi="仿宋" w:eastAsia="仿宋"/>
          <w:bCs/>
          <w:color w:val="auto"/>
          <w:kern w:val="0"/>
          <w:sz w:val="32"/>
          <w:szCs w:val="32"/>
        </w:rPr>
      </w:pPr>
      <w:r>
        <w:rPr>
          <w:rFonts w:hint="eastAsia" w:ascii="仿宋" w:hAnsi="仿宋" w:eastAsia="仿宋"/>
          <w:bCs/>
          <w:color w:val="auto"/>
          <w:kern w:val="0"/>
          <w:sz w:val="32"/>
          <w:szCs w:val="32"/>
        </w:rPr>
        <w:t>1</w:t>
      </w:r>
      <w:r>
        <w:rPr>
          <w:rFonts w:hint="eastAsia" w:ascii="仿宋" w:hAnsi="仿宋" w:eastAsia="仿宋"/>
          <w:bCs/>
          <w:color w:val="auto"/>
          <w:kern w:val="0"/>
          <w:sz w:val="32"/>
          <w:szCs w:val="32"/>
          <w:lang w:val="en-US" w:eastAsia="zh-CN"/>
        </w:rPr>
        <w:t>.</w:t>
      </w:r>
      <w:r>
        <w:rPr>
          <w:rFonts w:hint="eastAsia" w:ascii="仿宋" w:hAnsi="仿宋" w:eastAsia="仿宋"/>
          <w:bCs/>
          <w:color w:val="auto"/>
          <w:kern w:val="0"/>
          <w:sz w:val="32"/>
          <w:szCs w:val="32"/>
        </w:rPr>
        <w:t>党建和党风廉政建设深入开展。认真履行局党组党建和党风廉政建设“主体责任”，严格落实党组成员“一岗双责”，着力提升党的政治功能和组织功能。一是深入开展党史学习教育。先后召开8次理论中心组学习会和4次党员大会，同时组织开展“清明祭英烈”、参观三线博物馆、瞻仰南湖红船等活动，组织全体党员干部集中学习党史。梳理汇总医疗救助、异地就医、基金监管等10余项医保民生实事，制定工作方案，细化责任分工，明确时间节点，大力开展“我为群众办实事”实践活动。二是抓实县委巡察整改及“回头看”工作。制定整改措施23条，整改落实巡察组反馈问题16项。根据省版系统功能特点，慎重分配工作权限，修订完善《盐边县医保局内控管理制度》等各项工作制度30个，全面防控“三公”经费支出、医保基金管理使用等廉政风险点，进一步规范财务管理、民主生活会、党组议事规则和选人用人程序。三是加强党风廉政警示教育。班子成员带头讲廉政党课、作廉政报告6次，开展干部职工谈心谈话21人次，做到谈话提醒常态化。组织观看警示教育片《围猎陷阱》《迷途知返》以及安徽太和医疗机构骗取医保基金典型案例并进行专题研讨，教育引导医保系统干部职工树牢底线思维，增强法纪意识。</w:t>
      </w:r>
    </w:p>
    <w:p>
      <w:pPr>
        <w:widowControl/>
        <w:shd w:val="clear" w:color="auto" w:fill="FFFFFF"/>
        <w:spacing w:line="360" w:lineRule="auto"/>
        <w:ind w:firstLine="640" w:firstLineChars="200"/>
        <w:outlineLvl w:val="1"/>
        <w:rPr>
          <w:rFonts w:ascii="仿宋" w:hAnsi="仿宋" w:eastAsia="仿宋"/>
          <w:bCs/>
          <w:color w:val="auto"/>
          <w:kern w:val="0"/>
          <w:sz w:val="32"/>
          <w:szCs w:val="32"/>
        </w:rPr>
      </w:pPr>
      <w:r>
        <w:rPr>
          <w:rFonts w:hint="eastAsia" w:ascii="仿宋" w:hAnsi="仿宋" w:eastAsia="仿宋"/>
          <w:bCs/>
          <w:color w:val="auto"/>
          <w:kern w:val="0"/>
          <w:sz w:val="32"/>
          <w:szCs w:val="32"/>
        </w:rPr>
        <w:t>2</w:t>
      </w:r>
      <w:r>
        <w:rPr>
          <w:rFonts w:hint="eastAsia" w:ascii="仿宋" w:hAnsi="仿宋" w:eastAsia="仿宋"/>
          <w:bCs/>
          <w:color w:val="auto"/>
          <w:kern w:val="0"/>
          <w:sz w:val="32"/>
          <w:szCs w:val="32"/>
          <w:lang w:val="en-US" w:eastAsia="zh-CN"/>
        </w:rPr>
        <w:t>.</w:t>
      </w:r>
      <w:r>
        <w:rPr>
          <w:rFonts w:hint="eastAsia" w:ascii="仿宋" w:hAnsi="仿宋" w:eastAsia="仿宋"/>
          <w:bCs/>
          <w:color w:val="auto"/>
          <w:kern w:val="0"/>
          <w:sz w:val="32"/>
          <w:szCs w:val="32"/>
        </w:rPr>
        <w:t>圆满完成2021年医疗保障领域民生实事。</w:t>
      </w:r>
    </w:p>
    <w:p>
      <w:pPr>
        <w:widowControl/>
        <w:shd w:val="clear" w:color="auto" w:fill="FFFFFF"/>
        <w:spacing w:line="360" w:lineRule="auto"/>
        <w:ind w:firstLine="640" w:firstLineChars="200"/>
        <w:outlineLvl w:val="1"/>
        <w:rPr>
          <w:rFonts w:ascii="仿宋" w:hAnsi="仿宋" w:eastAsia="仿宋"/>
          <w:bCs/>
          <w:color w:val="auto"/>
          <w:kern w:val="0"/>
          <w:sz w:val="32"/>
          <w:szCs w:val="32"/>
        </w:rPr>
      </w:pPr>
      <w:r>
        <w:rPr>
          <w:rFonts w:hint="eastAsia" w:ascii="仿宋" w:hAnsi="仿宋" w:eastAsia="仿宋"/>
          <w:bCs/>
          <w:color w:val="auto"/>
          <w:kern w:val="0"/>
          <w:sz w:val="32"/>
          <w:szCs w:val="32"/>
        </w:rPr>
        <w:t>一是提高16.5万城乡居民基本医疗保障水平。实行基本医疗保险、大病医疗保险、补充医疗保险、医疗救助 “一单制”结算，2021年，全县城乡居民普通门诊统筹257157人次，基本医疗统筹基金支出579.59万元；门诊慢特病（包括门诊视同住院）就诊29966人次，基金共支出1133.31万元，其中基本医疗支付761.33万元，大病支出198.13万元，补充医疗支出129.94万元，医疗救助支出43.91万元；住院就诊30781人次，基金共支出11707.99万元，其中基本医疗支出10231.4万元，大病支出710.65万元，补充医疗支出264.15万元，医疗救助支出501.79万元。</w:t>
      </w:r>
    </w:p>
    <w:p>
      <w:pPr>
        <w:widowControl/>
        <w:shd w:val="clear" w:color="auto" w:fill="FFFFFF"/>
        <w:spacing w:line="360" w:lineRule="auto"/>
        <w:ind w:firstLine="640" w:firstLineChars="200"/>
        <w:outlineLvl w:val="1"/>
        <w:rPr>
          <w:rFonts w:ascii="仿宋" w:hAnsi="仿宋" w:eastAsia="仿宋"/>
          <w:bCs/>
          <w:color w:val="auto"/>
          <w:kern w:val="0"/>
          <w:sz w:val="32"/>
          <w:szCs w:val="32"/>
        </w:rPr>
      </w:pPr>
      <w:r>
        <w:rPr>
          <w:rFonts w:hint="eastAsia" w:ascii="仿宋" w:hAnsi="仿宋" w:eastAsia="仿宋"/>
          <w:bCs/>
          <w:color w:val="auto"/>
          <w:kern w:val="0"/>
          <w:sz w:val="32"/>
          <w:szCs w:val="32"/>
        </w:rPr>
        <w:t>二是代缴贫困人口城乡居民基本医疗保险个人缴费部分。按照特殊人群“应参尽参”的原则，采取定额资助与全额资助相结合的方式，资助2.9万余名城乡困难群众参加2021年度基本医疗保险，其中全额资助脱贫户17570人、残疾人5756人、民政救助对象4921人，定额资助脱贫不稳定户、防返贫、突发严重困难户人数为849人，困难群众参保实现全覆盖。</w:t>
      </w:r>
    </w:p>
    <w:p>
      <w:pPr>
        <w:widowControl/>
        <w:shd w:val="clear" w:color="auto" w:fill="FFFFFF"/>
        <w:spacing w:line="360" w:lineRule="auto"/>
        <w:ind w:firstLine="640" w:firstLineChars="200"/>
        <w:outlineLvl w:val="1"/>
        <w:rPr>
          <w:rFonts w:ascii="仿宋" w:hAnsi="仿宋" w:eastAsia="仿宋"/>
          <w:bCs/>
          <w:color w:val="auto"/>
          <w:kern w:val="0"/>
          <w:sz w:val="32"/>
          <w:szCs w:val="32"/>
        </w:rPr>
      </w:pPr>
      <w:r>
        <w:rPr>
          <w:rFonts w:hint="eastAsia" w:ascii="仿宋" w:hAnsi="仿宋" w:eastAsia="仿宋"/>
          <w:bCs/>
          <w:color w:val="auto"/>
          <w:kern w:val="0"/>
          <w:sz w:val="32"/>
          <w:szCs w:val="32"/>
        </w:rPr>
        <w:t>三是对特殊困难群众实施医疗救助。截至</w:t>
      </w:r>
      <w:r>
        <w:rPr>
          <w:rFonts w:hint="eastAsia" w:ascii="仿宋" w:hAnsi="仿宋" w:eastAsia="仿宋"/>
          <w:bCs/>
          <w:color w:val="auto"/>
          <w:kern w:val="0"/>
          <w:sz w:val="32"/>
          <w:szCs w:val="32"/>
          <w:lang w:val="en-US" w:eastAsia="zh-CN"/>
        </w:rPr>
        <w:t>12月底</w:t>
      </w:r>
      <w:r>
        <w:rPr>
          <w:rFonts w:hint="eastAsia" w:ascii="仿宋" w:hAnsi="仿宋" w:eastAsia="仿宋"/>
          <w:bCs/>
          <w:color w:val="auto"/>
          <w:kern w:val="0"/>
          <w:sz w:val="32"/>
          <w:szCs w:val="32"/>
        </w:rPr>
        <w:t>，已实施医疗救助7431人次，支出医疗救助资金763万元，全面实现困难群众医疗兜底保障。</w:t>
      </w:r>
    </w:p>
    <w:p>
      <w:pPr>
        <w:widowControl/>
        <w:shd w:val="clear" w:color="auto" w:fill="FFFFFF"/>
        <w:spacing w:line="360" w:lineRule="auto"/>
        <w:ind w:firstLine="640" w:firstLineChars="200"/>
        <w:outlineLvl w:val="1"/>
        <w:rPr>
          <w:rFonts w:ascii="仿宋" w:hAnsi="仿宋" w:eastAsia="仿宋"/>
          <w:bCs/>
          <w:color w:val="auto"/>
          <w:kern w:val="0"/>
          <w:sz w:val="32"/>
          <w:szCs w:val="32"/>
        </w:rPr>
      </w:pPr>
      <w:r>
        <w:rPr>
          <w:rFonts w:hint="eastAsia" w:ascii="仿宋" w:hAnsi="仿宋" w:eastAsia="仿宋"/>
          <w:bCs/>
          <w:color w:val="auto"/>
          <w:kern w:val="0"/>
          <w:sz w:val="32"/>
          <w:szCs w:val="32"/>
        </w:rPr>
        <w:t>3</w:t>
      </w:r>
      <w:r>
        <w:rPr>
          <w:rFonts w:hint="eastAsia" w:ascii="仿宋" w:hAnsi="仿宋" w:eastAsia="仿宋"/>
          <w:bCs/>
          <w:color w:val="auto"/>
          <w:kern w:val="0"/>
          <w:sz w:val="32"/>
          <w:szCs w:val="32"/>
          <w:lang w:val="en-US" w:eastAsia="zh-CN"/>
        </w:rPr>
        <w:t>.</w:t>
      </w:r>
      <w:r>
        <w:rPr>
          <w:rFonts w:hint="eastAsia" w:ascii="仿宋" w:hAnsi="仿宋" w:eastAsia="仿宋"/>
          <w:bCs/>
          <w:color w:val="auto"/>
          <w:kern w:val="0"/>
          <w:sz w:val="32"/>
          <w:szCs w:val="32"/>
        </w:rPr>
        <w:t>持续扩大异地就医联网结算范围。积极推进定点医药机构异地联网结算，大幅提升异地就医直接结算效率。截至</w:t>
      </w:r>
      <w:r>
        <w:rPr>
          <w:rFonts w:hint="eastAsia" w:ascii="仿宋" w:hAnsi="仿宋" w:eastAsia="仿宋"/>
          <w:bCs/>
          <w:color w:val="auto"/>
          <w:kern w:val="0"/>
          <w:sz w:val="32"/>
          <w:szCs w:val="32"/>
          <w:lang w:val="en-US" w:eastAsia="zh-CN"/>
        </w:rPr>
        <w:t>12月底</w:t>
      </w:r>
      <w:r>
        <w:rPr>
          <w:rFonts w:hint="eastAsia" w:ascii="仿宋" w:hAnsi="仿宋" w:eastAsia="仿宋"/>
          <w:bCs/>
          <w:color w:val="auto"/>
          <w:kern w:val="0"/>
          <w:sz w:val="32"/>
          <w:szCs w:val="32"/>
        </w:rPr>
        <w:t>，我县开通跨省个账联网刷卡定点零售药店25家、跨省普通门诊联网医疗机构3家、跨省普通住院联网医疗机构8家、跨省（西南片区）门特医疗机构1家，开通省内个账联网刷卡定点零售药店42家、省内门特联网医疗机构 5家、省内普通住院联网医疗机构19家、省内普通门诊联网医疗机构21家，推进了等级医疗机构、基层医疗机构、公立医疗机构、民营医疗机构“全覆盖”。</w:t>
      </w:r>
    </w:p>
    <w:p>
      <w:pPr>
        <w:widowControl/>
        <w:shd w:val="clear" w:color="auto" w:fill="FFFFFF"/>
        <w:spacing w:line="360" w:lineRule="auto"/>
        <w:ind w:firstLine="640" w:firstLineChars="200"/>
        <w:outlineLvl w:val="1"/>
        <w:rPr>
          <w:rFonts w:ascii="仿宋" w:hAnsi="仿宋" w:eastAsia="仿宋"/>
          <w:bCs/>
          <w:color w:val="auto"/>
          <w:kern w:val="0"/>
          <w:sz w:val="32"/>
          <w:szCs w:val="32"/>
        </w:rPr>
      </w:pPr>
      <w:r>
        <w:rPr>
          <w:rFonts w:hint="eastAsia" w:ascii="仿宋" w:hAnsi="仿宋" w:eastAsia="仿宋"/>
          <w:bCs/>
          <w:color w:val="auto"/>
          <w:kern w:val="0"/>
          <w:sz w:val="32"/>
          <w:szCs w:val="32"/>
        </w:rPr>
        <w:t>4</w:t>
      </w:r>
      <w:r>
        <w:rPr>
          <w:rFonts w:hint="eastAsia" w:ascii="仿宋" w:hAnsi="仿宋" w:eastAsia="仿宋"/>
          <w:bCs/>
          <w:color w:val="auto"/>
          <w:kern w:val="0"/>
          <w:sz w:val="32"/>
          <w:szCs w:val="32"/>
          <w:lang w:val="en-US" w:eastAsia="zh-CN"/>
        </w:rPr>
        <w:t>.</w:t>
      </w:r>
      <w:r>
        <w:rPr>
          <w:rFonts w:hint="eastAsia" w:ascii="仿宋" w:hAnsi="仿宋" w:eastAsia="仿宋"/>
          <w:bCs/>
          <w:color w:val="auto"/>
          <w:kern w:val="0"/>
          <w:sz w:val="32"/>
          <w:szCs w:val="32"/>
        </w:rPr>
        <w:t>进一步加大医保基金监管力度。截至</w:t>
      </w:r>
      <w:r>
        <w:rPr>
          <w:rFonts w:hint="eastAsia" w:ascii="仿宋" w:hAnsi="仿宋" w:eastAsia="仿宋"/>
          <w:bCs/>
          <w:color w:val="auto"/>
          <w:kern w:val="0"/>
          <w:sz w:val="32"/>
          <w:szCs w:val="32"/>
          <w:lang w:val="en-US" w:eastAsia="zh-CN"/>
        </w:rPr>
        <w:t>12月底</w:t>
      </w:r>
      <w:r>
        <w:rPr>
          <w:rFonts w:hint="eastAsia" w:ascii="仿宋" w:hAnsi="仿宋" w:eastAsia="仿宋"/>
          <w:bCs/>
          <w:color w:val="auto"/>
          <w:kern w:val="0"/>
          <w:sz w:val="32"/>
          <w:szCs w:val="32"/>
        </w:rPr>
        <w:t>，与县内23家定点医院、44家定点药店签订医保定点服务协议，明确违反服务协议的行为及其责任。采取日常检查与专项检查相结合的方式，加强对定点医药机构基金使用结算、服务协议执行、药品和医用耗材进销存等情况的监督检查，及时发现问题线索，严格责任追究。1-12月，共限期整改25家、通报批评6家、暂停医保2家，收回违规金80.03万元，处理违约金73.7万元。</w:t>
      </w:r>
    </w:p>
    <w:p>
      <w:pPr>
        <w:widowControl/>
        <w:shd w:val="clear" w:color="auto" w:fill="FFFFFF"/>
        <w:spacing w:line="360" w:lineRule="auto"/>
        <w:ind w:firstLine="640" w:firstLineChars="200"/>
        <w:outlineLvl w:val="1"/>
        <w:rPr>
          <w:rFonts w:ascii="仿宋" w:hAnsi="仿宋" w:eastAsia="仿宋"/>
          <w:bCs/>
          <w:color w:val="auto"/>
          <w:kern w:val="0"/>
          <w:sz w:val="32"/>
          <w:szCs w:val="32"/>
        </w:rPr>
      </w:pPr>
      <w:r>
        <w:rPr>
          <w:rFonts w:hint="eastAsia" w:ascii="仿宋" w:hAnsi="仿宋" w:eastAsia="仿宋"/>
          <w:bCs/>
          <w:color w:val="auto"/>
          <w:kern w:val="0"/>
          <w:sz w:val="32"/>
          <w:szCs w:val="32"/>
        </w:rPr>
        <w:t>5</w:t>
      </w:r>
      <w:r>
        <w:rPr>
          <w:rFonts w:hint="eastAsia" w:ascii="仿宋" w:hAnsi="仿宋" w:eastAsia="仿宋"/>
          <w:bCs/>
          <w:color w:val="auto"/>
          <w:kern w:val="0"/>
          <w:sz w:val="32"/>
          <w:szCs w:val="32"/>
          <w:lang w:val="en-US" w:eastAsia="zh-CN"/>
        </w:rPr>
        <w:t>.</w:t>
      </w:r>
      <w:r>
        <w:rPr>
          <w:rFonts w:hint="eastAsia" w:ascii="仿宋" w:hAnsi="仿宋" w:eastAsia="仿宋"/>
          <w:bCs/>
          <w:color w:val="auto"/>
          <w:kern w:val="0"/>
          <w:sz w:val="32"/>
          <w:szCs w:val="32"/>
        </w:rPr>
        <w:t>深入实施巩固脱贫攻坚成果与乡村振兴的衔接政策。继续执行医疗保障扶贫基本医保、大病保险、医疗救助“三重保障”待遇标准，在普惠性政策的基础上，继续实施资助参保政策和城乡困难群众医疗保障倾斜支付待遇政策，通过降低起付线、提高报销比例等倾斜性政策，增强困难群众医疗保障能力，将家庭经济低收入者县域内住院个人自付比例控制在了7.25%，有效防止城乡群众因病致贫和因病返贫。</w:t>
      </w:r>
    </w:p>
    <w:p>
      <w:pPr>
        <w:widowControl/>
        <w:shd w:val="clear" w:color="auto" w:fill="FFFFFF"/>
        <w:spacing w:line="360" w:lineRule="auto"/>
        <w:ind w:firstLine="640" w:firstLineChars="200"/>
        <w:outlineLvl w:val="1"/>
        <w:rPr>
          <w:rFonts w:ascii="仿宋" w:hAnsi="仿宋" w:eastAsia="仿宋"/>
          <w:bCs/>
          <w:color w:val="auto"/>
          <w:kern w:val="0"/>
          <w:sz w:val="32"/>
          <w:szCs w:val="32"/>
        </w:rPr>
      </w:pPr>
      <w:r>
        <w:rPr>
          <w:rFonts w:hint="eastAsia" w:ascii="仿宋" w:hAnsi="仿宋" w:eastAsia="仿宋"/>
          <w:bCs/>
          <w:color w:val="auto"/>
          <w:kern w:val="0"/>
          <w:sz w:val="32"/>
          <w:szCs w:val="32"/>
        </w:rPr>
        <w:t>6</w:t>
      </w:r>
      <w:r>
        <w:rPr>
          <w:rFonts w:hint="eastAsia" w:ascii="仿宋" w:hAnsi="仿宋" w:eastAsia="仿宋"/>
          <w:bCs/>
          <w:color w:val="auto"/>
          <w:kern w:val="0"/>
          <w:sz w:val="32"/>
          <w:szCs w:val="32"/>
          <w:lang w:val="en-US" w:eastAsia="zh-CN"/>
        </w:rPr>
        <w:t>.</w:t>
      </w:r>
      <w:r>
        <w:rPr>
          <w:rFonts w:hint="eastAsia" w:ascii="仿宋" w:hAnsi="仿宋" w:eastAsia="仿宋"/>
          <w:bCs/>
          <w:color w:val="auto"/>
          <w:kern w:val="0"/>
          <w:sz w:val="32"/>
          <w:szCs w:val="32"/>
        </w:rPr>
        <w:t>持续强化新冠疫情防控保障。加强与省市医保部门和市县财政部门的沟通协调，提前留足预备金，实行疫苗接种资金预付费机制，以疫苗接种专项资金向省、市提前预付疫苗采购和接种费用。截至</w:t>
      </w:r>
      <w:r>
        <w:rPr>
          <w:rFonts w:hint="eastAsia" w:ascii="仿宋" w:hAnsi="仿宋" w:eastAsia="仿宋"/>
          <w:bCs/>
          <w:color w:val="auto"/>
          <w:kern w:val="0"/>
          <w:sz w:val="32"/>
          <w:szCs w:val="32"/>
          <w:lang w:val="en-US" w:eastAsia="zh-CN"/>
        </w:rPr>
        <w:t>12月底</w:t>
      </w:r>
      <w:r>
        <w:rPr>
          <w:rFonts w:hint="eastAsia" w:ascii="仿宋" w:hAnsi="仿宋" w:eastAsia="仿宋"/>
          <w:bCs/>
          <w:color w:val="auto"/>
          <w:kern w:val="0"/>
          <w:sz w:val="32"/>
          <w:szCs w:val="32"/>
        </w:rPr>
        <w:t>，已向我县4家疫苗接种机构拨付新冠疫苗接种费102.4万元，保障疫苗接种有序推进。在医保报销中，打破日常管理中关于医保支付目录的限制性规定，及时更新医保药品支付目录，将卫健部门新冠肺炎诊疗方案中的药品和医疗服务项目临时性纳入医保支付范围。强化疫情防控物资和医疗服务价格监测，严禁趁机哄抬医药价格，有效杜绝了借机涨价和囤积急需医用物资等违规现象。</w:t>
      </w:r>
    </w:p>
    <w:p>
      <w:pPr>
        <w:widowControl/>
        <w:shd w:val="clear" w:color="auto" w:fill="FFFFFF"/>
        <w:spacing w:line="360" w:lineRule="auto"/>
        <w:ind w:firstLine="640" w:firstLineChars="200"/>
        <w:outlineLvl w:val="1"/>
        <w:rPr>
          <w:rFonts w:ascii="仿宋" w:hAnsi="仿宋" w:eastAsia="仿宋"/>
          <w:bCs/>
          <w:color w:val="auto"/>
          <w:kern w:val="0"/>
          <w:sz w:val="32"/>
          <w:szCs w:val="32"/>
        </w:rPr>
      </w:pPr>
      <w:r>
        <w:rPr>
          <w:rFonts w:hint="eastAsia" w:ascii="仿宋" w:hAnsi="仿宋" w:eastAsia="仿宋"/>
          <w:bCs/>
          <w:color w:val="auto"/>
          <w:kern w:val="0"/>
          <w:sz w:val="32"/>
          <w:szCs w:val="32"/>
        </w:rPr>
        <w:t>7</w:t>
      </w:r>
      <w:r>
        <w:rPr>
          <w:rFonts w:hint="eastAsia" w:ascii="仿宋" w:hAnsi="仿宋" w:eastAsia="仿宋"/>
          <w:bCs/>
          <w:color w:val="auto"/>
          <w:kern w:val="0"/>
          <w:sz w:val="32"/>
          <w:szCs w:val="32"/>
          <w:lang w:val="en-US" w:eastAsia="zh-CN"/>
        </w:rPr>
        <w:t>.</w:t>
      </w:r>
      <w:r>
        <w:rPr>
          <w:rFonts w:hint="eastAsia" w:ascii="仿宋" w:hAnsi="仿宋" w:eastAsia="仿宋"/>
          <w:bCs/>
          <w:color w:val="auto"/>
          <w:kern w:val="0"/>
          <w:sz w:val="32"/>
          <w:szCs w:val="32"/>
        </w:rPr>
        <w:t>深入实施药品集中采购制度。结合盐边南北片区工作实际，不断改革创新采购方式，协调县卫健部门，开展医共体集中采购改革试点，将全县21家公立定点医疗机构的药械集中采购任务统筹分配给盐边县人民医院和盐边县中医院两家医共体医疗机构组织实施，简化工作流程，缩短预付款及回款周期，提升了药械集采效率。今年以来，按要求及时完成6个批次集中采购任务，带量采购药品品种达200个以上，涉及慢性病、抗感染、心血管、肿瘤等多种疾病用药，已在全县3家二级医疗机构17家乡镇医疗机构全面执行中选药品，群众受益243.45万元，药价平均降幅62%，最高降幅98%，惠及群众5万余人。</w:t>
      </w:r>
    </w:p>
    <w:p>
      <w:pPr>
        <w:widowControl/>
        <w:shd w:val="clear" w:color="auto" w:fill="FFFFFF"/>
        <w:spacing w:line="360" w:lineRule="auto"/>
        <w:ind w:firstLine="640" w:firstLineChars="200"/>
        <w:outlineLvl w:val="1"/>
        <w:rPr>
          <w:rFonts w:ascii="仿宋" w:hAnsi="仿宋" w:eastAsia="仿宋"/>
          <w:bCs/>
          <w:color w:val="auto"/>
          <w:kern w:val="0"/>
          <w:sz w:val="32"/>
          <w:szCs w:val="32"/>
        </w:rPr>
      </w:pPr>
      <w:r>
        <w:rPr>
          <w:rFonts w:hint="eastAsia" w:ascii="仿宋" w:hAnsi="仿宋" w:eastAsia="仿宋"/>
          <w:bCs/>
          <w:color w:val="auto"/>
          <w:kern w:val="0"/>
          <w:sz w:val="32"/>
          <w:szCs w:val="32"/>
        </w:rPr>
        <w:t>8</w:t>
      </w:r>
      <w:r>
        <w:rPr>
          <w:rFonts w:hint="eastAsia" w:ascii="仿宋" w:hAnsi="仿宋" w:eastAsia="仿宋"/>
          <w:bCs/>
          <w:color w:val="auto"/>
          <w:kern w:val="0"/>
          <w:sz w:val="32"/>
          <w:szCs w:val="32"/>
          <w:lang w:val="en-US" w:eastAsia="zh-CN"/>
        </w:rPr>
        <w:t>.</w:t>
      </w:r>
      <w:r>
        <w:rPr>
          <w:rFonts w:hint="eastAsia" w:ascii="仿宋" w:hAnsi="仿宋" w:eastAsia="仿宋"/>
          <w:bCs/>
          <w:color w:val="auto"/>
          <w:kern w:val="0"/>
          <w:sz w:val="32"/>
          <w:szCs w:val="32"/>
        </w:rPr>
        <w:t>加快推进医保支付方式改革。将县内有住院条件的22家医院（其中2家于今年解约，截至</w:t>
      </w:r>
      <w:r>
        <w:rPr>
          <w:rFonts w:hint="eastAsia" w:ascii="仿宋" w:hAnsi="仿宋" w:eastAsia="仿宋"/>
          <w:bCs/>
          <w:color w:val="auto"/>
          <w:kern w:val="0"/>
          <w:sz w:val="32"/>
          <w:szCs w:val="32"/>
          <w:lang w:val="en-US" w:eastAsia="zh-CN"/>
        </w:rPr>
        <w:t>12月底</w:t>
      </w:r>
      <w:r>
        <w:rPr>
          <w:rFonts w:hint="eastAsia" w:ascii="仿宋" w:hAnsi="仿宋" w:eastAsia="仿宋"/>
          <w:bCs/>
          <w:color w:val="auto"/>
          <w:kern w:val="0"/>
          <w:sz w:val="32"/>
          <w:szCs w:val="32"/>
        </w:rPr>
        <w:t>共20家纳入“疾病诊断相关分组点数付费法”付费（DRG付费），由传统的按疾病项目付费过渡到实行总额控制下的按疾病病种付费，在大幅度减轻群众医疗负担和医保基金支出压力的同时，实现医疗机构效益的最大化。在2020年DRG付费改革结算中，全县22家医疗机构实现城镇职工医保盈利8家、盈利金额39.07万元，城乡居民医保盈利11家、盈利金额540.99万元，共盈利580.06万元。</w:t>
      </w:r>
    </w:p>
    <w:p>
      <w:pPr>
        <w:widowControl/>
        <w:shd w:val="clear" w:color="auto" w:fill="FFFFFF"/>
        <w:spacing w:line="360" w:lineRule="auto"/>
        <w:ind w:firstLine="640" w:firstLineChars="200"/>
        <w:outlineLvl w:val="1"/>
        <w:rPr>
          <w:rFonts w:ascii="仿宋" w:hAnsi="仿宋" w:eastAsia="仿宋"/>
          <w:bCs/>
          <w:color w:val="auto"/>
          <w:kern w:val="0"/>
          <w:sz w:val="32"/>
          <w:szCs w:val="32"/>
        </w:rPr>
      </w:pPr>
      <w:r>
        <w:rPr>
          <w:rFonts w:hint="eastAsia" w:ascii="仿宋" w:hAnsi="仿宋" w:eastAsia="仿宋"/>
          <w:bCs/>
          <w:color w:val="auto"/>
          <w:kern w:val="0"/>
          <w:sz w:val="32"/>
          <w:szCs w:val="32"/>
        </w:rPr>
        <w:t>9</w:t>
      </w:r>
      <w:r>
        <w:rPr>
          <w:rFonts w:hint="eastAsia" w:ascii="仿宋" w:hAnsi="仿宋" w:eastAsia="仿宋"/>
          <w:bCs/>
          <w:color w:val="auto"/>
          <w:kern w:val="0"/>
          <w:sz w:val="32"/>
          <w:szCs w:val="32"/>
          <w:lang w:val="en-US" w:eastAsia="zh-CN"/>
        </w:rPr>
        <w:t>.</w:t>
      </w:r>
      <w:r>
        <w:rPr>
          <w:rFonts w:hint="eastAsia" w:ascii="仿宋" w:hAnsi="仿宋" w:eastAsia="仿宋"/>
          <w:bCs/>
          <w:color w:val="auto"/>
          <w:kern w:val="0"/>
          <w:sz w:val="32"/>
          <w:szCs w:val="32"/>
        </w:rPr>
        <w:t>积极推进新版医保系统上线工作。按照市医保局的统一安排，积极开展贯标工作，做好数据清理、问题核验、人员培训等前期准备，紧密配合省、市医疗保障系统开发团队，在规定时间内清理相关问题数据1770个，完成新老系统数据导入。目前，新系统已在县医保事务中心和各定点医药机构平稳有序运行。</w:t>
      </w:r>
    </w:p>
    <w:p>
      <w:pPr>
        <w:widowControl/>
        <w:shd w:val="clear" w:color="auto" w:fill="FFFFFF"/>
        <w:spacing w:line="360" w:lineRule="auto"/>
        <w:ind w:firstLine="640" w:firstLineChars="200"/>
        <w:outlineLvl w:val="1"/>
        <w:rPr>
          <w:rFonts w:ascii="仿宋" w:hAnsi="仿宋" w:eastAsia="仿宋"/>
          <w:bCs/>
          <w:color w:val="auto"/>
          <w:kern w:val="0"/>
          <w:sz w:val="32"/>
          <w:szCs w:val="32"/>
        </w:rPr>
      </w:pPr>
      <w:r>
        <w:rPr>
          <w:rFonts w:hint="eastAsia" w:ascii="仿宋" w:hAnsi="仿宋" w:eastAsia="仿宋"/>
          <w:bCs/>
          <w:color w:val="auto"/>
          <w:kern w:val="0"/>
          <w:sz w:val="32"/>
          <w:szCs w:val="32"/>
        </w:rPr>
        <w:t>10</w:t>
      </w:r>
      <w:r>
        <w:rPr>
          <w:rFonts w:hint="eastAsia" w:ascii="仿宋" w:hAnsi="仿宋" w:eastAsia="仿宋"/>
          <w:bCs/>
          <w:color w:val="auto"/>
          <w:kern w:val="0"/>
          <w:sz w:val="32"/>
          <w:szCs w:val="32"/>
          <w:lang w:val="en-US" w:eastAsia="zh-CN"/>
        </w:rPr>
        <w:t>.</w:t>
      </w:r>
      <w:r>
        <w:rPr>
          <w:rFonts w:hint="eastAsia" w:ascii="仿宋" w:hAnsi="仿宋" w:eastAsia="仿宋"/>
          <w:bCs/>
          <w:color w:val="auto"/>
          <w:kern w:val="0"/>
          <w:sz w:val="32"/>
          <w:szCs w:val="32"/>
        </w:rPr>
        <w:t>全力推进2022年城乡居民医保征收。按照依法参保、应保尽保的要求，加强与税务、财政、统计等部门的数据共享与比对，及时掌握医保增减人员信息，精准做好城镇职工和城乡居民医保的征缴工作，推动各类人群应参尽参。2021年完成16.5万人的参保任务。</w:t>
      </w:r>
    </w:p>
    <w:p>
      <w:pPr>
        <w:widowControl/>
        <w:shd w:val="clear" w:color="auto" w:fill="FFFFFF"/>
        <w:spacing w:line="360" w:lineRule="auto"/>
        <w:ind w:firstLine="640" w:firstLineChars="200"/>
        <w:outlineLvl w:val="1"/>
        <w:rPr>
          <w:rFonts w:ascii="仿宋" w:hAnsi="仿宋" w:eastAsia="仿宋"/>
          <w:bCs/>
          <w:color w:val="auto"/>
          <w:kern w:val="0"/>
          <w:sz w:val="32"/>
          <w:szCs w:val="32"/>
        </w:rPr>
      </w:pPr>
      <w:r>
        <w:rPr>
          <w:rFonts w:hint="eastAsia" w:ascii="仿宋" w:hAnsi="仿宋" w:eastAsia="仿宋"/>
          <w:bCs/>
          <w:color w:val="auto"/>
          <w:kern w:val="0"/>
          <w:sz w:val="32"/>
          <w:szCs w:val="32"/>
        </w:rPr>
        <w:t>11</w:t>
      </w:r>
      <w:r>
        <w:rPr>
          <w:rFonts w:hint="eastAsia" w:ascii="仿宋" w:hAnsi="仿宋" w:eastAsia="仿宋"/>
          <w:bCs/>
          <w:color w:val="auto"/>
          <w:kern w:val="0"/>
          <w:sz w:val="32"/>
          <w:szCs w:val="32"/>
          <w:lang w:val="en-US" w:eastAsia="zh-CN"/>
        </w:rPr>
        <w:t>.</w:t>
      </w:r>
      <w:r>
        <w:rPr>
          <w:rFonts w:hint="eastAsia" w:ascii="仿宋" w:hAnsi="仿宋" w:eastAsia="仿宋"/>
          <w:bCs/>
          <w:color w:val="auto"/>
          <w:kern w:val="0"/>
          <w:sz w:val="32"/>
          <w:szCs w:val="32"/>
        </w:rPr>
        <w:t>全力推进县委县政府安排的各项工作任务。紧紧围绕县委县政府中心工作，结合医保职能职责，强化相关部门的沟通协作，加强工作力量的统筹协调，全面完成疫情防控、森林草原防灭火、巩固脱贫成果与乡村振兴衔接、深化改革、法治政府建设、信访维稳等工作任务，充分发挥医疗保障围绕中心、服务大局的重要作用。</w:t>
      </w:r>
    </w:p>
    <w:p>
      <w:pPr>
        <w:pStyle w:val="4"/>
        <w:spacing w:line="360" w:lineRule="auto"/>
        <w:ind w:firstLine="320" w:firstLineChars="100"/>
        <w:rPr>
          <w:rStyle w:val="26"/>
          <w:b w:val="0"/>
          <w:bCs w:val="0"/>
          <w:color w:val="auto"/>
        </w:rPr>
      </w:pPr>
      <w:bookmarkStart w:id="20" w:name="_Toc15396601"/>
      <w:bookmarkStart w:id="21" w:name="_Toc15377200"/>
      <w:r>
        <w:rPr>
          <w:rFonts w:hint="eastAsia" w:ascii="黑体" w:eastAsia="黑体"/>
          <w:b w:val="0"/>
          <w:color w:val="auto"/>
        </w:rPr>
        <w:t>二、</w:t>
      </w:r>
      <w:r>
        <w:rPr>
          <w:rFonts w:hint="eastAsia" w:ascii="黑体" w:hAnsi="黑体" w:eastAsia="黑体"/>
          <w:b w:val="0"/>
          <w:color w:val="auto"/>
        </w:rPr>
        <w:t>机</w:t>
      </w:r>
      <w:r>
        <w:rPr>
          <w:rStyle w:val="26"/>
          <w:rFonts w:hint="eastAsia" w:ascii="黑体" w:hAnsi="黑体" w:eastAsia="黑体"/>
          <w:b w:val="0"/>
          <w:bCs w:val="0"/>
          <w:color w:val="auto"/>
        </w:rPr>
        <w:t>构设置</w:t>
      </w:r>
      <w:bookmarkEnd w:id="20"/>
      <w:bookmarkEnd w:id="21"/>
    </w:p>
    <w:p>
      <w:pPr>
        <w:widowControl/>
        <w:spacing w:line="360" w:lineRule="auto"/>
        <w:ind w:firstLine="640" w:firstLineChars="200"/>
        <w:jc w:val="left"/>
        <w:rPr>
          <w:rFonts w:ascii="仿宋" w:hAnsi="仿宋" w:eastAsia="仿宋"/>
          <w:color w:val="auto"/>
          <w:sz w:val="32"/>
          <w:szCs w:val="32"/>
        </w:rPr>
      </w:pPr>
      <w:r>
        <w:rPr>
          <w:rFonts w:hint="eastAsia" w:ascii="仿宋" w:hAnsi="仿宋" w:eastAsia="仿宋"/>
          <w:color w:val="auto"/>
          <w:sz w:val="32"/>
          <w:szCs w:val="32"/>
        </w:rPr>
        <w:t>盐边县医疗保障局下属二级参照公务员法管理的事业单位1个</w:t>
      </w:r>
      <w:r>
        <w:rPr>
          <w:rFonts w:hint="eastAsia" w:ascii="仿宋" w:hAnsi="仿宋" w:eastAsia="仿宋"/>
          <w:color w:val="auto"/>
          <w:sz w:val="32"/>
          <w:szCs w:val="32"/>
          <w:lang w:eastAsia="zh-CN"/>
        </w:rPr>
        <w:t>：盐边县医疗保障事务中心</w:t>
      </w:r>
      <w:r>
        <w:rPr>
          <w:rFonts w:hint="eastAsia" w:ascii="仿宋" w:hAnsi="仿宋" w:eastAsia="仿宋"/>
          <w:color w:val="auto"/>
          <w:sz w:val="32"/>
          <w:szCs w:val="32"/>
        </w:rPr>
        <w:t>。</w:t>
      </w:r>
      <w:r>
        <w:rPr>
          <w:rFonts w:hint="eastAsia" w:ascii="仿宋" w:hAnsi="仿宋" w:eastAsia="仿宋"/>
          <w:color w:val="auto"/>
          <w:sz w:val="32"/>
          <w:szCs w:val="32"/>
          <w:lang w:val="zh-CN"/>
        </w:rPr>
        <w:t>局内设办公室和业务与政策法规股</w:t>
      </w:r>
      <w:r>
        <w:rPr>
          <w:rFonts w:hint="eastAsia" w:ascii="仿宋" w:hAnsi="仿宋" w:eastAsia="仿宋"/>
          <w:color w:val="auto"/>
          <w:sz w:val="32"/>
          <w:szCs w:val="32"/>
        </w:rPr>
        <w:t>2个机构。</w:t>
      </w:r>
    </w:p>
    <w:p>
      <w:pPr>
        <w:widowControl/>
        <w:spacing w:line="360" w:lineRule="auto"/>
        <w:ind w:firstLine="640" w:firstLineChars="200"/>
        <w:jc w:val="left"/>
        <w:rPr>
          <w:rFonts w:ascii="仿宋" w:hAnsi="仿宋" w:eastAsia="仿宋"/>
          <w:color w:val="auto"/>
          <w:sz w:val="32"/>
          <w:szCs w:val="32"/>
        </w:rPr>
      </w:pPr>
      <w:bookmarkStart w:id="22" w:name="_Toc15378448"/>
      <w:bookmarkStart w:id="23" w:name="_Toc15377201"/>
      <w:bookmarkStart w:id="24" w:name="_Toc15306275"/>
      <w:bookmarkStart w:id="25" w:name="_Toc15377432"/>
      <w:r>
        <w:rPr>
          <w:rFonts w:hint="eastAsia" w:ascii="仿宋" w:hAnsi="仿宋" w:eastAsia="仿宋"/>
          <w:color w:val="auto"/>
          <w:sz w:val="32"/>
          <w:szCs w:val="32"/>
        </w:rPr>
        <w:t>纳入盐边县医疗保障局2021年度部门决算编制范围的</w:t>
      </w:r>
    </w:p>
    <w:p>
      <w:pPr>
        <w:widowControl/>
        <w:spacing w:line="360" w:lineRule="auto"/>
        <w:jc w:val="left"/>
        <w:rPr>
          <w:rFonts w:ascii="仿宋" w:hAnsi="仿宋" w:eastAsia="仿宋"/>
          <w:color w:val="auto"/>
          <w:kern w:val="0"/>
          <w:sz w:val="32"/>
          <w:szCs w:val="32"/>
        </w:rPr>
      </w:pPr>
      <w:r>
        <w:rPr>
          <w:rFonts w:hint="eastAsia" w:ascii="仿宋" w:hAnsi="仿宋" w:eastAsia="仿宋"/>
          <w:color w:val="auto"/>
          <w:sz w:val="32"/>
          <w:szCs w:val="32"/>
        </w:rPr>
        <w:t>包括</w:t>
      </w:r>
      <w:bookmarkStart w:id="26" w:name="_Toc52180071"/>
      <w:r>
        <w:rPr>
          <w:rFonts w:hint="eastAsia" w:ascii="仿宋" w:hAnsi="仿宋" w:eastAsia="仿宋"/>
          <w:color w:val="auto"/>
          <w:sz w:val="32"/>
          <w:szCs w:val="32"/>
          <w:lang w:eastAsia="zh-CN"/>
        </w:rPr>
        <w:t>二级单位</w:t>
      </w:r>
      <w:r>
        <w:rPr>
          <w:rFonts w:hint="eastAsia" w:ascii="仿宋" w:hAnsi="仿宋" w:eastAsia="仿宋"/>
          <w:color w:val="auto"/>
          <w:sz w:val="32"/>
          <w:szCs w:val="32"/>
        </w:rPr>
        <w:t>盐边县医疗保障事务中心</w:t>
      </w:r>
      <w:bookmarkEnd w:id="26"/>
      <w:r>
        <w:rPr>
          <w:rFonts w:hint="eastAsia" w:ascii="仿宋" w:hAnsi="仿宋" w:eastAsia="仿宋"/>
          <w:color w:val="auto"/>
          <w:sz w:val="32"/>
          <w:szCs w:val="32"/>
        </w:rPr>
        <w:t>。</w:t>
      </w:r>
      <w:bookmarkEnd w:id="22"/>
      <w:bookmarkEnd w:id="23"/>
      <w:bookmarkEnd w:id="24"/>
      <w:bookmarkEnd w:id="25"/>
      <w:r>
        <w:rPr>
          <w:rFonts w:ascii="仿宋" w:hAnsi="仿宋" w:eastAsia="仿宋"/>
          <w:color w:val="auto"/>
          <w:sz w:val="32"/>
          <w:szCs w:val="32"/>
        </w:rPr>
        <w:br w:type="page"/>
      </w:r>
    </w:p>
    <w:p>
      <w:pPr>
        <w:pStyle w:val="3"/>
        <w:spacing w:line="360" w:lineRule="auto"/>
        <w:ind w:right="440"/>
        <w:jc w:val="center"/>
        <w:rPr>
          <w:rStyle w:val="25"/>
          <w:rFonts w:ascii="黑体" w:hAnsi="黑体" w:eastAsia="黑体"/>
          <w:b w:val="0"/>
          <w:bCs/>
          <w:color w:val="auto"/>
        </w:rPr>
      </w:pPr>
      <w:bookmarkStart w:id="27" w:name="_Toc15396602"/>
      <w:bookmarkStart w:id="28" w:name="_Toc15377204"/>
      <w:r>
        <w:rPr>
          <w:rFonts w:hint="eastAsia" w:ascii="黑体" w:hAnsi="黑体" w:eastAsia="黑体"/>
          <w:b w:val="0"/>
          <w:color w:val="auto"/>
        </w:rPr>
        <w:t>第二部分 2021年度</w:t>
      </w:r>
      <w:r>
        <w:rPr>
          <w:rStyle w:val="25"/>
          <w:rFonts w:hint="eastAsia" w:ascii="黑体" w:hAnsi="黑体" w:eastAsia="黑体"/>
          <w:b w:val="0"/>
          <w:bCs/>
          <w:color w:val="auto"/>
        </w:rPr>
        <w:t>部门决算情况说明</w:t>
      </w:r>
      <w:bookmarkEnd w:id="27"/>
      <w:bookmarkEnd w:id="28"/>
    </w:p>
    <w:p>
      <w:pPr>
        <w:spacing w:line="360" w:lineRule="auto"/>
        <w:rPr>
          <w:color w:val="auto"/>
        </w:rPr>
      </w:pPr>
    </w:p>
    <w:p>
      <w:pPr>
        <w:pStyle w:val="24"/>
        <w:numPr>
          <w:ilvl w:val="0"/>
          <w:numId w:val="1"/>
        </w:numPr>
        <w:spacing w:line="360" w:lineRule="auto"/>
        <w:ind w:firstLineChars="0"/>
        <w:outlineLvl w:val="1"/>
        <w:rPr>
          <w:rStyle w:val="26"/>
          <w:rFonts w:ascii="黑体" w:hAnsi="黑体" w:eastAsia="黑体"/>
          <w:b w:val="0"/>
          <w:color w:val="auto"/>
        </w:rPr>
      </w:pPr>
      <w:bookmarkStart w:id="29" w:name="_Toc15396603"/>
      <w:bookmarkStart w:id="30" w:name="_Toc15377205"/>
      <w:r>
        <w:rPr>
          <w:rFonts w:hint="eastAsia" w:ascii="黑体" w:hAnsi="黑体" w:eastAsia="黑体"/>
          <w:color w:val="auto"/>
          <w:sz w:val="32"/>
          <w:szCs w:val="32"/>
        </w:rPr>
        <w:t>收</w:t>
      </w:r>
      <w:r>
        <w:rPr>
          <w:rStyle w:val="26"/>
          <w:rFonts w:hint="eastAsia" w:ascii="黑体" w:hAnsi="黑体" w:eastAsia="黑体"/>
          <w:b w:val="0"/>
          <w:color w:val="auto"/>
        </w:rPr>
        <w:t>入支出决算总体情况说明</w:t>
      </w:r>
      <w:bookmarkEnd w:id="29"/>
      <w:bookmarkEnd w:id="30"/>
    </w:p>
    <w:p>
      <w:pPr>
        <w:spacing w:line="360" w:lineRule="auto"/>
        <w:ind w:firstLine="640" w:firstLineChars="200"/>
        <w:rPr>
          <w:rFonts w:hint="default" w:eastAsia="仿宋_GB2312"/>
          <w:sz w:val="24"/>
          <w:szCs w:val="24"/>
          <w:lang w:val="en-US" w:eastAsia="zh-CN"/>
        </w:rPr>
      </w:pPr>
      <w:r>
        <w:rPr>
          <w:rFonts w:hint="eastAsia" w:ascii="仿宋" w:hAnsi="仿宋" w:eastAsia="仿宋"/>
          <w:color w:val="auto"/>
          <w:sz w:val="32"/>
          <w:szCs w:val="32"/>
        </w:rPr>
        <w:t>2021年度收</w:t>
      </w:r>
      <w:r>
        <w:rPr>
          <w:rFonts w:hint="eastAsia" w:ascii="仿宋" w:hAnsi="仿宋" w:eastAsia="仿宋"/>
          <w:color w:val="auto"/>
          <w:sz w:val="32"/>
          <w:szCs w:val="32"/>
          <w:lang w:eastAsia="zh-CN"/>
        </w:rPr>
        <w:t>、</w:t>
      </w:r>
      <w:r>
        <w:rPr>
          <w:rFonts w:hint="eastAsia" w:ascii="仿宋" w:hAnsi="仿宋" w:eastAsia="仿宋"/>
          <w:color w:val="auto"/>
          <w:sz w:val="32"/>
          <w:szCs w:val="32"/>
        </w:rPr>
        <w:t>支</w:t>
      </w:r>
      <w:r>
        <w:rPr>
          <w:rFonts w:hint="eastAsia" w:ascii="仿宋" w:hAnsi="仿宋" w:eastAsia="仿宋"/>
          <w:color w:val="auto"/>
          <w:sz w:val="32"/>
          <w:szCs w:val="32"/>
          <w:lang w:eastAsia="zh-CN"/>
        </w:rPr>
        <w:t>总计</w:t>
      </w:r>
      <w:r>
        <w:rPr>
          <w:rFonts w:hint="eastAsia" w:ascii="仿宋" w:hAnsi="仿宋" w:eastAsia="仿宋"/>
          <w:color w:val="auto"/>
          <w:sz w:val="32"/>
          <w:szCs w:val="32"/>
        </w:rPr>
        <w:t>2156.02万元。与2020年相比，收</w:t>
      </w:r>
      <w:r>
        <w:rPr>
          <w:rFonts w:hint="eastAsia" w:ascii="仿宋" w:hAnsi="仿宋" w:eastAsia="仿宋"/>
          <w:color w:val="auto"/>
          <w:sz w:val="32"/>
          <w:szCs w:val="32"/>
          <w:lang w:eastAsia="zh-CN"/>
        </w:rPr>
        <w:t>、</w:t>
      </w:r>
      <w:r>
        <w:rPr>
          <w:rFonts w:hint="eastAsia" w:ascii="仿宋" w:hAnsi="仿宋" w:eastAsia="仿宋"/>
          <w:color w:val="auto"/>
          <w:sz w:val="32"/>
          <w:szCs w:val="32"/>
        </w:rPr>
        <w:t>支</w:t>
      </w:r>
      <w:r>
        <w:rPr>
          <w:rFonts w:hint="eastAsia" w:ascii="仿宋" w:hAnsi="仿宋" w:eastAsia="仿宋"/>
          <w:color w:val="auto"/>
          <w:sz w:val="32"/>
          <w:szCs w:val="32"/>
          <w:lang w:eastAsia="zh-CN"/>
        </w:rPr>
        <w:t>总计</w:t>
      </w:r>
      <w:r>
        <w:rPr>
          <w:rFonts w:hint="eastAsia" w:ascii="仿宋" w:hAnsi="仿宋" w:eastAsia="仿宋"/>
          <w:color w:val="auto"/>
          <w:sz w:val="32"/>
          <w:szCs w:val="32"/>
        </w:rPr>
        <w:t>增加</w:t>
      </w:r>
      <w:r>
        <w:rPr>
          <w:rFonts w:hint="eastAsia" w:ascii="仿宋" w:hAnsi="仿宋" w:eastAsia="仿宋"/>
          <w:color w:val="auto"/>
          <w:sz w:val="32"/>
          <w:szCs w:val="32"/>
          <w:lang w:val="en-US" w:eastAsia="zh-CN"/>
        </w:rPr>
        <w:t>160.7</w:t>
      </w:r>
      <w:r>
        <w:rPr>
          <w:rFonts w:hint="eastAsia" w:ascii="仿宋" w:hAnsi="仿宋" w:eastAsia="仿宋"/>
          <w:color w:val="auto"/>
          <w:sz w:val="32"/>
          <w:szCs w:val="32"/>
        </w:rPr>
        <w:t>万元，增长8.05</w:t>
      </w:r>
      <w:r>
        <w:rPr>
          <w:rFonts w:ascii="仿宋" w:hAnsi="仿宋" w:eastAsia="仿宋"/>
          <w:color w:val="auto"/>
          <w:sz w:val="32"/>
          <w:szCs w:val="32"/>
        </w:rPr>
        <w:t>%</w:t>
      </w:r>
      <w:r>
        <w:rPr>
          <w:rFonts w:hint="eastAsia" w:ascii="仿宋" w:hAnsi="仿宋" w:eastAsia="仿宋"/>
          <w:color w:val="auto"/>
          <w:sz w:val="32"/>
          <w:szCs w:val="32"/>
        </w:rPr>
        <w:t>。主要变动原因是人员增加，基本支出增加，部分项目资金增加。</w:t>
      </w:r>
    </w:p>
    <w:p>
      <w:pPr>
        <w:pStyle w:val="2"/>
        <w:spacing w:before="93" w:line="360" w:lineRule="auto"/>
        <w:rPr>
          <w:rFonts w:hint="eastAsia" w:eastAsia="仿宋_GB2312"/>
          <w:color w:val="auto"/>
          <w:lang w:eastAsia="zh-CN"/>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4429760</wp:posOffset>
                </wp:positionH>
                <wp:positionV relativeFrom="paragraph">
                  <wp:posOffset>27940</wp:posOffset>
                </wp:positionV>
                <wp:extent cx="914400" cy="334010"/>
                <wp:effectExtent l="4445" t="4445" r="14605" b="23495"/>
                <wp:wrapNone/>
                <wp:docPr id="16" name="自选图形 2"/>
                <wp:cNvGraphicFramePr/>
                <a:graphic xmlns:a="http://schemas.openxmlformats.org/drawingml/2006/main">
                  <a:graphicData uri="http://schemas.microsoft.com/office/word/2010/wordprocessingShape">
                    <wps:wsp>
                      <wps:cNvSpPr/>
                      <wps:spPr>
                        <a:xfrm>
                          <a:off x="0" y="0"/>
                          <a:ext cx="914400" cy="334010"/>
                        </a:xfrm>
                        <a:prstGeom prst="roundRect">
                          <a:avLst>
                            <a:gd name="adj" fmla="val 16667"/>
                          </a:avLst>
                        </a:prstGeom>
                        <a:solidFill>
                          <a:srgbClr val="FFFFFF"/>
                        </a:solidFill>
                        <a:ln w="9525" cap="flat" cmpd="sng">
                          <a:solidFill>
                            <a:srgbClr val="FFFFFF"/>
                          </a:solidFill>
                          <a:prstDash val="solid"/>
                          <a:headEnd type="none" w="med" len="med"/>
                          <a:tailEnd type="none" w="med" len="med"/>
                        </a:ln>
                      </wps:spPr>
                      <wps:txbx>
                        <w:txbxContent>
                          <w:p>
                            <w:r>
                              <w:rPr>
                                <w:rFonts w:hint="eastAsia"/>
                              </w:rPr>
                              <w:t>单位：万元</w:t>
                            </w:r>
                          </w:p>
                        </w:txbxContent>
                      </wps:txbx>
                      <wps:bodyPr upright="1"/>
                    </wps:wsp>
                  </a:graphicData>
                </a:graphic>
              </wp:anchor>
            </w:drawing>
          </mc:Choice>
          <mc:Fallback>
            <w:pict>
              <v:roundrect id="自选图形 2" o:spid="_x0000_s1026" o:spt="2" style="position:absolute;left:0pt;margin-left:348.8pt;margin-top:2.2pt;height:26.3pt;width:72pt;z-index:251662336;mso-width-relative:page;mso-height-relative:page;" fillcolor="#FFFFFF" filled="t" stroked="t" coordsize="21600,21600" arcsize="0.166666666666667" o:gfxdata="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Z077tgAAAAI&#10;AQAADwAAAAAAAAABACAAAAAiAAAAZHJzL2Rvd25yZXYueG1sUEsBAhQAFAAAAAgAh07iQDzavSYc&#10;AgAAVgQAAA4AAAAAAAAAAQAgAAAAJwEAAGRycy9lMm9Eb2MueG1sUEsFBgAAAAAGAAYAWQEAALUF&#10;AAAAAA==&#10;">
                <v:fill on="t" focussize="0,0"/>
                <v:stroke color="#FFFFFF" joinstyle="round"/>
                <v:imagedata o:title=""/>
                <o:lock v:ext="edit" aspectratio="f"/>
                <v:textbox>
                  <w:txbxContent>
                    <w:p>
                      <w:r>
                        <w:rPr>
                          <w:rFonts w:hint="eastAsia"/>
                        </w:rPr>
                        <w:t>单位：万元</w:t>
                      </w:r>
                    </w:p>
                  </w:txbxContent>
                </v:textbox>
              </v:roundrect>
            </w:pict>
          </mc:Fallback>
        </mc:AlternateContent>
      </w:r>
      <w:r>
        <w:rPr>
          <w:rFonts w:hint="eastAsia"/>
          <w:color w:val="auto"/>
          <w:lang w:val="en-US" w:eastAsia="zh-CN"/>
        </w:rPr>
        <w:t xml:space="preserve">    </w:t>
      </w:r>
      <w:r>
        <w:rPr>
          <w:rFonts w:hint="eastAsia" w:eastAsia="仿宋_GB2312"/>
          <w:color w:val="auto"/>
          <w:lang w:eastAsia="zh-CN"/>
        </w:rPr>
        <w:drawing>
          <wp:inline distT="0" distB="0" distL="114300" distR="114300">
            <wp:extent cx="4551045" cy="2798445"/>
            <wp:effectExtent l="4445" t="4445" r="16510" b="1651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ind w:firstLine="1920" w:firstLineChars="600"/>
        <w:rPr>
          <w:rFonts w:hint="eastAsia" w:ascii="仿宋" w:hAnsi="仿宋" w:eastAsia="仿宋"/>
          <w:color w:val="auto"/>
          <w:sz w:val="32"/>
          <w:szCs w:val="32"/>
          <w:lang w:val="en-US" w:eastAsia="zh-CN"/>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w:t>
      </w:r>
      <w:r>
        <w:rPr>
          <w:rFonts w:hint="eastAsia" w:ascii="仿宋" w:hAnsi="仿宋" w:eastAsia="仿宋"/>
          <w:color w:val="auto"/>
          <w:sz w:val="32"/>
          <w:szCs w:val="32"/>
          <w:lang w:val="en-US" w:eastAsia="zh-CN"/>
        </w:rPr>
        <w:t xml:space="preserve"> </w:t>
      </w:r>
    </w:p>
    <w:p>
      <w:pPr>
        <w:spacing w:line="360" w:lineRule="auto"/>
        <w:ind w:firstLine="640" w:firstLineChars="200"/>
        <w:jc w:val="left"/>
        <w:rPr>
          <w:rFonts w:ascii="仿宋_GB2312" w:eastAsia="仿宋_GB2312"/>
          <w:color w:val="auto"/>
          <w:sz w:val="32"/>
          <w:szCs w:val="32"/>
        </w:rPr>
      </w:pPr>
    </w:p>
    <w:p>
      <w:pPr>
        <w:pStyle w:val="24"/>
        <w:numPr>
          <w:ilvl w:val="0"/>
          <w:numId w:val="1"/>
        </w:numPr>
        <w:spacing w:line="360" w:lineRule="auto"/>
        <w:ind w:firstLineChars="0"/>
        <w:outlineLvl w:val="1"/>
        <w:rPr>
          <w:rStyle w:val="26"/>
          <w:rFonts w:ascii="黑体" w:hAnsi="黑体" w:eastAsia="黑体"/>
          <w:b w:val="0"/>
          <w:color w:val="auto"/>
        </w:rPr>
      </w:pPr>
      <w:bookmarkStart w:id="31" w:name="_Toc15396604"/>
      <w:bookmarkStart w:id="32" w:name="_Toc15377206"/>
      <w:r>
        <w:rPr>
          <w:rFonts w:hint="eastAsia" w:ascii="黑体" w:hAnsi="黑体" w:eastAsia="黑体"/>
          <w:color w:val="auto"/>
          <w:sz w:val="32"/>
          <w:szCs w:val="32"/>
        </w:rPr>
        <w:t>收</w:t>
      </w:r>
      <w:r>
        <w:rPr>
          <w:rStyle w:val="26"/>
          <w:rFonts w:hint="eastAsia" w:ascii="黑体" w:hAnsi="黑体" w:eastAsia="黑体"/>
          <w:b w:val="0"/>
          <w:color w:val="auto"/>
        </w:rPr>
        <w:t>入决算情况说明</w:t>
      </w:r>
      <w:bookmarkEnd w:id="31"/>
      <w:bookmarkEnd w:id="32"/>
    </w:p>
    <w:p>
      <w:pPr>
        <w:spacing w:line="360" w:lineRule="auto"/>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21年本年收入合计2136.91万元，其中：一般公共预算财政拨款收入2094.51万元，占98.01</w:t>
      </w:r>
      <w:r>
        <w:rPr>
          <w:rFonts w:ascii="仿宋" w:hAnsi="仿宋" w:eastAsia="仿宋"/>
          <w:color w:val="auto"/>
          <w:sz w:val="32"/>
          <w:szCs w:val="32"/>
        </w:rPr>
        <w:t>%</w:t>
      </w:r>
      <w:r>
        <w:rPr>
          <w:rFonts w:hint="eastAsia" w:ascii="仿宋" w:hAnsi="仿宋" w:eastAsia="仿宋"/>
          <w:color w:val="auto"/>
          <w:sz w:val="32"/>
          <w:szCs w:val="32"/>
        </w:rPr>
        <w:t>；政府性基金预算财政拨款收入35.4万元，占1.66</w:t>
      </w:r>
      <w:r>
        <w:rPr>
          <w:rFonts w:ascii="仿宋" w:hAnsi="仿宋" w:eastAsia="仿宋"/>
          <w:color w:val="auto"/>
          <w:sz w:val="32"/>
          <w:szCs w:val="32"/>
        </w:rPr>
        <w:t>%</w:t>
      </w:r>
      <w:r>
        <w:rPr>
          <w:rFonts w:hint="eastAsia" w:ascii="仿宋" w:hAnsi="仿宋" w:eastAsia="仿宋"/>
          <w:color w:val="auto"/>
          <w:sz w:val="32"/>
          <w:szCs w:val="32"/>
        </w:rPr>
        <w:t>；其他收入7万元，占0.33%。</w:t>
      </w:r>
    </w:p>
    <w:p>
      <w:pPr>
        <w:spacing w:line="360" w:lineRule="auto"/>
        <w:outlineLvl w:val="1"/>
        <w:rPr>
          <w:rFonts w:ascii="仿宋" w:hAnsi="仿宋" w:eastAsia="仿宋"/>
          <w:color w:val="auto"/>
          <w:sz w:val="32"/>
          <w:szCs w:val="32"/>
        </w:rPr>
      </w:pPr>
      <w:r>
        <w:rPr>
          <w:rFonts w:hint="eastAsia" w:ascii="仿宋" w:hAnsi="仿宋" w:eastAsia="仿宋"/>
          <w:color w:val="auto"/>
          <w:sz w:val="32"/>
          <w:szCs w:val="32"/>
        </w:rPr>
        <w:drawing>
          <wp:inline distT="0" distB="0" distL="114300" distR="114300">
            <wp:extent cx="5327015" cy="3782060"/>
            <wp:effectExtent l="4445" t="4445" r="21590" b="234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2880" w:firstLineChars="900"/>
        <w:rPr>
          <w:rFonts w:ascii="仿宋" w:hAnsi="仿宋" w:eastAsia="仿宋"/>
          <w:color w:val="auto"/>
          <w:sz w:val="32"/>
          <w:szCs w:val="32"/>
        </w:rPr>
      </w:pPr>
      <w:r>
        <w:rPr>
          <w:rFonts w:hint="eastAsia" w:ascii="仿宋" w:hAnsi="仿宋" w:eastAsia="仿宋"/>
          <w:color w:val="auto"/>
          <w:sz w:val="32"/>
          <w:szCs w:val="32"/>
        </w:rPr>
        <w:t>图2：收入决算结构图</w:t>
      </w:r>
    </w:p>
    <w:p>
      <w:pPr>
        <w:spacing w:line="360" w:lineRule="auto"/>
        <w:ind w:firstLine="640" w:firstLineChars="200"/>
        <w:rPr>
          <w:rFonts w:ascii="仿宋_GB2312" w:eastAsia="仿宋_GB2312"/>
          <w:color w:val="auto"/>
          <w:sz w:val="32"/>
          <w:szCs w:val="32"/>
        </w:rPr>
      </w:pPr>
    </w:p>
    <w:p>
      <w:pPr>
        <w:pStyle w:val="24"/>
        <w:numPr>
          <w:ilvl w:val="0"/>
          <w:numId w:val="1"/>
        </w:numPr>
        <w:spacing w:line="360" w:lineRule="auto"/>
        <w:ind w:firstLineChars="0"/>
        <w:outlineLvl w:val="1"/>
        <w:rPr>
          <w:rStyle w:val="26"/>
          <w:rFonts w:ascii="黑体" w:hAnsi="黑体" w:eastAsia="黑体"/>
          <w:b w:val="0"/>
          <w:color w:val="auto"/>
        </w:rPr>
      </w:pPr>
      <w:bookmarkStart w:id="33" w:name="_Toc15377207"/>
      <w:bookmarkStart w:id="34" w:name="_Toc15396605"/>
      <w:r>
        <w:rPr>
          <w:rFonts w:hint="eastAsia" w:ascii="黑体" w:hAnsi="黑体" w:eastAsia="黑体"/>
          <w:color w:val="auto"/>
          <w:sz w:val="32"/>
          <w:szCs w:val="32"/>
        </w:rPr>
        <w:t>支</w:t>
      </w:r>
      <w:r>
        <w:rPr>
          <w:rStyle w:val="26"/>
          <w:rFonts w:hint="eastAsia" w:ascii="黑体" w:hAnsi="黑体" w:eastAsia="黑体"/>
          <w:b w:val="0"/>
          <w:color w:val="auto"/>
        </w:rPr>
        <w:t>出决算情况说明</w:t>
      </w:r>
      <w:bookmarkEnd w:id="33"/>
      <w:bookmarkEnd w:id="34"/>
    </w:p>
    <w:p>
      <w:pPr>
        <w:spacing w:line="360" w:lineRule="auto"/>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21年本年支出合计2156.02万元，其中：基本支出302.23万元，占14.02</w:t>
      </w:r>
      <w:r>
        <w:rPr>
          <w:rFonts w:ascii="仿宋" w:hAnsi="仿宋" w:eastAsia="仿宋"/>
          <w:color w:val="auto"/>
          <w:sz w:val="32"/>
          <w:szCs w:val="32"/>
        </w:rPr>
        <w:t>%</w:t>
      </w:r>
      <w:r>
        <w:rPr>
          <w:rFonts w:hint="eastAsia" w:ascii="仿宋" w:hAnsi="仿宋" w:eastAsia="仿宋"/>
          <w:color w:val="auto"/>
          <w:sz w:val="32"/>
          <w:szCs w:val="32"/>
        </w:rPr>
        <w:t>；项目支出1853.79万元，占85.98</w:t>
      </w:r>
      <w:r>
        <w:rPr>
          <w:rFonts w:ascii="仿宋" w:hAnsi="仿宋" w:eastAsia="仿宋"/>
          <w:color w:val="auto"/>
          <w:sz w:val="32"/>
          <w:szCs w:val="32"/>
        </w:rPr>
        <w:t>%</w:t>
      </w:r>
      <w:r>
        <w:rPr>
          <w:rFonts w:hint="eastAsia" w:ascii="仿宋" w:hAnsi="仿宋" w:eastAsia="仿宋"/>
          <w:color w:val="auto"/>
          <w:sz w:val="32"/>
          <w:szCs w:val="32"/>
        </w:rPr>
        <w:t>。</w:t>
      </w:r>
    </w:p>
    <w:p>
      <w:pPr>
        <w:spacing w:line="360" w:lineRule="auto"/>
        <w:ind w:firstLine="640"/>
        <w:rPr>
          <w:rFonts w:ascii="仿宋" w:hAnsi="仿宋" w:eastAsia="仿宋"/>
          <w:color w:val="auto"/>
          <w:sz w:val="32"/>
          <w:szCs w:val="32"/>
          <w:shd w:val="pct10" w:color="auto" w:fill="FFFFFF"/>
        </w:rPr>
      </w:pPr>
      <w:r>
        <w:rPr>
          <w:rFonts w:hint="eastAsia" w:ascii="仿宋" w:hAnsi="仿宋" w:eastAsia="仿宋"/>
          <w:color w:val="auto"/>
          <w:sz w:val="32"/>
          <w:szCs w:val="32"/>
        </w:rPr>
        <w:object>
          <v:shape id="_x0000_i1028" o:spt="75" alt="" type="#_x0000_t75" style="height:238pt;width:380pt;" o:ole="t" filled="f" o:preferrelative="t" stroked="f" coordsize="21600,21600" o:gfxdata="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">
            <v:path/>
            <v:fill on="f" focussize="0,0"/>
            <v:stroke on="f"/>
            <v:imagedata r:id="rId12" o:title=""/>
            <o:lock v:ext="edit" aspectratio="f"/>
            <w10:wrap type="none"/>
            <w10:anchorlock/>
          </v:shape>
          <o:OLEObject Type="Embed" ProgID="Excel.Sheet.8" ShapeID="_x0000_i1028" DrawAspect="Content" ObjectID="_1468075725" r:id="rId11">
            <o:LockedField>false</o:LockedField>
          </o:OLEObject>
        </w:object>
      </w: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3994785</wp:posOffset>
                </wp:positionH>
                <wp:positionV relativeFrom="paragraph">
                  <wp:posOffset>194945</wp:posOffset>
                </wp:positionV>
                <wp:extent cx="1238250" cy="609600"/>
                <wp:effectExtent l="0" t="0" r="0" b="0"/>
                <wp:wrapNone/>
                <wp:docPr id="4" name="椭圆 3"/>
                <wp:cNvGraphicFramePr/>
                <a:graphic xmlns:a="http://schemas.openxmlformats.org/drawingml/2006/main">
                  <a:graphicData uri="http://schemas.microsoft.com/office/word/2010/wordprocessingShape">
                    <wps:wsp>
                      <wps:cNvSpPr/>
                      <wps:spPr>
                        <a:xfrm>
                          <a:off x="0" y="0"/>
                          <a:ext cx="1238250" cy="609600"/>
                        </a:xfrm>
                        <a:prstGeom prst="ellipse">
                          <a:avLst/>
                        </a:prstGeom>
                        <a:solidFill>
                          <a:srgbClr val="FFFFFF"/>
                        </a:solidFill>
                        <a:ln>
                          <a:noFill/>
                        </a:ln>
                      </wps:spPr>
                      <wps:txbx>
                        <w:txbxContent>
                          <w:p>
                            <w:pPr>
                              <w:rPr>
                                <w:sz w:val="18"/>
                                <w:szCs w:val="18"/>
                              </w:rPr>
                            </w:pPr>
                            <w:r>
                              <w:rPr>
                                <w:rFonts w:hint="eastAsia"/>
                                <w:sz w:val="18"/>
                                <w:szCs w:val="18"/>
                              </w:rPr>
                              <w:t>单位：万元</w:t>
                            </w:r>
                          </w:p>
                        </w:txbxContent>
                      </wps:txbx>
                      <wps:bodyPr upright="1"/>
                    </wps:wsp>
                  </a:graphicData>
                </a:graphic>
              </wp:anchor>
            </w:drawing>
          </mc:Choice>
          <mc:Fallback>
            <w:pict>
              <v:shape id="椭圆 3" o:spid="_x0000_s1026" o:spt="3" type="#_x0000_t3" style="position:absolute;left:0pt;margin-left:314.55pt;margin-top:15.35pt;height:48pt;width:97.5pt;z-index:251659264;mso-width-relative:page;mso-height-relative:page;" fillcolor="#FFFFFF" filled="t" stroked="f" coordsize="21600,21600" o:gfxdata="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kTybXWAAAACgEAAA8AAAAAAAAAAQAgAAAAIgAAAGRycy9kb3ducmV2LnhtbFBLAQIUABQA&#10;AAAIAIdO4kDx6jEcuQEAAG0DAAAOAAAAAAAAAAEAIAAAACUBAABkcnMvZTJvRG9jLnhtbFBLBQYA&#10;AAAABgAGAFkBAABQBQAAAAA=&#10;">
                <v:fill on="t" focussize="0,0"/>
                <v:stroke on="f"/>
                <v:imagedata o:title=""/>
                <o:lock v:ext="edit" aspectratio="f"/>
                <v:textbox>
                  <w:txbxContent>
                    <w:p>
                      <w:pPr>
                        <w:rPr>
                          <w:sz w:val="18"/>
                          <w:szCs w:val="18"/>
                        </w:rPr>
                      </w:pPr>
                      <w:r>
                        <w:rPr>
                          <w:rFonts w:hint="eastAsia"/>
                          <w:sz w:val="18"/>
                          <w:szCs w:val="18"/>
                        </w:rPr>
                        <w:t>单位：万元</w:t>
                      </w:r>
                    </w:p>
                  </w:txbxContent>
                </v:textbox>
              </v:shape>
            </w:pict>
          </mc:Fallback>
        </mc:AlternateContent>
      </w:r>
    </w:p>
    <w:p>
      <w:pPr>
        <w:spacing w:line="360" w:lineRule="auto"/>
        <w:ind w:firstLine="3200" w:firstLineChars="1000"/>
        <w:jc w:val="both"/>
        <w:rPr>
          <w:rFonts w:ascii="仿宋" w:hAnsi="仿宋" w:eastAsia="仿宋"/>
          <w:color w:val="auto"/>
          <w:sz w:val="32"/>
          <w:szCs w:val="32"/>
        </w:rPr>
      </w:pPr>
      <w:r>
        <w:rPr>
          <w:rFonts w:hint="eastAsia" w:ascii="仿宋" w:hAnsi="仿宋" w:eastAsia="仿宋"/>
          <w:color w:val="auto"/>
          <w:sz w:val="32"/>
          <w:szCs w:val="32"/>
        </w:rPr>
        <w:t>图3：支出决算结构图</w:t>
      </w:r>
    </w:p>
    <w:p>
      <w:pPr>
        <w:spacing w:line="360" w:lineRule="auto"/>
        <w:ind w:firstLine="640" w:firstLineChars="200"/>
        <w:rPr>
          <w:rFonts w:ascii="仿宋_GB2312" w:eastAsia="仿宋_GB2312"/>
          <w:color w:val="auto"/>
          <w:sz w:val="32"/>
          <w:szCs w:val="32"/>
        </w:rPr>
      </w:pPr>
    </w:p>
    <w:p>
      <w:pPr>
        <w:spacing w:line="360" w:lineRule="auto"/>
        <w:ind w:firstLine="640" w:firstLineChars="200"/>
        <w:outlineLvl w:val="1"/>
        <w:rPr>
          <w:rStyle w:val="26"/>
          <w:rFonts w:ascii="黑体" w:hAnsi="黑体" w:eastAsia="黑体"/>
          <w:b w:val="0"/>
          <w:color w:val="auto"/>
        </w:rPr>
      </w:pPr>
      <w:bookmarkStart w:id="35" w:name="_Toc15396606"/>
      <w:bookmarkStart w:id="36" w:name="_Toc15377208"/>
      <w:r>
        <w:rPr>
          <w:rFonts w:hint="eastAsia" w:ascii="黑体" w:hAnsi="黑体" w:eastAsia="黑体"/>
          <w:color w:val="auto"/>
          <w:sz w:val="32"/>
          <w:szCs w:val="32"/>
        </w:rPr>
        <w:t>四、财</w:t>
      </w:r>
      <w:r>
        <w:rPr>
          <w:rStyle w:val="26"/>
          <w:rFonts w:hint="eastAsia" w:ascii="黑体" w:hAnsi="黑体" w:eastAsia="黑体"/>
          <w:b w:val="0"/>
          <w:color w:val="auto"/>
        </w:rPr>
        <w:t>政拨款收入支出决算总体情况说明</w:t>
      </w:r>
      <w:bookmarkEnd w:id="35"/>
      <w:bookmarkEnd w:id="36"/>
    </w:p>
    <w:p>
      <w:pPr>
        <w:spacing w:line="360" w:lineRule="auto"/>
        <w:ind w:firstLine="640" w:firstLineChars="200"/>
      </w:pPr>
      <w:r>
        <w:rPr>
          <w:rFonts w:ascii="仿宋" w:hAnsi="仿宋" w:eastAsia="仿宋"/>
          <w:color w:val="auto"/>
          <w:sz w:val="32"/>
          <w:szCs w:val="32"/>
        </w:rPr>
        <w:t>20</w:t>
      </w:r>
      <w:r>
        <w:rPr>
          <w:rFonts w:hint="eastAsia" w:ascii="仿宋" w:hAnsi="仿宋" w:eastAsia="仿宋"/>
          <w:color w:val="auto"/>
          <w:sz w:val="32"/>
          <w:szCs w:val="32"/>
        </w:rPr>
        <w:t>21年财政拨款收</w:t>
      </w:r>
      <w:r>
        <w:rPr>
          <w:rFonts w:hint="eastAsia" w:ascii="仿宋" w:hAnsi="仿宋" w:eastAsia="仿宋"/>
          <w:color w:val="auto"/>
          <w:sz w:val="32"/>
          <w:szCs w:val="32"/>
          <w:lang w:eastAsia="zh-CN"/>
        </w:rPr>
        <w:t>、</w:t>
      </w:r>
      <w:r>
        <w:rPr>
          <w:rFonts w:hint="eastAsia" w:ascii="仿宋" w:hAnsi="仿宋" w:eastAsia="仿宋"/>
          <w:color w:val="auto"/>
          <w:sz w:val="32"/>
          <w:szCs w:val="32"/>
        </w:rPr>
        <w:t>支</w:t>
      </w:r>
      <w:r>
        <w:rPr>
          <w:rFonts w:hint="eastAsia" w:ascii="仿宋" w:hAnsi="仿宋" w:eastAsia="仿宋"/>
          <w:color w:val="auto"/>
          <w:sz w:val="32"/>
          <w:szCs w:val="32"/>
          <w:lang w:eastAsia="zh-CN"/>
        </w:rPr>
        <w:t>总计</w:t>
      </w:r>
      <w:r>
        <w:rPr>
          <w:rFonts w:hint="eastAsia" w:ascii="仿宋" w:hAnsi="仿宋" w:eastAsia="仿宋"/>
          <w:color w:val="auto"/>
          <w:sz w:val="32"/>
          <w:szCs w:val="32"/>
        </w:rPr>
        <w:t>2149.02万元。与</w:t>
      </w:r>
      <w:r>
        <w:rPr>
          <w:rFonts w:ascii="仿宋" w:hAnsi="仿宋" w:eastAsia="仿宋"/>
          <w:color w:val="auto"/>
          <w:sz w:val="32"/>
          <w:szCs w:val="32"/>
        </w:rPr>
        <w:t>20</w:t>
      </w:r>
      <w:r>
        <w:rPr>
          <w:rFonts w:hint="eastAsia" w:ascii="仿宋" w:hAnsi="仿宋" w:eastAsia="仿宋"/>
          <w:color w:val="auto"/>
          <w:sz w:val="32"/>
          <w:szCs w:val="32"/>
        </w:rPr>
        <w:t>20年相比，财政拨款收</w:t>
      </w:r>
      <w:r>
        <w:rPr>
          <w:rFonts w:hint="eastAsia" w:ascii="仿宋" w:hAnsi="仿宋" w:eastAsia="仿宋"/>
          <w:color w:val="auto"/>
          <w:sz w:val="32"/>
          <w:szCs w:val="32"/>
          <w:lang w:eastAsia="zh-CN"/>
        </w:rPr>
        <w:t>、</w:t>
      </w:r>
      <w:r>
        <w:rPr>
          <w:rFonts w:hint="eastAsia" w:ascii="仿宋" w:hAnsi="仿宋" w:eastAsia="仿宋"/>
          <w:color w:val="auto"/>
          <w:sz w:val="32"/>
          <w:szCs w:val="32"/>
        </w:rPr>
        <w:t>支</w:t>
      </w:r>
      <w:r>
        <w:rPr>
          <w:rFonts w:hint="eastAsia" w:ascii="仿宋" w:hAnsi="仿宋" w:eastAsia="仿宋"/>
          <w:color w:val="auto"/>
          <w:sz w:val="32"/>
          <w:szCs w:val="32"/>
          <w:lang w:eastAsia="zh-CN"/>
        </w:rPr>
        <w:t>总计</w:t>
      </w:r>
      <w:r>
        <w:rPr>
          <w:rFonts w:hint="eastAsia" w:ascii="仿宋" w:hAnsi="仿宋" w:eastAsia="仿宋"/>
          <w:color w:val="auto"/>
          <w:sz w:val="32"/>
          <w:szCs w:val="32"/>
        </w:rPr>
        <w:t>增加153.7万元，增长7.7</w:t>
      </w:r>
      <w:r>
        <w:rPr>
          <w:rFonts w:ascii="仿宋" w:hAnsi="仿宋" w:eastAsia="仿宋"/>
          <w:color w:val="auto"/>
          <w:sz w:val="32"/>
          <w:szCs w:val="32"/>
        </w:rPr>
        <w:t>%</w:t>
      </w:r>
      <w:r>
        <w:rPr>
          <w:rFonts w:hint="eastAsia" w:ascii="仿宋" w:hAnsi="仿宋" w:eastAsia="仿宋"/>
          <w:color w:val="auto"/>
          <w:sz w:val="32"/>
          <w:szCs w:val="32"/>
        </w:rPr>
        <w:t>。主要变动原因是人员增加，基本支出增加，部分项目资金增加。</w:t>
      </w:r>
    </w:p>
    <w:p>
      <w:pPr>
        <w:pStyle w:val="2"/>
        <w:spacing w:before="93" w:line="360" w:lineRule="auto"/>
        <w:rPr>
          <w:color w:val="auto"/>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4208780</wp:posOffset>
                </wp:positionH>
                <wp:positionV relativeFrom="paragraph">
                  <wp:posOffset>165100</wp:posOffset>
                </wp:positionV>
                <wp:extent cx="1105535" cy="581025"/>
                <wp:effectExtent l="0" t="0" r="18415" b="9525"/>
                <wp:wrapNone/>
                <wp:docPr id="5" name="椭圆 4"/>
                <wp:cNvGraphicFramePr/>
                <a:graphic xmlns:a="http://schemas.openxmlformats.org/drawingml/2006/main">
                  <a:graphicData uri="http://schemas.microsoft.com/office/word/2010/wordprocessingShape">
                    <wps:wsp>
                      <wps:cNvSpPr/>
                      <wps:spPr>
                        <a:xfrm>
                          <a:off x="0" y="0"/>
                          <a:ext cx="1105535" cy="581025"/>
                        </a:xfrm>
                        <a:prstGeom prst="ellipse">
                          <a:avLst/>
                        </a:prstGeom>
                        <a:solidFill>
                          <a:srgbClr val="FFFFFF"/>
                        </a:solidFill>
                        <a:ln>
                          <a:noFill/>
                        </a:ln>
                      </wps:spPr>
                      <wps:txbx>
                        <w:txbxContent>
                          <w:p>
                            <w:pPr>
                              <w:rPr>
                                <w:sz w:val="18"/>
                                <w:szCs w:val="18"/>
                              </w:rPr>
                            </w:pPr>
                            <w:r>
                              <w:rPr>
                                <w:rFonts w:hint="eastAsia"/>
                                <w:sz w:val="18"/>
                                <w:szCs w:val="18"/>
                              </w:rPr>
                              <w:t>单位：万元</w:t>
                            </w:r>
                          </w:p>
                        </w:txbxContent>
                      </wps:txbx>
                      <wps:bodyPr upright="1"/>
                    </wps:wsp>
                  </a:graphicData>
                </a:graphic>
              </wp:anchor>
            </w:drawing>
          </mc:Choice>
          <mc:Fallback>
            <w:pict>
              <v:shape id="椭圆 4" o:spid="_x0000_s1026" o:spt="3" type="#_x0000_t3" style="position:absolute;left:0pt;margin-left:331.4pt;margin-top:13pt;height:45.75pt;width:87.05pt;z-index:251660288;mso-width-relative:page;mso-height-relative:page;" fillcolor="#FFFFFF" filled="t" stroked="f" coordsize="21600,21600" o:gfxdata="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29fI31QAAAAkBAAAPAAAAAAAAAAEAIAAAACIAAABkcnMvZG93bnJldi54bWxQSwECFAAUAAAA&#10;CACHTuJAQbvYlrgBAABtAwAADgAAAAAAAAABACAAAAAkAQAAZHJzL2Uyb0RvYy54bWxQSwUGAAAA&#10;AAYABgBZAQAATgUAAAAA&#10;">
                <v:fill on="t" focussize="0,0"/>
                <v:stroke on="f"/>
                <v:imagedata o:title=""/>
                <o:lock v:ext="edit" aspectratio="f"/>
                <v:textbox>
                  <w:txbxContent>
                    <w:p>
                      <w:pPr>
                        <w:rPr>
                          <w:sz w:val="18"/>
                          <w:szCs w:val="18"/>
                        </w:rPr>
                      </w:pPr>
                      <w:r>
                        <w:rPr>
                          <w:rFonts w:hint="eastAsia"/>
                          <w:sz w:val="18"/>
                          <w:szCs w:val="18"/>
                        </w:rPr>
                        <w:t>单位：万元</w:t>
                      </w:r>
                    </w:p>
                  </w:txbxContent>
                </v:textbox>
              </v:shape>
            </w:pict>
          </mc:Fallback>
        </mc:AlternateContent>
      </w:r>
      <w:r>
        <w:rPr>
          <w:rFonts w:hint="eastAsia" w:ascii="仿宋" w:hAnsi="仿宋" w:eastAsia="仿宋"/>
          <w:sz w:val="32"/>
          <w:szCs w:val="32"/>
          <w:lang w:val="en-US" w:eastAsia="zh-CN"/>
        </w:rPr>
        <w:t xml:space="preserve">     </w:t>
      </w:r>
      <w:r>
        <w:rPr>
          <w:color w:val="auto"/>
        </w:rPr>
        <w:drawing>
          <wp:inline distT="0" distB="0" distL="114300" distR="114300">
            <wp:extent cx="4645660" cy="2646045"/>
            <wp:effectExtent l="4445" t="4445" r="17145" b="1651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360" w:lineRule="auto"/>
        <w:ind w:firstLine="1600" w:firstLineChars="500"/>
        <w:rPr>
          <w:rFonts w:ascii="仿宋" w:hAnsi="仿宋" w:eastAsia="仿宋"/>
          <w:color w:val="auto"/>
          <w:sz w:val="32"/>
          <w:szCs w:val="32"/>
        </w:rPr>
      </w:pPr>
      <w:r>
        <w:rPr>
          <w:rFonts w:hint="eastAsia" w:ascii="仿宋" w:hAnsi="仿宋" w:eastAsia="仿宋"/>
          <w:color w:val="auto"/>
          <w:sz w:val="32"/>
          <w:szCs w:val="32"/>
        </w:rPr>
        <w:t>图4：财政拨款收、支决算总计变动情况</w:t>
      </w:r>
    </w:p>
    <w:p>
      <w:pPr>
        <w:spacing w:line="360" w:lineRule="auto"/>
        <w:ind w:firstLine="640"/>
        <w:rPr>
          <w:rFonts w:ascii="仿宋" w:hAnsi="仿宋" w:eastAsia="仿宋"/>
          <w:b/>
          <w:color w:val="auto"/>
          <w:sz w:val="32"/>
          <w:szCs w:val="32"/>
        </w:rPr>
      </w:pPr>
    </w:p>
    <w:p>
      <w:pPr>
        <w:spacing w:line="360" w:lineRule="auto"/>
        <w:ind w:firstLine="640" w:firstLineChars="200"/>
        <w:outlineLvl w:val="1"/>
        <w:rPr>
          <w:rStyle w:val="26"/>
          <w:rFonts w:ascii="黑体" w:hAnsi="黑体" w:eastAsia="黑体"/>
          <w:b w:val="0"/>
          <w:color w:val="auto"/>
        </w:rPr>
      </w:pPr>
      <w:bookmarkStart w:id="37" w:name="_Toc15396607"/>
      <w:bookmarkStart w:id="38" w:name="_Toc15377209"/>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6"/>
          <w:rFonts w:hint="eastAsia" w:ascii="黑体" w:hAnsi="黑体" w:eastAsia="黑体"/>
          <w:b w:val="0"/>
          <w:color w:val="auto"/>
        </w:rPr>
        <w:t>般公共预算财政拨款支出决算情况说明</w:t>
      </w:r>
      <w:bookmarkEnd w:id="37"/>
      <w:bookmarkEnd w:id="38"/>
    </w:p>
    <w:p>
      <w:pPr>
        <w:spacing w:line="360" w:lineRule="auto"/>
        <w:ind w:firstLine="643" w:firstLineChars="200"/>
        <w:outlineLvl w:val="2"/>
        <w:rPr>
          <w:rFonts w:ascii="仿宋" w:hAnsi="仿宋" w:eastAsia="仿宋"/>
          <w:b/>
          <w:color w:val="auto"/>
          <w:sz w:val="32"/>
          <w:szCs w:val="32"/>
        </w:rPr>
      </w:pPr>
      <w:bookmarkStart w:id="39" w:name="_Toc15377210"/>
      <w:r>
        <w:rPr>
          <w:rFonts w:hint="eastAsia" w:ascii="仿宋" w:hAnsi="仿宋" w:eastAsia="仿宋"/>
          <w:b/>
          <w:color w:val="auto"/>
          <w:sz w:val="32"/>
          <w:szCs w:val="32"/>
        </w:rPr>
        <w:t>（一）一般公共预算财政拨款支出决算总体情况</w:t>
      </w:r>
      <w:bookmarkEnd w:id="39"/>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21年一般公共预算财政拨款支出2113.62万元，占本年支出合计的98.03</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w:t>
      </w:r>
      <w:r>
        <w:rPr>
          <w:rFonts w:hint="eastAsia" w:ascii="仿宋" w:hAnsi="仿宋" w:eastAsia="仿宋"/>
          <w:color w:val="auto"/>
          <w:sz w:val="32"/>
          <w:szCs w:val="32"/>
        </w:rPr>
        <w:t>20年相比，一般公共预算财政拨款支出增加150.22万元，增长7.65</w:t>
      </w:r>
      <w:r>
        <w:rPr>
          <w:rFonts w:ascii="仿宋" w:hAnsi="仿宋" w:eastAsia="仿宋"/>
          <w:color w:val="auto"/>
          <w:sz w:val="32"/>
          <w:szCs w:val="32"/>
        </w:rPr>
        <w:t>%</w:t>
      </w:r>
      <w:r>
        <w:rPr>
          <w:rFonts w:hint="eastAsia" w:ascii="仿宋" w:hAnsi="仿宋" w:eastAsia="仿宋"/>
          <w:color w:val="auto"/>
          <w:sz w:val="32"/>
          <w:szCs w:val="32"/>
        </w:rPr>
        <w:t>。主要变动原因是人员增加，基本支出增加63.94万元，部分项目资金增加86.27万元。</w:t>
      </w:r>
    </w:p>
    <w:p>
      <w:pPr>
        <w:spacing w:line="360" w:lineRule="auto"/>
        <w:ind w:firstLine="640" w:firstLineChars="200"/>
        <w:rPr>
          <w:rFonts w:ascii="仿宋" w:hAnsi="仿宋" w:eastAsia="仿宋"/>
          <w:color w:val="auto"/>
          <w:sz w:val="32"/>
          <w:szCs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3604260</wp:posOffset>
                </wp:positionH>
                <wp:positionV relativeFrom="paragraph">
                  <wp:posOffset>84455</wp:posOffset>
                </wp:positionV>
                <wp:extent cx="1238250" cy="715010"/>
                <wp:effectExtent l="0" t="0" r="0" b="8890"/>
                <wp:wrapNone/>
                <wp:docPr id="6" name="椭圆 5"/>
                <wp:cNvGraphicFramePr/>
                <a:graphic xmlns:a="http://schemas.openxmlformats.org/drawingml/2006/main">
                  <a:graphicData uri="http://schemas.microsoft.com/office/word/2010/wordprocessingShape">
                    <wps:wsp>
                      <wps:cNvSpPr/>
                      <wps:spPr>
                        <a:xfrm>
                          <a:off x="0" y="0"/>
                          <a:ext cx="1238250" cy="715010"/>
                        </a:xfrm>
                        <a:prstGeom prst="ellipse">
                          <a:avLst/>
                        </a:prstGeom>
                        <a:solidFill>
                          <a:srgbClr val="FFFFFF"/>
                        </a:solidFill>
                        <a:ln>
                          <a:noFill/>
                        </a:ln>
                      </wps:spPr>
                      <wps:txbx>
                        <w:txbxContent>
                          <w:p>
                            <w:pPr>
                              <w:rPr>
                                <w:sz w:val="18"/>
                                <w:szCs w:val="18"/>
                              </w:rPr>
                            </w:pPr>
                            <w:r>
                              <w:rPr>
                                <w:rFonts w:hint="eastAsia"/>
                                <w:sz w:val="18"/>
                                <w:szCs w:val="18"/>
                              </w:rPr>
                              <w:t>单位：万元</w:t>
                            </w:r>
                          </w:p>
                        </w:txbxContent>
                      </wps:txbx>
                      <wps:bodyPr upright="1"/>
                    </wps:wsp>
                  </a:graphicData>
                </a:graphic>
              </wp:anchor>
            </w:drawing>
          </mc:Choice>
          <mc:Fallback>
            <w:pict>
              <v:shape id="椭圆 5" o:spid="_x0000_s1026" o:spt="3" type="#_x0000_t3" style="position:absolute;left:0pt;margin-left:283.8pt;margin-top:6.65pt;height:56.3pt;width:97.5pt;z-index:251661312;mso-width-relative:page;mso-height-relative:page;" fillcolor="#FFFFFF" filled="t" stroked="f" coordsize="21600,21600" o:gfxdata="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w++nzWAAAACgEAAA8AAAAAAAAAAQAgAAAAIgAAAGRycy9kb3ducmV2LnhtbFBLAQIUABQAAAAI&#10;AIdO4kBvoVUhtgEAAG0DAAAOAAAAAAAAAAEAIAAAACUBAABkcnMvZTJvRG9jLnhtbFBLBQYAAAAA&#10;BgAGAFkBAABNBQAAAAA=&#10;">
                <v:fill on="t" focussize="0,0"/>
                <v:stroke on="f"/>
                <v:imagedata o:title=""/>
                <o:lock v:ext="edit" aspectratio="f"/>
                <v:textbox>
                  <w:txbxContent>
                    <w:p>
                      <w:pPr>
                        <w:rPr>
                          <w:sz w:val="18"/>
                          <w:szCs w:val="18"/>
                        </w:rPr>
                      </w:pPr>
                      <w:r>
                        <w:rPr>
                          <w:rFonts w:hint="eastAsia"/>
                          <w:sz w:val="18"/>
                          <w:szCs w:val="18"/>
                        </w:rPr>
                        <w:t>单位：万元</w:t>
                      </w:r>
                    </w:p>
                  </w:txbxContent>
                </v:textbox>
              </v:shape>
            </w:pict>
          </mc:Fallback>
        </mc:AlternateContent>
      </w:r>
      <w:r>
        <w:rPr>
          <w:rFonts w:hint="eastAsia" w:ascii="仿宋" w:hAnsi="仿宋" w:eastAsia="仿宋"/>
          <w:color w:val="auto"/>
          <w:sz w:val="32"/>
          <w:szCs w:val="32"/>
        </w:rPr>
        <w:object>
          <v:shape id="_x0000_i1026" o:spt="75" type="#_x0000_t75" style="height:205.5pt;width:343pt;" o:ole="t" filled="f" o:preferrelative="t" stroked="f" coordsize="21600,21600">
            <v:path/>
            <v:fill on="f" focussize="0,0"/>
            <v:stroke on="f"/>
            <v:imagedata r:id="rId15" o:title=""/>
            <o:lock v:ext="edit" aspectratio="f"/>
            <w10:wrap type="none"/>
            <w10:anchorlock/>
          </v:shape>
          <o:OLEObject Type="Embed" ProgID="Excel.Sheet.8" ShapeID="_x0000_i1026" DrawAspect="Content" ObjectID="_1468075726" r:id="rId14">
            <o:LockedField>false</o:LockedField>
          </o:OLEObject>
        </w:object>
      </w:r>
    </w:p>
    <w:p>
      <w:pPr>
        <w:spacing w:line="360" w:lineRule="auto"/>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图5：一般公共预算财政拨款支出决算变动情况</w:t>
      </w:r>
    </w:p>
    <w:p>
      <w:pPr>
        <w:pStyle w:val="2"/>
      </w:pPr>
    </w:p>
    <w:p>
      <w:pPr>
        <w:spacing w:line="360" w:lineRule="auto"/>
        <w:ind w:firstLine="643" w:firstLineChars="200"/>
        <w:outlineLvl w:val="2"/>
        <w:rPr>
          <w:rFonts w:ascii="仿宋" w:hAnsi="仿宋" w:eastAsia="仿宋"/>
          <w:b/>
          <w:color w:val="auto"/>
          <w:sz w:val="32"/>
          <w:szCs w:val="32"/>
        </w:rPr>
      </w:pPr>
      <w:bookmarkStart w:id="40" w:name="_Toc15377211"/>
      <w:r>
        <w:rPr>
          <w:rFonts w:hint="eastAsia" w:ascii="仿宋" w:hAnsi="仿宋" w:eastAsia="仿宋"/>
          <w:b/>
          <w:color w:val="auto"/>
          <w:sz w:val="32"/>
          <w:szCs w:val="32"/>
        </w:rPr>
        <w:t>（二）一般公共预算财政拨款支出决算结构情况</w:t>
      </w:r>
      <w:bookmarkEnd w:id="40"/>
    </w:p>
    <w:p>
      <w:pPr>
        <w:spacing w:line="360" w:lineRule="auto"/>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21年一般公共预算财政拨款支出2113.62万元，主要用于以下方面</w:t>
      </w:r>
      <w:r>
        <w:rPr>
          <w:rFonts w:hint="eastAsia" w:ascii="仿宋" w:hAnsi="仿宋" w:eastAsia="仿宋"/>
          <w:color w:val="auto"/>
          <w:sz w:val="32"/>
          <w:szCs w:val="32"/>
          <w:lang w:eastAsia="zh-CN"/>
        </w:rPr>
        <w:t>：</w:t>
      </w:r>
      <w:r>
        <w:rPr>
          <w:rFonts w:hint="eastAsia" w:ascii="仿宋" w:hAnsi="仿宋" w:eastAsia="仿宋"/>
          <w:b/>
          <w:color w:val="auto"/>
          <w:sz w:val="32"/>
          <w:szCs w:val="32"/>
        </w:rPr>
        <w:t>社会保障和就业支出（类）</w:t>
      </w:r>
      <w:r>
        <w:rPr>
          <w:rFonts w:hint="eastAsia" w:ascii="仿宋" w:hAnsi="仿宋" w:eastAsia="仿宋"/>
          <w:color w:val="auto"/>
          <w:sz w:val="32"/>
          <w:szCs w:val="32"/>
        </w:rPr>
        <w:t>支出315.5万元，占14.93</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b/>
          <w:color w:val="auto"/>
          <w:sz w:val="32"/>
          <w:szCs w:val="32"/>
        </w:rPr>
        <w:t>（类）</w:t>
      </w:r>
      <w:r>
        <w:rPr>
          <w:rFonts w:hint="eastAsia" w:ascii="仿宋" w:hAnsi="仿宋" w:eastAsia="仿宋"/>
          <w:color w:val="auto"/>
          <w:sz w:val="32"/>
          <w:szCs w:val="32"/>
        </w:rPr>
        <w:t>1439.88万元，占68.12</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农林水支出</w:t>
      </w:r>
      <w:r>
        <w:rPr>
          <w:rFonts w:hint="eastAsia" w:ascii="仿宋" w:hAnsi="仿宋" w:eastAsia="仿宋"/>
          <w:b/>
          <w:color w:val="auto"/>
          <w:sz w:val="32"/>
          <w:szCs w:val="32"/>
        </w:rPr>
        <w:t>（类）</w:t>
      </w:r>
      <w:r>
        <w:rPr>
          <w:rFonts w:hint="eastAsia" w:ascii="仿宋" w:hAnsi="仿宋" w:eastAsia="仿宋"/>
          <w:color w:val="auto"/>
          <w:sz w:val="32"/>
          <w:szCs w:val="32"/>
        </w:rPr>
        <w:t>328.06万元，占15.52</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住房保障支出</w:t>
      </w:r>
      <w:r>
        <w:rPr>
          <w:rFonts w:hint="eastAsia" w:ascii="仿宋" w:hAnsi="仿宋" w:eastAsia="仿宋"/>
          <w:b/>
          <w:color w:val="auto"/>
          <w:sz w:val="32"/>
          <w:szCs w:val="32"/>
        </w:rPr>
        <w:t>（类）</w:t>
      </w:r>
      <w:r>
        <w:rPr>
          <w:rFonts w:hint="eastAsia" w:ascii="仿宋" w:hAnsi="仿宋" w:eastAsia="仿宋"/>
          <w:color w:val="auto"/>
          <w:sz w:val="32"/>
          <w:szCs w:val="32"/>
        </w:rPr>
        <w:t>24.9万元，占1.18</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其他支出</w:t>
      </w:r>
      <w:r>
        <w:rPr>
          <w:rFonts w:hint="eastAsia" w:ascii="仿宋" w:hAnsi="仿宋" w:eastAsia="仿宋"/>
          <w:b/>
          <w:bCs/>
          <w:color w:val="auto"/>
          <w:sz w:val="32"/>
          <w:szCs w:val="32"/>
          <w:lang w:eastAsia="zh-CN"/>
        </w:rPr>
        <w:t>（类）</w:t>
      </w:r>
      <w:r>
        <w:rPr>
          <w:rFonts w:hint="eastAsia" w:ascii="仿宋" w:hAnsi="仿宋" w:eastAsia="仿宋"/>
          <w:color w:val="auto"/>
          <w:sz w:val="32"/>
          <w:szCs w:val="32"/>
        </w:rPr>
        <w:t>5.3万元，占0.25%。</w:t>
      </w:r>
    </w:p>
    <w:p>
      <w:pPr>
        <w:spacing w:line="360" w:lineRule="auto"/>
        <w:ind w:firstLine="640"/>
        <w:rPr>
          <w:rFonts w:ascii="仿宋" w:hAnsi="仿宋" w:eastAsia="仿宋"/>
          <w:color w:val="auto"/>
          <w:sz w:val="32"/>
          <w:szCs w:val="32"/>
        </w:rPr>
      </w:pPr>
      <w:r>
        <w:rPr>
          <w:rFonts w:hint="eastAsia" w:ascii="仿宋" w:hAnsi="仿宋" w:eastAsia="仿宋"/>
          <w:b/>
          <w:color w:val="auto"/>
          <w:sz w:val="32"/>
          <w:szCs w:val="32"/>
        </w:rPr>
        <w:drawing>
          <wp:inline distT="0" distB="0" distL="114300" distR="114300">
            <wp:extent cx="4889500" cy="3802380"/>
            <wp:effectExtent l="4445" t="4445" r="20955" b="222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60" w:lineRule="auto"/>
        <w:ind w:firstLine="1600" w:firstLineChars="500"/>
        <w:rPr>
          <w:rFonts w:ascii="仿宋" w:hAnsi="仿宋" w:eastAsia="仿宋"/>
          <w:color w:val="auto"/>
          <w:sz w:val="32"/>
          <w:szCs w:val="32"/>
        </w:rPr>
      </w:pPr>
      <w:r>
        <w:rPr>
          <w:rFonts w:hint="eastAsia" w:ascii="仿宋" w:hAnsi="仿宋" w:eastAsia="仿宋"/>
          <w:color w:val="auto"/>
          <w:sz w:val="32"/>
          <w:szCs w:val="32"/>
        </w:rPr>
        <w:t>图6：一般公共预算财政拨款支出决算结构</w:t>
      </w:r>
    </w:p>
    <w:p>
      <w:pPr>
        <w:spacing w:line="360" w:lineRule="auto"/>
        <w:ind w:firstLine="640" w:firstLineChars="200"/>
        <w:rPr>
          <w:rFonts w:ascii="仿宋" w:hAnsi="仿宋" w:eastAsia="仿宋"/>
          <w:color w:val="auto"/>
          <w:sz w:val="32"/>
          <w:szCs w:val="32"/>
        </w:rPr>
      </w:pPr>
    </w:p>
    <w:p>
      <w:pPr>
        <w:spacing w:line="360" w:lineRule="auto"/>
        <w:ind w:firstLine="643" w:firstLineChars="200"/>
        <w:outlineLvl w:val="2"/>
        <w:rPr>
          <w:rFonts w:ascii="仿宋" w:hAnsi="仿宋" w:eastAsia="仿宋"/>
          <w:b/>
          <w:color w:val="auto"/>
          <w:sz w:val="32"/>
          <w:szCs w:val="32"/>
        </w:rPr>
      </w:pPr>
      <w:bookmarkStart w:id="41" w:name="_Toc15377212"/>
      <w:r>
        <w:rPr>
          <w:rFonts w:hint="eastAsia" w:ascii="仿宋" w:hAnsi="仿宋" w:eastAsia="仿宋"/>
          <w:b/>
          <w:color w:val="auto"/>
          <w:sz w:val="32"/>
          <w:szCs w:val="32"/>
        </w:rPr>
        <w:t>（三）一般公共预算财政拨款支出决算具体情况</w:t>
      </w:r>
      <w:bookmarkEnd w:id="41"/>
    </w:p>
    <w:p>
      <w:pPr>
        <w:spacing w:line="360" w:lineRule="auto"/>
        <w:ind w:firstLine="643" w:firstLineChars="200"/>
        <w:outlineLvl w:val="2"/>
        <w:rPr>
          <w:rFonts w:ascii="仿宋" w:hAnsi="仿宋" w:eastAsia="仿宋"/>
          <w:color w:val="auto"/>
          <w:sz w:val="32"/>
          <w:szCs w:val="32"/>
        </w:rPr>
      </w:pPr>
      <w:bookmarkStart w:id="42" w:name="_Toc15378460"/>
      <w:bookmarkStart w:id="43" w:name="_Toc15377444"/>
      <w:bookmarkStart w:id="44" w:name="_Toc15377213"/>
      <w:r>
        <w:rPr>
          <w:rFonts w:hint="eastAsia" w:ascii="仿宋" w:hAnsi="仿宋" w:eastAsia="仿宋"/>
          <w:b/>
          <w:color w:val="auto"/>
          <w:sz w:val="32"/>
          <w:szCs w:val="32"/>
        </w:rPr>
        <w:t>2021年一般公共预算支出决算数为2113.62万元</w:t>
      </w:r>
      <w:r>
        <w:rPr>
          <w:rFonts w:hint="eastAsia" w:ascii="仿宋" w:hAnsi="仿宋" w:eastAsia="仿宋"/>
          <w:color w:val="auto"/>
          <w:sz w:val="32"/>
          <w:szCs w:val="32"/>
        </w:rPr>
        <w:t>，</w:t>
      </w:r>
      <w:r>
        <w:rPr>
          <w:rStyle w:val="15"/>
          <w:rFonts w:hint="eastAsia" w:ascii="仿宋" w:hAnsi="仿宋" w:eastAsia="仿宋"/>
          <w:bCs/>
          <w:color w:val="auto"/>
          <w:sz w:val="32"/>
          <w:szCs w:val="32"/>
        </w:rPr>
        <w:t>完成预算100</w:t>
      </w:r>
      <w:r>
        <w:rPr>
          <w:rStyle w:val="15"/>
          <w:rFonts w:ascii="仿宋" w:hAnsi="仿宋" w:eastAsia="仿宋"/>
          <w:bCs/>
          <w:color w:val="auto"/>
          <w:sz w:val="32"/>
          <w:szCs w:val="32"/>
        </w:rPr>
        <w:t>%</w:t>
      </w:r>
      <w:r>
        <w:rPr>
          <w:rStyle w:val="15"/>
          <w:rFonts w:hint="eastAsia" w:ascii="仿宋" w:hAnsi="仿宋" w:eastAsia="仿宋"/>
          <w:bCs/>
          <w:color w:val="auto"/>
          <w:sz w:val="32"/>
          <w:szCs w:val="32"/>
        </w:rPr>
        <w:t>。其中：</w:t>
      </w:r>
      <w:bookmarkEnd w:id="42"/>
      <w:bookmarkEnd w:id="43"/>
      <w:bookmarkEnd w:id="44"/>
    </w:p>
    <w:p>
      <w:pPr>
        <w:spacing w:line="360" w:lineRule="auto"/>
        <w:ind w:firstLine="643" w:firstLineChars="200"/>
        <w:rPr>
          <w:rFonts w:ascii="仿宋" w:hAnsi="仿宋" w:eastAsia="仿宋"/>
          <w:b/>
          <w:color w:val="auto"/>
          <w:sz w:val="32"/>
          <w:szCs w:val="32"/>
        </w:rPr>
      </w:pPr>
      <w:r>
        <w:rPr>
          <w:rStyle w:val="15"/>
          <w:rFonts w:ascii="仿宋" w:hAnsi="仿宋" w:eastAsia="仿宋"/>
          <w:bCs/>
          <w:color w:val="auto"/>
          <w:sz w:val="32"/>
          <w:szCs w:val="32"/>
        </w:rPr>
        <w:t>1.</w:t>
      </w:r>
      <w:r>
        <w:rPr>
          <w:rStyle w:val="15"/>
          <w:rFonts w:hint="eastAsia" w:ascii="仿宋" w:hAnsi="仿宋" w:eastAsia="仿宋"/>
          <w:bCs/>
          <w:color w:val="auto"/>
          <w:sz w:val="32"/>
          <w:szCs w:val="32"/>
        </w:rPr>
        <w:t>社会保障和就业（类）人力资源和社会保障管理事务（款）一般行政管理事务（项）</w:t>
      </w:r>
      <w:r>
        <w:rPr>
          <w:rStyle w:val="15"/>
          <w:rFonts w:hint="eastAsia" w:ascii="仿宋" w:hAnsi="仿宋" w:eastAsia="仿宋"/>
          <w:bCs/>
          <w:color w:val="auto"/>
          <w:sz w:val="32"/>
          <w:szCs w:val="32"/>
          <w:lang w:eastAsia="zh-CN"/>
        </w:rPr>
        <w:t>：</w:t>
      </w:r>
      <w:r>
        <w:rPr>
          <w:rStyle w:val="15"/>
          <w:rFonts w:hint="eastAsia" w:ascii="仿宋" w:hAnsi="仿宋" w:eastAsia="仿宋"/>
          <w:b w:val="0"/>
          <w:bCs/>
          <w:color w:val="auto"/>
          <w:sz w:val="32"/>
          <w:szCs w:val="32"/>
        </w:rPr>
        <w:t>支出决算为0.1万元，完成预算100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spacing w:line="360" w:lineRule="auto"/>
        <w:ind w:firstLine="643" w:firstLineChars="200"/>
        <w:rPr>
          <w:rFonts w:ascii="仿宋" w:hAnsi="仿宋" w:eastAsia="仿宋"/>
          <w:b/>
          <w:color w:val="auto"/>
          <w:sz w:val="32"/>
          <w:szCs w:val="32"/>
        </w:rPr>
      </w:pPr>
      <w:r>
        <w:rPr>
          <w:rStyle w:val="15"/>
          <w:rFonts w:ascii="仿宋" w:hAnsi="仿宋" w:eastAsia="仿宋"/>
          <w:bCs/>
          <w:color w:val="auto"/>
          <w:sz w:val="32"/>
          <w:szCs w:val="32"/>
        </w:rPr>
        <w:t>2.</w:t>
      </w:r>
      <w:r>
        <w:rPr>
          <w:rStyle w:val="15"/>
          <w:rFonts w:hint="eastAsia" w:ascii="仿宋" w:hAnsi="仿宋" w:eastAsia="仿宋"/>
          <w:bCs/>
          <w:color w:val="auto"/>
          <w:sz w:val="32"/>
          <w:szCs w:val="32"/>
        </w:rPr>
        <w:t>社会保障和就业（类）人力资源和社会保障管理事务（款）其他人力资源和社会保障管理事务支出（项）</w:t>
      </w:r>
      <w:r>
        <w:rPr>
          <w:rStyle w:val="15"/>
          <w:rFonts w:hint="eastAsia" w:ascii="仿宋" w:hAnsi="仿宋" w:eastAsia="仿宋"/>
          <w:bCs/>
          <w:color w:val="auto"/>
          <w:sz w:val="32"/>
          <w:szCs w:val="32"/>
          <w:lang w:eastAsia="zh-CN"/>
        </w:rPr>
        <w:t>：</w:t>
      </w:r>
      <w:r>
        <w:rPr>
          <w:rStyle w:val="15"/>
          <w:rFonts w:hint="eastAsia" w:ascii="仿宋" w:hAnsi="仿宋" w:eastAsia="仿宋"/>
          <w:b w:val="0"/>
          <w:bCs/>
          <w:color w:val="auto"/>
          <w:sz w:val="32"/>
          <w:szCs w:val="32"/>
        </w:rPr>
        <w:t>支出决算为17.76万元，完成预算100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spacing w:line="360" w:lineRule="auto"/>
        <w:ind w:firstLine="643" w:firstLineChars="200"/>
        <w:rPr>
          <w:rFonts w:ascii="仿宋" w:hAnsi="仿宋" w:eastAsia="仿宋"/>
          <w:b/>
          <w:color w:val="auto"/>
          <w:sz w:val="32"/>
          <w:szCs w:val="32"/>
        </w:rPr>
      </w:pPr>
      <w:r>
        <w:rPr>
          <w:rStyle w:val="15"/>
          <w:rFonts w:ascii="仿宋" w:hAnsi="仿宋" w:eastAsia="仿宋"/>
          <w:bCs/>
          <w:color w:val="auto"/>
          <w:sz w:val="32"/>
          <w:szCs w:val="32"/>
        </w:rPr>
        <w:t>3.</w:t>
      </w:r>
      <w:r>
        <w:rPr>
          <w:rStyle w:val="15"/>
          <w:rFonts w:hint="eastAsia" w:ascii="仿宋" w:hAnsi="仿宋" w:eastAsia="仿宋"/>
          <w:bCs/>
          <w:color w:val="auto"/>
          <w:sz w:val="32"/>
          <w:szCs w:val="32"/>
        </w:rPr>
        <w:t>社会保障和就业（类）行政事业单位养老支出（款）机关事业单位基本养老保险缴费支出（项）</w:t>
      </w:r>
      <w:r>
        <w:rPr>
          <w:rStyle w:val="15"/>
          <w:rFonts w:hint="eastAsia" w:ascii="仿宋" w:hAnsi="仿宋" w:eastAsia="仿宋"/>
          <w:bCs/>
          <w:color w:val="auto"/>
          <w:sz w:val="32"/>
          <w:szCs w:val="32"/>
          <w:lang w:eastAsia="zh-CN"/>
        </w:rPr>
        <w:t>：</w:t>
      </w:r>
      <w:r>
        <w:rPr>
          <w:rStyle w:val="15"/>
          <w:rFonts w:hint="eastAsia" w:ascii="仿宋" w:hAnsi="仿宋" w:eastAsia="仿宋"/>
          <w:b w:val="0"/>
          <w:bCs/>
          <w:color w:val="auto"/>
          <w:sz w:val="32"/>
          <w:szCs w:val="32"/>
        </w:rPr>
        <w:t>支出决算为23.1万元，完成预算100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spacing w:line="360" w:lineRule="auto"/>
        <w:ind w:firstLine="643" w:firstLineChars="200"/>
        <w:rPr>
          <w:rStyle w:val="15"/>
          <w:rFonts w:ascii="仿宋" w:hAnsi="仿宋" w:eastAsia="仿宋"/>
          <w:b w:val="0"/>
          <w:bCs/>
          <w:color w:val="auto"/>
          <w:sz w:val="32"/>
          <w:szCs w:val="32"/>
        </w:rPr>
      </w:pPr>
      <w:r>
        <w:rPr>
          <w:rStyle w:val="15"/>
          <w:rFonts w:ascii="仿宋" w:hAnsi="仿宋" w:eastAsia="仿宋"/>
          <w:bCs/>
          <w:color w:val="auto"/>
          <w:sz w:val="32"/>
          <w:szCs w:val="32"/>
        </w:rPr>
        <w:t>4.</w:t>
      </w:r>
      <w:r>
        <w:rPr>
          <w:rStyle w:val="15"/>
          <w:rFonts w:hint="eastAsia" w:ascii="仿宋" w:hAnsi="仿宋" w:eastAsia="仿宋"/>
          <w:bCs/>
          <w:color w:val="auto"/>
          <w:sz w:val="32"/>
          <w:szCs w:val="32"/>
        </w:rPr>
        <w:t>社会保障和就业（类）财政代缴社会保险费支出（款）财政代缴其他社会保险费支出（项）</w:t>
      </w:r>
      <w:r>
        <w:rPr>
          <w:rStyle w:val="15"/>
          <w:rFonts w:hint="eastAsia" w:ascii="仿宋" w:hAnsi="仿宋" w:eastAsia="仿宋"/>
          <w:bCs/>
          <w:color w:val="auto"/>
          <w:sz w:val="32"/>
          <w:szCs w:val="32"/>
          <w:lang w:eastAsia="zh-CN"/>
        </w:rPr>
        <w:t>：</w:t>
      </w:r>
      <w:r>
        <w:rPr>
          <w:rStyle w:val="15"/>
          <w:rFonts w:hint="eastAsia" w:ascii="仿宋" w:hAnsi="仿宋" w:eastAsia="仿宋"/>
          <w:b w:val="0"/>
          <w:bCs/>
          <w:color w:val="auto"/>
          <w:sz w:val="32"/>
          <w:szCs w:val="32"/>
        </w:rPr>
        <w:t>支出决算为274.54万元，完成预算100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spacing w:line="360" w:lineRule="auto"/>
        <w:ind w:firstLine="643" w:firstLineChars="200"/>
        <w:rPr>
          <w:rFonts w:eastAsia="仿宋"/>
          <w:color w:val="auto"/>
        </w:rPr>
      </w:pPr>
      <w:r>
        <w:rPr>
          <w:rStyle w:val="15"/>
          <w:rFonts w:hint="eastAsia" w:ascii="仿宋" w:hAnsi="仿宋" w:eastAsia="仿宋"/>
          <w:color w:val="auto"/>
          <w:sz w:val="32"/>
          <w:szCs w:val="32"/>
        </w:rPr>
        <w:t>5.</w:t>
      </w:r>
      <w:r>
        <w:rPr>
          <w:rStyle w:val="15"/>
          <w:rFonts w:hint="eastAsia" w:ascii="仿宋" w:hAnsi="仿宋" w:eastAsia="仿宋"/>
          <w:bCs/>
          <w:color w:val="auto"/>
          <w:sz w:val="32"/>
          <w:szCs w:val="32"/>
        </w:rPr>
        <w:t>卫生健康支出（类）卫生健康管理事务（款）一般行政管理事务（项）</w:t>
      </w:r>
      <w:r>
        <w:rPr>
          <w:rStyle w:val="15"/>
          <w:rFonts w:hint="eastAsia" w:ascii="仿宋" w:hAnsi="仿宋" w:eastAsia="仿宋"/>
          <w:bCs/>
          <w:color w:val="auto"/>
          <w:sz w:val="32"/>
          <w:szCs w:val="32"/>
          <w:lang w:eastAsia="zh-CN"/>
        </w:rPr>
        <w:t>：</w:t>
      </w:r>
      <w:r>
        <w:rPr>
          <w:rStyle w:val="15"/>
          <w:rFonts w:hint="eastAsia" w:ascii="仿宋" w:hAnsi="仿宋" w:eastAsia="仿宋"/>
          <w:b w:val="0"/>
          <w:bCs/>
          <w:color w:val="auto"/>
          <w:sz w:val="32"/>
          <w:szCs w:val="32"/>
        </w:rPr>
        <w:t>支出决算为0.1万元，完成预算100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spacing w:line="360" w:lineRule="auto"/>
        <w:ind w:firstLine="643" w:firstLineChars="200"/>
        <w:rPr>
          <w:rFonts w:ascii="仿宋" w:hAnsi="仿宋" w:eastAsia="仿宋"/>
          <w:b/>
          <w:color w:val="auto"/>
          <w:sz w:val="32"/>
          <w:szCs w:val="32"/>
        </w:rPr>
      </w:pPr>
      <w:r>
        <w:rPr>
          <w:rStyle w:val="15"/>
          <w:rFonts w:hint="eastAsia" w:ascii="仿宋" w:hAnsi="仿宋" w:eastAsia="仿宋"/>
          <w:bCs/>
          <w:color w:val="auto"/>
          <w:sz w:val="32"/>
          <w:szCs w:val="32"/>
        </w:rPr>
        <w:t>6</w:t>
      </w:r>
      <w:r>
        <w:rPr>
          <w:rStyle w:val="15"/>
          <w:rFonts w:ascii="仿宋" w:hAnsi="仿宋" w:eastAsia="仿宋"/>
          <w:bCs/>
          <w:color w:val="auto"/>
          <w:sz w:val="32"/>
          <w:szCs w:val="32"/>
        </w:rPr>
        <w:t>.</w:t>
      </w:r>
      <w:r>
        <w:rPr>
          <w:rStyle w:val="15"/>
          <w:rFonts w:hint="eastAsia" w:ascii="仿宋" w:hAnsi="仿宋" w:eastAsia="仿宋"/>
          <w:bCs/>
          <w:color w:val="auto"/>
          <w:sz w:val="32"/>
          <w:szCs w:val="32"/>
        </w:rPr>
        <w:t>卫生健康支出（类）卫生健康管理事务（款）其他卫生健康管理事务支出（项）</w:t>
      </w:r>
      <w:r>
        <w:rPr>
          <w:rStyle w:val="15"/>
          <w:rFonts w:hint="eastAsia" w:ascii="仿宋" w:hAnsi="仿宋" w:eastAsia="仿宋"/>
          <w:bCs/>
          <w:color w:val="auto"/>
          <w:sz w:val="32"/>
          <w:szCs w:val="32"/>
          <w:lang w:eastAsia="zh-CN"/>
        </w:rPr>
        <w:t>：</w:t>
      </w:r>
      <w:r>
        <w:rPr>
          <w:rStyle w:val="15"/>
          <w:rFonts w:hint="eastAsia" w:ascii="仿宋" w:hAnsi="仿宋" w:eastAsia="仿宋"/>
          <w:b w:val="0"/>
          <w:bCs/>
          <w:color w:val="auto"/>
          <w:sz w:val="32"/>
          <w:szCs w:val="32"/>
        </w:rPr>
        <w:t>支出决算为1.15万元，完成预算100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spacing w:line="360" w:lineRule="auto"/>
        <w:ind w:firstLine="643" w:firstLineChars="200"/>
        <w:rPr>
          <w:rFonts w:ascii="仿宋" w:hAnsi="仿宋" w:eastAsia="仿宋"/>
          <w:b/>
          <w:color w:val="auto"/>
          <w:sz w:val="32"/>
          <w:szCs w:val="32"/>
        </w:rPr>
      </w:pPr>
      <w:r>
        <w:rPr>
          <w:rStyle w:val="15"/>
          <w:rFonts w:hint="eastAsia" w:ascii="仿宋" w:hAnsi="仿宋" w:eastAsia="仿宋"/>
          <w:bCs/>
          <w:color w:val="auto"/>
          <w:sz w:val="32"/>
          <w:szCs w:val="32"/>
        </w:rPr>
        <w:t>7</w:t>
      </w:r>
      <w:r>
        <w:rPr>
          <w:rStyle w:val="15"/>
          <w:rFonts w:ascii="仿宋" w:hAnsi="仿宋" w:eastAsia="仿宋"/>
          <w:bCs/>
          <w:color w:val="auto"/>
          <w:sz w:val="32"/>
          <w:szCs w:val="32"/>
        </w:rPr>
        <w:t>.</w:t>
      </w:r>
      <w:r>
        <w:rPr>
          <w:rStyle w:val="15"/>
          <w:rFonts w:hint="eastAsia" w:ascii="仿宋" w:hAnsi="仿宋" w:eastAsia="仿宋"/>
          <w:bCs/>
          <w:color w:val="auto"/>
          <w:sz w:val="32"/>
          <w:szCs w:val="32"/>
        </w:rPr>
        <w:t>卫生健康支出（类）行政事业单位医疗（款）行政单位医疗（项）</w:t>
      </w:r>
      <w:r>
        <w:rPr>
          <w:rStyle w:val="15"/>
          <w:rFonts w:hint="eastAsia" w:ascii="仿宋" w:hAnsi="仿宋" w:eastAsia="仿宋"/>
          <w:bCs/>
          <w:color w:val="auto"/>
          <w:sz w:val="32"/>
          <w:szCs w:val="32"/>
          <w:lang w:eastAsia="zh-CN"/>
        </w:rPr>
        <w:t>：</w:t>
      </w:r>
      <w:r>
        <w:rPr>
          <w:rStyle w:val="15"/>
          <w:rFonts w:hint="eastAsia" w:ascii="仿宋" w:hAnsi="仿宋" w:eastAsia="仿宋"/>
          <w:b w:val="0"/>
          <w:bCs/>
          <w:color w:val="auto"/>
          <w:sz w:val="32"/>
          <w:szCs w:val="32"/>
        </w:rPr>
        <w:t>支出决算为14.89万元，完成预算100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spacing w:line="360" w:lineRule="auto"/>
        <w:ind w:firstLine="643" w:firstLineChars="200"/>
        <w:rPr>
          <w:rStyle w:val="15"/>
          <w:rFonts w:ascii="仿宋" w:hAnsi="仿宋" w:eastAsia="仿宋"/>
          <w:b w:val="0"/>
          <w:bCs/>
          <w:color w:val="auto"/>
          <w:sz w:val="32"/>
          <w:szCs w:val="32"/>
        </w:rPr>
      </w:pPr>
      <w:r>
        <w:rPr>
          <w:rFonts w:hint="eastAsia" w:ascii="仿宋" w:hAnsi="仿宋" w:eastAsia="仿宋"/>
          <w:b/>
          <w:color w:val="auto"/>
          <w:sz w:val="32"/>
          <w:szCs w:val="32"/>
        </w:rPr>
        <w:t>8.</w:t>
      </w:r>
      <w:r>
        <w:rPr>
          <w:rStyle w:val="15"/>
          <w:rFonts w:hint="eastAsia" w:ascii="仿宋" w:hAnsi="仿宋" w:eastAsia="仿宋"/>
          <w:bCs/>
          <w:color w:val="auto"/>
          <w:sz w:val="32"/>
          <w:szCs w:val="32"/>
        </w:rPr>
        <w:t>卫生健康支出（类）行政事业单位医疗（款）公务员医疗补助（项）</w:t>
      </w:r>
      <w:r>
        <w:rPr>
          <w:rStyle w:val="15"/>
          <w:rFonts w:hint="eastAsia" w:ascii="仿宋" w:hAnsi="仿宋" w:eastAsia="仿宋"/>
          <w:bCs/>
          <w:color w:val="auto"/>
          <w:sz w:val="32"/>
          <w:szCs w:val="32"/>
          <w:lang w:eastAsia="zh-CN"/>
        </w:rPr>
        <w:t>：</w:t>
      </w:r>
      <w:r>
        <w:rPr>
          <w:rStyle w:val="15"/>
          <w:rFonts w:hint="eastAsia" w:ascii="仿宋" w:hAnsi="仿宋" w:eastAsia="仿宋"/>
          <w:b w:val="0"/>
          <w:bCs/>
          <w:color w:val="auto"/>
          <w:sz w:val="32"/>
          <w:szCs w:val="32"/>
        </w:rPr>
        <w:t>支出决算为1.53万元，完成预算100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spacing w:line="360" w:lineRule="auto"/>
        <w:ind w:firstLine="643" w:firstLineChars="200"/>
        <w:rPr>
          <w:rStyle w:val="15"/>
          <w:rFonts w:ascii="仿宋" w:hAnsi="仿宋" w:eastAsia="仿宋"/>
          <w:b w:val="0"/>
          <w:bCs/>
          <w:color w:val="auto"/>
          <w:sz w:val="32"/>
          <w:szCs w:val="32"/>
        </w:rPr>
      </w:pPr>
      <w:r>
        <w:rPr>
          <w:rStyle w:val="15"/>
          <w:rFonts w:hint="eastAsia" w:ascii="仿宋" w:hAnsi="仿宋" w:eastAsia="仿宋"/>
          <w:color w:val="auto"/>
          <w:sz w:val="32"/>
          <w:szCs w:val="32"/>
        </w:rPr>
        <w:t>9.</w:t>
      </w:r>
      <w:r>
        <w:rPr>
          <w:rStyle w:val="15"/>
          <w:rFonts w:hint="eastAsia" w:ascii="仿宋" w:hAnsi="仿宋" w:eastAsia="仿宋"/>
          <w:bCs/>
          <w:color w:val="auto"/>
          <w:sz w:val="32"/>
          <w:szCs w:val="32"/>
        </w:rPr>
        <w:t>卫生健康支出（类）医疗救助（款）城乡医疗救助（项）</w:t>
      </w:r>
      <w:r>
        <w:rPr>
          <w:rStyle w:val="15"/>
          <w:rFonts w:hint="eastAsia" w:ascii="仿宋" w:hAnsi="仿宋" w:eastAsia="仿宋"/>
          <w:bCs/>
          <w:color w:val="auto"/>
          <w:sz w:val="32"/>
          <w:szCs w:val="32"/>
          <w:lang w:eastAsia="zh-CN"/>
        </w:rPr>
        <w:t>：</w:t>
      </w:r>
      <w:r>
        <w:rPr>
          <w:rStyle w:val="15"/>
          <w:rFonts w:hint="eastAsia" w:ascii="仿宋" w:hAnsi="仿宋" w:eastAsia="仿宋"/>
          <w:b w:val="0"/>
          <w:bCs/>
          <w:color w:val="auto"/>
          <w:sz w:val="32"/>
          <w:szCs w:val="32"/>
        </w:rPr>
        <w:t>支出决算为926.57万元，完成预算100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spacing w:line="360" w:lineRule="auto"/>
        <w:ind w:firstLine="643" w:firstLineChars="200"/>
        <w:rPr>
          <w:rStyle w:val="15"/>
          <w:rFonts w:ascii="仿宋" w:hAnsi="仿宋" w:eastAsia="仿宋"/>
          <w:b w:val="0"/>
          <w:bCs/>
          <w:color w:val="auto"/>
          <w:sz w:val="32"/>
          <w:szCs w:val="32"/>
        </w:rPr>
      </w:pPr>
      <w:r>
        <w:rPr>
          <w:rStyle w:val="15"/>
          <w:rFonts w:hint="eastAsia" w:ascii="仿宋" w:hAnsi="仿宋" w:eastAsia="仿宋"/>
          <w:color w:val="auto"/>
          <w:sz w:val="32"/>
          <w:szCs w:val="32"/>
        </w:rPr>
        <w:t>10.</w:t>
      </w:r>
      <w:r>
        <w:rPr>
          <w:rStyle w:val="15"/>
          <w:rFonts w:hint="eastAsia" w:ascii="仿宋" w:hAnsi="仿宋" w:eastAsia="仿宋"/>
          <w:bCs/>
          <w:color w:val="auto"/>
          <w:sz w:val="32"/>
          <w:szCs w:val="32"/>
        </w:rPr>
        <w:t>卫生健康支出（类）医疗保障管理事务（款）行政运行（项）：</w:t>
      </w:r>
      <w:r>
        <w:rPr>
          <w:rStyle w:val="15"/>
          <w:rFonts w:hint="eastAsia" w:ascii="仿宋" w:hAnsi="仿宋" w:eastAsia="仿宋"/>
          <w:b w:val="0"/>
          <w:bCs/>
          <w:color w:val="auto"/>
          <w:sz w:val="32"/>
          <w:szCs w:val="32"/>
        </w:rPr>
        <w:t>支出决算为237.82万元，完成预算100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pStyle w:val="2"/>
        <w:spacing w:before="93" w:line="360" w:lineRule="auto"/>
        <w:ind w:firstLine="640"/>
        <w:rPr>
          <w:rStyle w:val="15"/>
          <w:rFonts w:ascii="仿宋" w:hAnsi="仿宋" w:eastAsia="仿宋"/>
          <w:b w:val="0"/>
          <w:bCs/>
          <w:color w:val="auto"/>
          <w:sz w:val="32"/>
          <w:szCs w:val="32"/>
        </w:rPr>
      </w:pPr>
      <w:r>
        <w:rPr>
          <w:rStyle w:val="15"/>
          <w:rFonts w:hint="eastAsia" w:ascii="仿宋" w:hAnsi="仿宋" w:eastAsia="仿宋"/>
          <w:color w:val="auto"/>
          <w:sz w:val="32"/>
          <w:szCs w:val="32"/>
        </w:rPr>
        <w:t>11.</w:t>
      </w:r>
      <w:r>
        <w:rPr>
          <w:rStyle w:val="15"/>
          <w:rFonts w:hint="eastAsia" w:ascii="仿宋" w:hAnsi="仿宋" w:eastAsia="仿宋"/>
          <w:bCs/>
          <w:color w:val="auto"/>
          <w:sz w:val="32"/>
          <w:szCs w:val="32"/>
        </w:rPr>
        <w:t>卫生健康支出（类）医疗保障管理事务（款）其他医疗保障管理事务支出（项）：</w:t>
      </w:r>
      <w:r>
        <w:rPr>
          <w:rStyle w:val="15"/>
          <w:rFonts w:hint="eastAsia" w:ascii="仿宋" w:hAnsi="仿宋" w:eastAsia="仿宋"/>
          <w:b w:val="0"/>
          <w:bCs/>
          <w:color w:val="auto"/>
          <w:sz w:val="32"/>
          <w:szCs w:val="32"/>
        </w:rPr>
        <w:t>支出决算为257.82万元，完成预算100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pStyle w:val="2"/>
        <w:spacing w:before="93" w:line="360" w:lineRule="auto"/>
        <w:ind w:firstLine="640"/>
        <w:rPr>
          <w:rStyle w:val="15"/>
          <w:rFonts w:ascii="仿宋" w:hAnsi="仿宋" w:eastAsia="仿宋"/>
          <w:b w:val="0"/>
          <w:bCs/>
          <w:color w:val="auto"/>
          <w:sz w:val="32"/>
          <w:szCs w:val="32"/>
        </w:rPr>
      </w:pPr>
      <w:r>
        <w:rPr>
          <w:rStyle w:val="15"/>
          <w:rFonts w:hint="eastAsia" w:ascii="仿宋" w:hAnsi="仿宋" w:eastAsia="仿宋"/>
          <w:color w:val="auto"/>
          <w:sz w:val="32"/>
          <w:szCs w:val="32"/>
        </w:rPr>
        <w:t>12.</w:t>
      </w:r>
      <w:r>
        <w:rPr>
          <w:rStyle w:val="15"/>
          <w:rFonts w:hint="eastAsia" w:ascii="仿宋" w:hAnsi="仿宋" w:eastAsia="仿宋"/>
          <w:bCs/>
          <w:color w:val="auto"/>
          <w:sz w:val="32"/>
          <w:szCs w:val="32"/>
        </w:rPr>
        <w:t>农林水支出（类）扶贫（款）其他扶贫支出（项）：</w:t>
      </w:r>
      <w:r>
        <w:rPr>
          <w:rStyle w:val="15"/>
          <w:rFonts w:hint="eastAsia" w:ascii="仿宋" w:hAnsi="仿宋" w:eastAsia="仿宋"/>
          <w:b w:val="0"/>
          <w:bCs/>
          <w:color w:val="auto"/>
          <w:sz w:val="32"/>
          <w:szCs w:val="32"/>
        </w:rPr>
        <w:t>支出决算为328.06万元，完成预算100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spacing w:line="360" w:lineRule="auto"/>
        <w:ind w:firstLine="643" w:firstLineChars="200"/>
        <w:rPr>
          <w:rStyle w:val="15"/>
          <w:rFonts w:ascii="仿宋" w:hAnsi="仿宋" w:eastAsia="仿宋"/>
          <w:b w:val="0"/>
          <w:bCs/>
          <w:color w:val="auto"/>
          <w:sz w:val="32"/>
          <w:szCs w:val="32"/>
        </w:rPr>
      </w:pPr>
      <w:r>
        <w:rPr>
          <w:rStyle w:val="15"/>
          <w:rFonts w:hint="eastAsia" w:ascii="仿宋" w:hAnsi="仿宋" w:eastAsia="仿宋"/>
          <w:color w:val="auto"/>
          <w:sz w:val="32"/>
          <w:szCs w:val="32"/>
        </w:rPr>
        <w:t>13.</w:t>
      </w:r>
      <w:r>
        <w:rPr>
          <w:rStyle w:val="15"/>
          <w:rFonts w:hint="eastAsia" w:ascii="仿宋" w:hAnsi="仿宋" w:eastAsia="仿宋"/>
          <w:bCs/>
          <w:color w:val="auto"/>
          <w:sz w:val="32"/>
          <w:szCs w:val="32"/>
        </w:rPr>
        <w:t>住房保障支出（类）住房改革支出（款）住房公积金（项）</w:t>
      </w:r>
      <w:r>
        <w:rPr>
          <w:rStyle w:val="15"/>
          <w:rFonts w:hint="eastAsia" w:ascii="仿宋" w:hAnsi="仿宋" w:eastAsia="仿宋"/>
          <w:bCs/>
          <w:color w:val="auto"/>
          <w:sz w:val="32"/>
          <w:szCs w:val="32"/>
          <w:lang w:eastAsia="zh-CN"/>
        </w:rPr>
        <w:t>：</w:t>
      </w:r>
      <w:r>
        <w:rPr>
          <w:rStyle w:val="15"/>
          <w:rFonts w:hint="eastAsia" w:ascii="仿宋" w:hAnsi="仿宋" w:eastAsia="仿宋"/>
          <w:b w:val="0"/>
          <w:color w:val="auto"/>
          <w:sz w:val="32"/>
          <w:szCs w:val="32"/>
        </w:rPr>
        <w:t>支出决算数为24.9万元，</w:t>
      </w:r>
      <w:r>
        <w:rPr>
          <w:rStyle w:val="15"/>
          <w:rFonts w:hint="eastAsia" w:ascii="仿宋" w:hAnsi="仿宋" w:eastAsia="仿宋"/>
          <w:b w:val="0"/>
          <w:bCs/>
          <w:color w:val="auto"/>
          <w:sz w:val="32"/>
          <w:szCs w:val="32"/>
        </w:rPr>
        <w:t>完成预算100%。</w:t>
      </w:r>
    </w:p>
    <w:p>
      <w:pPr>
        <w:spacing w:line="360" w:lineRule="auto"/>
        <w:ind w:firstLine="643" w:firstLineChars="200"/>
        <w:rPr>
          <w:rStyle w:val="15"/>
          <w:rFonts w:ascii="仿宋" w:hAnsi="仿宋" w:eastAsia="仿宋"/>
          <w:b w:val="0"/>
          <w:bCs/>
          <w:color w:val="auto"/>
          <w:sz w:val="32"/>
          <w:szCs w:val="32"/>
        </w:rPr>
      </w:pPr>
      <w:r>
        <w:rPr>
          <w:rStyle w:val="15"/>
          <w:rFonts w:hint="eastAsia" w:ascii="仿宋" w:hAnsi="仿宋" w:eastAsia="仿宋"/>
          <w:color w:val="auto"/>
          <w:sz w:val="32"/>
          <w:szCs w:val="32"/>
        </w:rPr>
        <w:t>14.</w:t>
      </w:r>
      <w:r>
        <w:rPr>
          <w:rStyle w:val="15"/>
          <w:rFonts w:hint="eastAsia" w:ascii="仿宋" w:hAnsi="仿宋" w:eastAsia="仿宋"/>
          <w:bCs/>
          <w:color w:val="auto"/>
          <w:sz w:val="32"/>
          <w:szCs w:val="32"/>
        </w:rPr>
        <w:t>其他支出（类）其他支出（款）其他支出（项）</w:t>
      </w:r>
      <w:r>
        <w:rPr>
          <w:rStyle w:val="15"/>
          <w:rFonts w:hint="eastAsia" w:ascii="仿宋" w:hAnsi="仿宋" w:eastAsia="仿宋"/>
          <w:bCs/>
          <w:color w:val="auto"/>
          <w:sz w:val="32"/>
          <w:szCs w:val="32"/>
          <w:lang w:eastAsia="zh-CN"/>
        </w:rPr>
        <w:t>：</w:t>
      </w:r>
      <w:r>
        <w:rPr>
          <w:rStyle w:val="15"/>
          <w:rFonts w:hint="eastAsia" w:ascii="仿宋" w:hAnsi="仿宋" w:eastAsia="仿宋"/>
          <w:b w:val="0"/>
          <w:color w:val="auto"/>
          <w:sz w:val="32"/>
          <w:szCs w:val="32"/>
        </w:rPr>
        <w:t>支出决算数为5.3万元，</w:t>
      </w:r>
      <w:r>
        <w:rPr>
          <w:rStyle w:val="15"/>
          <w:rFonts w:hint="eastAsia" w:ascii="仿宋" w:hAnsi="仿宋" w:eastAsia="仿宋"/>
          <w:b w:val="0"/>
          <w:bCs/>
          <w:color w:val="auto"/>
          <w:sz w:val="32"/>
          <w:szCs w:val="32"/>
        </w:rPr>
        <w:t>完成预算100%，决算数与预算数基本持平。</w:t>
      </w:r>
    </w:p>
    <w:p>
      <w:pPr>
        <w:pStyle w:val="2"/>
        <w:spacing w:before="93" w:line="360" w:lineRule="auto"/>
        <w:rPr>
          <w:color w:val="auto"/>
        </w:rPr>
      </w:pPr>
    </w:p>
    <w:p>
      <w:pPr>
        <w:tabs>
          <w:tab w:val="right" w:pos="8306"/>
        </w:tabs>
        <w:spacing w:line="360" w:lineRule="auto"/>
        <w:ind w:firstLine="640"/>
        <w:outlineLvl w:val="1"/>
        <w:rPr>
          <w:rStyle w:val="26"/>
          <w:color w:val="auto"/>
        </w:rPr>
      </w:pPr>
      <w:bookmarkStart w:id="45" w:name="_Toc15377214"/>
      <w:bookmarkStart w:id="46"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6"/>
          <w:rFonts w:hint="eastAsia" w:ascii="黑体" w:hAnsi="黑体" w:eastAsia="黑体"/>
          <w:b w:val="0"/>
          <w:color w:val="auto"/>
        </w:rPr>
        <w:t>般公共预算财政拨款基本支出决算情况说明</w:t>
      </w:r>
      <w:bookmarkEnd w:id="45"/>
      <w:bookmarkEnd w:id="46"/>
      <w:r>
        <w:rPr>
          <w:rStyle w:val="26"/>
          <w:rFonts w:ascii="黑体" w:hAnsi="黑体" w:eastAsia="黑体"/>
          <w:b w:val="0"/>
          <w:color w:val="auto"/>
        </w:rPr>
        <w:tab/>
      </w:r>
    </w:p>
    <w:p>
      <w:pPr>
        <w:spacing w:line="360" w:lineRule="auto"/>
        <w:ind w:firstLine="645"/>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21年一般公共预算财政拨款基本支出302.23万元，其中：</w:t>
      </w:r>
    </w:p>
    <w:p>
      <w:pPr>
        <w:spacing w:line="360" w:lineRule="auto"/>
        <w:ind w:firstLine="645"/>
        <w:rPr>
          <w:rFonts w:hint="eastAsia" w:ascii="仿宋" w:hAnsi="仿宋" w:eastAsia="仿宋"/>
          <w:color w:val="auto"/>
          <w:sz w:val="32"/>
          <w:szCs w:val="32"/>
          <w:lang w:eastAsia="zh-CN"/>
        </w:rPr>
      </w:pPr>
      <w:r>
        <w:rPr>
          <w:rFonts w:hint="eastAsia" w:ascii="仿宋" w:hAnsi="仿宋" w:eastAsia="仿宋"/>
          <w:color w:val="auto"/>
          <w:sz w:val="32"/>
          <w:szCs w:val="32"/>
        </w:rPr>
        <w:t>人员经费272.79万元，主要包括：基本工资、津贴补贴、奖金、机关事业单位基本养老保险缴费、职工基本医疗保险缴费、公务员医疗补助缴费、住房公积金、其他工资福利支出、奖励金等。</w:t>
      </w:r>
    </w:p>
    <w:p>
      <w:pPr>
        <w:spacing w:line="360" w:lineRule="auto"/>
        <w:ind w:firstLine="645"/>
        <w:rPr>
          <w:rFonts w:ascii="仿宋" w:hAnsi="仿宋" w:eastAsia="仿宋"/>
          <w:color w:val="auto"/>
          <w:sz w:val="32"/>
          <w:szCs w:val="32"/>
        </w:rPr>
      </w:pPr>
      <w:r>
        <w:rPr>
          <w:rFonts w:hint="eastAsia" w:ascii="仿宋" w:hAnsi="仿宋" w:eastAsia="仿宋"/>
          <w:color w:val="auto"/>
          <w:sz w:val="32"/>
          <w:szCs w:val="32"/>
        </w:rPr>
        <w:t>公用经费29.44万元，主要包括：办公费、印刷费、手续费、水费、电费、邮电费、差旅费、培训费、公务接待费、劳务费、工会经费、福利费、其他交通费、其他商品和服务支出等。</w:t>
      </w:r>
    </w:p>
    <w:p>
      <w:pPr>
        <w:spacing w:line="360" w:lineRule="auto"/>
        <w:ind w:firstLine="640"/>
        <w:rPr>
          <w:rFonts w:ascii="仿宋" w:hAnsi="仿宋" w:eastAsia="仿宋"/>
          <w:b/>
          <w:color w:val="auto"/>
          <w:sz w:val="32"/>
          <w:szCs w:val="32"/>
        </w:rPr>
      </w:pPr>
    </w:p>
    <w:p>
      <w:pPr>
        <w:spacing w:line="360" w:lineRule="auto"/>
        <w:ind w:firstLine="640"/>
        <w:outlineLvl w:val="1"/>
        <w:rPr>
          <w:rStyle w:val="26"/>
          <w:rFonts w:ascii="黑体" w:hAnsi="黑体" w:eastAsia="黑体"/>
          <w:b w:val="0"/>
          <w:color w:val="auto"/>
        </w:rPr>
      </w:pPr>
      <w:bookmarkStart w:id="47" w:name="_Toc15377215"/>
      <w:bookmarkStart w:id="48" w:name="_Toc15396609"/>
      <w:r>
        <w:rPr>
          <w:rFonts w:hint="eastAsia" w:ascii="黑体" w:eastAsia="黑体"/>
          <w:color w:val="auto"/>
          <w:sz w:val="32"/>
          <w:szCs w:val="32"/>
        </w:rPr>
        <w:t>七、</w:t>
      </w:r>
      <w:r>
        <w:rPr>
          <w:rStyle w:val="26"/>
          <w:rFonts w:hint="eastAsia" w:ascii="黑体" w:hAnsi="黑体" w:eastAsia="黑体"/>
          <w:color w:val="auto"/>
        </w:rPr>
        <w:t>“</w:t>
      </w:r>
      <w:r>
        <w:rPr>
          <w:rStyle w:val="26"/>
          <w:rFonts w:hint="eastAsia" w:ascii="黑体" w:hAnsi="黑体" w:eastAsia="黑体"/>
          <w:b w:val="0"/>
          <w:color w:val="auto"/>
        </w:rPr>
        <w:t>三公”经费财政拨款支出决算情况说明</w:t>
      </w:r>
      <w:bookmarkEnd w:id="47"/>
      <w:bookmarkEnd w:id="48"/>
    </w:p>
    <w:p>
      <w:pPr>
        <w:spacing w:line="360" w:lineRule="auto"/>
        <w:ind w:firstLine="640"/>
        <w:outlineLvl w:val="2"/>
        <w:rPr>
          <w:rFonts w:ascii="仿宋" w:hAnsi="仿宋" w:eastAsia="仿宋"/>
          <w:b/>
          <w:color w:val="auto"/>
          <w:sz w:val="32"/>
          <w:szCs w:val="32"/>
        </w:rPr>
      </w:pPr>
      <w:bookmarkStart w:id="49" w:name="_Toc15377216"/>
      <w:r>
        <w:rPr>
          <w:rFonts w:hint="eastAsia" w:ascii="仿宋" w:hAnsi="仿宋" w:eastAsia="仿宋"/>
          <w:b/>
          <w:color w:val="auto"/>
          <w:sz w:val="32"/>
          <w:szCs w:val="32"/>
        </w:rPr>
        <w:t>（一）“三公”经费财政拨款支出决算总体情况说明</w:t>
      </w:r>
      <w:bookmarkEnd w:id="49"/>
    </w:p>
    <w:p>
      <w:pPr>
        <w:spacing w:line="360" w:lineRule="auto"/>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21年“三公”经费财政拨款支出决算为0.25万元，完成预算100</w:t>
      </w:r>
      <w:r>
        <w:rPr>
          <w:rFonts w:ascii="仿宋" w:hAnsi="仿宋" w:eastAsia="仿宋"/>
          <w:color w:val="auto"/>
          <w:sz w:val="32"/>
          <w:szCs w:val="32"/>
        </w:rPr>
        <w:t>%</w:t>
      </w:r>
      <w:r>
        <w:rPr>
          <w:rFonts w:hint="eastAsia" w:ascii="仿宋" w:hAnsi="仿宋" w:eastAsia="仿宋"/>
          <w:color w:val="auto"/>
          <w:sz w:val="32"/>
          <w:szCs w:val="32"/>
        </w:rPr>
        <w:t>。</w:t>
      </w:r>
    </w:p>
    <w:p>
      <w:pPr>
        <w:spacing w:line="360" w:lineRule="auto"/>
        <w:ind w:firstLine="640"/>
        <w:outlineLvl w:val="2"/>
        <w:rPr>
          <w:rFonts w:ascii="仿宋" w:hAnsi="仿宋" w:eastAsia="仿宋"/>
          <w:b/>
          <w:color w:val="auto"/>
          <w:sz w:val="32"/>
          <w:szCs w:val="32"/>
        </w:rPr>
      </w:pPr>
      <w:bookmarkStart w:id="50" w:name="_Toc15377217"/>
      <w:r>
        <w:rPr>
          <w:rFonts w:hint="eastAsia" w:ascii="仿宋" w:hAnsi="仿宋" w:eastAsia="仿宋"/>
          <w:b/>
          <w:color w:val="auto"/>
          <w:sz w:val="32"/>
          <w:szCs w:val="32"/>
        </w:rPr>
        <w:t>（二）“三公”经费财政拨款支出决算具体情况说明</w:t>
      </w:r>
      <w:bookmarkEnd w:id="50"/>
    </w:p>
    <w:p>
      <w:pPr>
        <w:spacing w:line="360" w:lineRule="auto"/>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21年“三公”经费财政拨款支出决算中，因公出国（境）费支出决算0万元；公务用车购置及运行维护费支出决算0万元；公务接待费支出决算0.25万元，占100</w:t>
      </w:r>
      <w:r>
        <w:rPr>
          <w:rFonts w:ascii="仿宋" w:hAnsi="仿宋" w:eastAsia="仿宋"/>
          <w:color w:val="auto"/>
          <w:sz w:val="32"/>
          <w:szCs w:val="32"/>
        </w:rPr>
        <w:t>%</w:t>
      </w:r>
      <w:r>
        <w:rPr>
          <w:rFonts w:hint="eastAsia" w:ascii="仿宋" w:hAnsi="仿宋" w:eastAsia="仿宋"/>
          <w:color w:val="auto"/>
          <w:sz w:val="32"/>
          <w:szCs w:val="32"/>
        </w:rPr>
        <w:t>。具体情况如下：</w:t>
      </w:r>
    </w:p>
    <w:p>
      <w:pPr>
        <w:pStyle w:val="2"/>
        <w:spacing w:before="93" w:line="360" w:lineRule="auto"/>
        <w:rPr>
          <w:color w:val="auto"/>
        </w:rPr>
      </w:pPr>
      <w:r>
        <w:rPr>
          <w:rFonts w:hint="eastAsia" w:ascii="仿宋" w:hAnsi="仿宋" w:eastAsia="仿宋"/>
          <w:color w:val="auto"/>
          <w:sz w:val="32"/>
          <w:szCs w:val="32"/>
        </w:rPr>
        <w:object>
          <v:shape id="_x0000_i1027" o:spt="75" type="#_x0000_t75" style="height:236.5pt;width:406pt;" o:ole="t" filled="f" o:preferrelative="t" stroked="f" coordsize="21600,21600" o:gfxdata="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">
            <v:path/>
            <v:fill on="f" focussize="0,0"/>
            <v:stroke on="f"/>
            <v:imagedata r:id="rId18" o:title=""/>
            <o:lock v:ext="edit" aspectratio="f"/>
            <w10:wrap type="none"/>
            <w10:anchorlock/>
          </v:shape>
          <o:OLEObject Type="Embed" ProgID="Excel.Sheet.8" ShapeID="_x0000_i1027" DrawAspect="Content" ObjectID="_1468075727" r:id="rId17">
            <o:LockedField>false</o:LockedField>
          </o:OLEObject>
        </w:object>
      </w:r>
    </w:p>
    <w:p>
      <w:pPr>
        <w:spacing w:line="360" w:lineRule="auto"/>
        <w:ind w:firstLine="1609" w:firstLineChars="503"/>
        <w:rPr>
          <w:rFonts w:ascii="仿宋" w:hAnsi="仿宋" w:eastAsia="仿宋"/>
          <w:color w:val="auto"/>
          <w:sz w:val="32"/>
          <w:szCs w:val="32"/>
        </w:rPr>
      </w:pPr>
      <w:r>
        <w:rPr>
          <w:rFonts w:hint="eastAsia" w:ascii="仿宋" w:hAnsi="仿宋" w:eastAsia="仿宋"/>
          <w:color w:val="auto"/>
          <w:sz w:val="32"/>
          <w:szCs w:val="32"/>
        </w:rPr>
        <w:t>图7：“三公”经费财政拨款支出结构</w:t>
      </w:r>
    </w:p>
    <w:p>
      <w:pPr>
        <w:pStyle w:val="2"/>
        <w:spacing w:before="93" w:line="360" w:lineRule="auto"/>
        <w:rPr>
          <w:color w:val="auto"/>
        </w:rPr>
      </w:pPr>
    </w:p>
    <w:p>
      <w:pPr>
        <w:spacing w:line="360" w:lineRule="auto"/>
        <w:ind w:firstLine="640"/>
        <w:rPr>
          <w:rFonts w:ascii="仿宋_GB2312" w:eastAsia="仿宋_GB2312"/>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ascii="仿宋_GB2312" w:eastAsia="仿宋_GB2312"/>
          <w:color w:val="auto"/>
          <w:sz w:val="32"/>
          <w:szCs w:val="32"/>
        </w:rPr>
        <w:t>0万元</w:t>
      </w:r>
      <w:r>
        <w:rPr>
          <w:rStyle w:val="15"/>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全年安排因公出国（境）团组0次，出国（境）0人。因公出国（境）支出决算与</w:t>
      </w:r>
      <w:r>
        <w:rPr>
          <w:rFonts w:ascii="仿宋_GB2312" w:eastAsia="仿宋_GB2312"/>
          <w:color w:val="auto"/>
          <w:sz w:val="32"/>
          <w:szCs w:val="32"/>
        </w:rPr>
        <w:t>20</w:t>
      </w:r>
      <w:r>
        <w:rPr>
          <w:rFonts w:hint="eastAsia" w:ascii="仿宋_GB2312" w:eastAsia="仿宋_GB2312"/>
          <w:color w:val="auto"/>
          <w:sz w:val="32"/>
          <w:szCs w:val="32"/>
        </w:rPr>
        <w:t>20年持平。</w:t>
      </w:r>
    </w:p>
    <w:p>
      <w:pPr>
        <w:spacing w:line="360" w:lineRule="auto"/>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rPr>
        <w:t>0万元</w:t>
      </w:r>
      <w:r>
        <w:rPr>
          <w:rStyle w:val="15"/>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公务用车购置及运行维护费支出决算与</w:t>
      </w:r>
      <w:r>
        <w:rPr>
          <w:rFonts w:ascii="仿宋_GB2312" w:eastAsia="仿宋_GB2312"/>
          <w:color w:val="auto"/>
          <w:sz w:val="32"/>
          <w:szCs w:val="32"/>
        </w:rPr>
        <w:t>20</w:t>
      </w:r>
      <w:r>
        <w:rPr>
          <w:rFonts w:hint="eastAsia" w:ascii="仿宋_GB2312" w:eastAsia="仿宋_GB2312"/>
          <w:color w:val="auto"/>
          <w:sz w:val="32"/>
          <w:szCs w:val="32"/>
        </w:rPr>
        <w:t>20年持平。</w:t>
      </w:r>
    </w:p>
    <w:p>
      <w:pPr>
        <w:spacing w:line="360" w:lineRule="auto"/>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rPr>
        <w:t>0万元。全年按规定更新购置公务用车0辆。截至</w:t>
      </w:r>
      <w:r>
        <w:rPr>
          <w:rFonts w:ascii="仿宋_GB2312" w:eastAsia="仿宋_GB2312"/>
          <w:color w:val="auto"/>
          <w:sz w:val="32"/>
          <w:szCs w:val="32"/>
        </w:rPr>
        <w:t>20</w:t>
      </w:r>
      <w:r>
        <w:rPr>
          <w:rFonts w:hint="eastAsia" w:ascii="仿宋_GB2312" w:eastAsia="仿宋_GB2312"/>
          <w:color w:val="auto"/>
          <w:sz w:val="32"/>
          <w:szCs w:val="32"/>
        </w:rPr>
        <w:t>21年</w:t>
      </w:r>
      <w:r>
        <w:rPr>
          <w:rFonts w:ascii="仿宋_GB2312" w:eastAsia="仿宋_GB2312"/>
          <w:color w:val="auto"/>
          <w:sz w:val="32"/>
          <w:szCs w:val="32"/>
        </w:rPr>
        <w:t>12</w:t>
      </w:r>
      <w:r>
        <w:rPr>
          <w:rFonts w:hint="eastAsia" w:ascii="仿宋_GB2312" w:eastAsia="仿宋_GB2312"/>
          <w:color w:val="auto"/>
          <w:sz w:val="32"/>
          <w:szCs w:val="32"/>
        </w:rPr>
        <w:t>月底，单位共有公务用车0辆。</w:t>
      </w:r>
    </w:p>
    <w:p>
      <w:pPr>
        <w:spacing w:line="360" w:lineRule="auto"/>
        <w:ind w:firstLine="640"/>
        <w:rPr>
          <w:rFonts w:ascii="仿宋_GB2312" w:eastAsia="仿宋_GB2312"/>
          <w:color w:val="auto"/>
          <w:sz w:val="32"/>
          <w:szCs w:val="32"/>
        </w:rPr>
      </w:pPr>
      <w:r>
        <w:rPr>
          <w:rFonts w:hint="eastAsia" w:ascii="仿宋_GB2312" w:eastAsia="仿宋_GB2312"/>
          <w:b/>
          <w:color w:val="auto"/>
          <w:sz w:val="32"/>
          <w:szCs w:val="32"/>
        </w:rPr>
        <w:t>公务用车运行维护费支出</w:t>
      </w:r>
      <w:r>
        <w:rPr>
          <w:rFonts w:hint="eastAsia" w:ascii="仿宋_GB2312" w:eastAsia="仿宋_GB2312"/>
          <w:color w:val="auto"/>
          <w:sz w:val="32"/>
          <w:szCs w:val="32"/>
        </w:rPr>
        <w:t>0万元。</w:t>
      </w:r>
    </w:p>
    <w:p>
      <w:pPr>
        <w:spacing w:line="360" w:lineRule="auto"/>
        <w:ind w:firstLine="640"/>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rPr>
        <w:t>0.25万元，</w:t>
      </w:r>
      <w:r>
        <w:rPr>
          <w:rStyle w:val="15"/>
          <w:rFonts w:hint="eastAsia" w:ascii="仿宋" w:hAnsi="仿宋" w:eastAsia="仿宋"/>
          <w:b w:val="0"/>
          <w:bCs/>
          <w:color w:val="auto"/>
          <w:sz w:val="32"/>
          <w:szCs w:val="32"/>
        </w:rPr>
        <w:t>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w:t>
      </w:r>
      <w:r>
        <w:rPr>
          <w:rFonts w:hint="eastAsia" w:ascii="仿宋_GB2312" w:eastAsia="仿宋_GB2312"/>
          <w:color w:val="auto"/>
          <w:sz w:val="32"/>
          <w:szCs w:val="32"/>
        </w:rPr>
        <w:t>20年减少0.03万元，下降10.71</w:t>
      </w:r>
      <w:r>
        <w:rPr>
          <w:rFonts w:ascii="仿宋_GB2312" w:eastAsia="仿宋_GB2312"/>
          <w:color w:val="auto"/>
          <w:sz w:val="32"/>
          <w:szCs w:val="32"/>
        </w:rPr>
        <w:t>%</w:t>
      </w:r>
      <w:r>
        <w:rPr>
          <w:rFonts w:hint="eastAsia" w:ascii="仿宋_GB2312" w:eastAsia="仿宋_GB2312"/>
          <w:color w:val="auto"/>
          <w:sz w:val="32"/>
          <w:szCs w:val="32"/>
        </w:rPr>
        <w:t>。主要原因是接待批次减少，陪同人次减少。其中：</w:t>
      </w:r>
    </w:p>
    <w:p>
      <w:pPr>
        <w:spacing w:line="360" w:lineRule="auto"/>
        <w:ind w:firstLine="640"/>
        <w:rPr>
          <w:rFonts w:ascii="仿宋_GB2312" w:eastAsia="仿宋_GB2312"/>
          <w:color w:val="auto"/>
          <w:sz w:val="32"/>
          <w:szCs w:val="32"/>
        </w:rPr>
      </w:pPr>
      <w:r>
        <w:rPr>
          <w:rFonts w:hint="eastAsia" w:ascii="仿宋" w:hAnsi="仿宋" w:eastAsia="仿宋"/>
          <w:b/>
          <w:color w:val="auto"/>
          <w:sz w:val="32"/>
          <w:szCs w:val="32"/>
        </w:rPr>
        <w:t>国内公务接待支出</w:t>
      </w:r>
      <w:r>
        <w:rPr>
          <w:rFonts w:hint="eastAsia" w:ascii="仿宋" w:hAnsi="仿宋" w:eastAsia="仿宋"/>
          <w:color w:val="auto"/>
          <w:sz w:val="32"/>
          <w:szCs w:val="32"/>
        </w:rPr>
        <w:t>0.25</w:t>
      </w:r>
      <w:r>
        <w:rPr>
          <w:rFonts w:hint="eastAsia" w:ascii="仿宋_GB2312" w:eastAsia="仿宋_GB2312"/>
          <w:color w:val="auto"/>
          <w:sz w:val="32"/>
          <w:szCs w:val="32"/>
        </w:rPr>
        <w:t>万元，主要用于开展业务活动开支用餐费。国内公务接待1批次，38人次（不包括陪同人员），共计支出0.25万元，具体内容包括：接待市医保局及省级检查组赴盐边开展2021年度四川省医疗保障基金省级飞行检查，餐费支出0.25万元。</w:t>
      </w:r>
    </w:p>
    <w:p>
      <w:pPr>
        <w:spacing w:line="360" w:lineRule="auto"/>
        <w:ind w:firstLine="643" w:firstLineChars="200"/>
        <w:rPr>
          <w:rFonts w:ascii="仿宋_GB2312" w:eastAsia="仿宋_GB2312"/>
          <w:color w:val="auto"/>
          <w:sz w:val="32"/>
          <w:szCs w:val="32"/>
        </w:rPr>
      </w:pPr>
      <w:r>
        <w:rPr>
          <w:rFonts w:hint="eastAsia" w:ascii="仿宋" w:hAnsi="仿宋" w:eastAsia="仿宋"/>
          <w:b/>
          <w:color w:val="auto"/>
          <w:sz w:val="32"/>
          <w:szCs w:val="32"/>
        </w:rPr>
        <w:t>外事接待支出</w:t>
      </w:r>
      <w:r>
        <w:rPr>
          <w:rFonts w:hint="eastAsia" w:ascii="仿宋" w:hAnsi="仿宋" w:eastAsia="仿宋"/>
          <w:color w:val="auto"/>
          <w:sz w:val="32"/>
          <w:szCs w:val="32"/>
        </w:rPr>
        <w:t>0</w:t>
      </w:r>
      <w:r>
        <w:rPr>
          <w:rFonts w:hint="eastAsia" w:ascii="仿宋_GB2312" w:eastAsia="仿宋_GB2312"/>
          <w:color w:val="auto"/>
          <w:sz w:val="32"/>
          <w:szCs w:val="32"/>
        </w:rPr>
        <w:t>万元。</w:t>
      </w:r>
    </w:p>
    <w:p>
      <w:pPr>
        <w:spacing w:line="360" w:lineRule="auto"/>
        <w:ind w:firstLine="640"/>
        <w:outlineLvl w:val="1"/>
        <w:rPr>
          <w:rFonts w:ascii="黑体" w:eastAsia="黑体"/>
          <w:color w:val="auto"/>
          <w:sz w:val="32"/>
          <w:szCs w:val="32"/>
        </w:rPr>
      </w:pPr>
      <w:bookmarkStart w:id="51" w:name="_Toc15396610"/>
      <w:bookmarkStart w:id="52" w:name="_Toc15377218"/>
    </w:p>
    <w:p>
      <w:pPr>
        <w:spacing w:line="360" w:lineRule="auto"/>
        <w:ind w:firstLine="640"/>
        <w:outlineLvl w:val="1"/>
        <w:rPr>
          <w:rStyle w:val="26"/>
          <w:rFonts w:ascii="黑体" w:hAnsi="黑体" w:eastAsia="黑体"/>
          <w:color w:val="auto"/>
        </w:rPr>
      </w:pPr>
      <w:r>
        <w:rPr>
          <w:rFonts w:hint="eastAsia" w:ascii="黑体" w:eastAsia="黑体"/>
          <w:color w:val="auto"/>
          <w:sz w:val="32"/>
          <w:szCs w:val="32"/>
        </w:rPr>
        <w:t>八、</w:t>
      </w:r>
      <w:r>
        <w:rPr>
          <w:rStyle w:val="26"/>
          <w:rFonts w:hint="eastAsia" w:ascii="黑体" w:hAnsi="黑体" w:eastAsia="黑体"/>
          <w:b w:val="0"/>
          <w:color w:val="auto"/>
        </w:rPr>
        <w:t>政府性基金预算支出决算情况说明</w:t>
      </w:r>
      <w:bookmarkEnd w:id="51"/>
      <w:bookmarkEnd w:id="52"/>
    </w:p>
    <w:p>
      <w:pPr>
        <w:spacing w:line="360" w:lineRule="auto"/>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21年政府性基金预算财政拨款支出35.4万元。</w:t>
      </w:r>
    </w:p>
    <w:p>
      <w:pPr>
        <w:spacing w:line="360" w:lineRule="auto"/>
        <w:ind w:firstLine="640"/>
        <w:rPr>
          <w:rFonts w:ascii="仿宋_GB2312" w:eastAsia="仿宋_GB2312"/>
          <w:color w:val="auto"/>
          <w:sz w:val="32"/>
          <w:szCs w:val="32"/>
        </w:rPr>
      </w:pPr>
    </w:p>
    <w:p>
      <w:pPr>
        <w:numPr>
          <w:ilvl w:val="0"/>
          <w:numId w:val="2"/>
        </w:numPr>
        <w:spacing w:line="360" w:lineRule="auto"/>
        <w:ind w:firstLine="640"/>
        <w:outlineLvl w:val="1"/>
        <w:rPr>
          <w:rStyle w:val="26"/>
          <w:rFonts w:ascii="黑体" w:hAnsi="黑体" w:eastAsia="黑体"/>
          <w:b w:val="0"/>
          <w:color w:val="auto"/>
        </w:rPr>
      </w:pPr>
      <w:bookmarkStart w:id="53" w:name="_Toc15377219"/>
      <w:bookmarkStart w:id="54" w:name="_Toc15396611"/>
      <w:r>
        <w:rPr>
          <w:rStyle w:val="26"/>
          <w:rFonts w:hint="eastAsia" w:ascii="黑体" w:hAnsi="黑体" w:eastAsia="黑体"/>
          <w:b w:val="0"/>
          <w:color w:val="auto"/>
        </w:rPr>
        <w:t>国有资本经营预算支出决算情况说明</w:t>
      </w:r>
      <w:bookmarkEnd w:id="53"/>
      <w:bookmarkEnd w:id="54"/>
    </w:p>
    <w:p>
      <w:pPr>
        <w:spacing w:line="360" w:lineRule="auto"/>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21年国有资本经营预算财政拨款支出0万元。</w:t>
      </w:r>
    </w:p>
    <w:p>
      <w:pPr>
        <w:spacing w:line="360" w:lineRule="auto"/>
        <w:jc w:val="center"/>
        <w:rPr>
          <w:rFonts w:ascii="方正小标宋简体" w:hAnsi="方正小标宋简体" w:eastAsia="方正小标宋简体" w:cs="方正小标宋简体"/>
          <w:color w:val="auto"/>
          <w:sz w:val="44"/>
          <w:szCs w:val="44"/>
        </w:rPr>
      </w:pPr>
    </w:p>
    <w:p>
      <w:pPr>
        <w:numPr>
          <w:ilvl w:val="0"/>
          <w:numId w:val="2"/>
        </w:numPr>
        <w:spacing w:line="360" w:lineRule="auto"/>
        <w:ind w:firstLine="640"/>
        <w:outlineLvl w:val="1"/>
        <w:rPr>
          <w:rStyle w:val="26"/>
          <w:rFonts w:ascii="黑体" w:hAnsi="黑体" w:eastAsia="黑体"/>
          <w:b w:val="0"/>
          <w:color w:val="auto"/>
        </w:rPr>
      </w:pPr>
      <w:bookmarkStart w:id="55" w:name="_Toc15396612"/>
      <w:bookmarkStart w:id="56" w:name="_Toc15377221"/>
      <w:r>
        <w:rPr>
          <w:rStyle w:val="26"/>
          <w:rFonts w:hint="eastAsia" w:ascii="黑体" w:hAnsi="黑体" w:eastAsia="黑体"/>
          <w:b w:val="0"/>
          <w:color w:val="auto"/>
        </w:rPr>
        <w:t>其他重要事项的情况说明</w:t>
      </w:r>
      <w:bookmarkEnd w:id="55"/>
      <w:bookmarkEnd w:id="56"/>
    </w:p>
    <w:p>
      <w:pPr>
        <w:spacing w:line="360" w:lineRule="auto"/>
        <w:ind w:firstLine="643" w:firstLineChars="200"/>
        <w:outlineLvl w:val="2"/>
        <w:rPr>
          <w:rFonts w:ascii="仿宋" w:hAnsi="仿宋" w:eastAsia="仿宋"/>
          <w:color w:val="auto"/>
          <w:sz w:val="32"/>
          <w:szCs w:val="32"/>
        </w:rPr>
      </w:pPr>
      <w:bookmarkStart w:id="57" w:name="_Toc15377222"/>
      <w:r>
        <w:rPr>
          <w:rFonts w:hint="eastAsia" w:ascii="仿宋" w:hAnsi="仿宋" w:eastAsia="仿宋"/>
          <w:b/>
          <w:color w:val="auto"/>
          <w:sz w:val="32"/>
          <w:szCs w:val="32"/>
        </w:rPr>
        <w:t>（一）机关运行经费支出情况</w:t>
      </w:r>
      <w:bookmarkEnd w:id="57"/>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21年，县医保局机关运行经费支出29.44万元，比</w:t>
      </w:r>
      <w:r>
        <w:rPr>
          <w:rFonts w:ascii="仿宋_GB2312" w:eastAsia="仿宋_GB2312"/>
          <w:color w:val="auto"/>
          <w:sz w:val="32"/>
          <w:szCs w:val="32"/>
        </w:rPr>
        <w:t>20</w:t>
      </w:r>
      <w:r>
        <w:rPr>
          <w:rFonts w:hint="eastAsia" w:ascii="仿宋_GB2312" w:eastAsia="仿宋_GB2312"/>
          <w:color w:val="auto"/>
          <w:sz w:val="32"/>
          <w:szCs w:val="32"/>
        </w:rPr>
        <w:t>20年增加5.31万元，增长22.01</w:t>
      </w:r>
      <w:r>
        <w:rPr>
          <w:rFonts w:ascii="仿宋_GB2312" w:eastAsia="仿宋_GB2312"/>
          <w:color w:val="auto"/>
          <w:sz w:val="32"/>
          <w:szCs w:val="32"/>
        </w:rPr>
        <w:t>%</w:t>
      </w:r>
      <w:r>
        <w:rPr>
          <w:rFonts w:hint="eastAsia" w:ascii="仿宋_GB2312" w:eastAsia="仿宋_GB2312"/>
          <w:color w:val="auto"/>
          <w:sz w:val="32"/>
          <w:szCs w:val="32"/>
        </w:rPr>
        <w:t>。主要原因是人员增加，相关费用增加。</w:t>
      </w:r>
    </w:p>
    <w:p>
      <w:pPr>
        <w:autoSpaceDE w:val="0"/>
        <w:autoSpaceDN w:val="0"/>
        <w:adjustRightInd w:val="0"/>
        <w:spacing w:line="360" w:lineRule="auto"/>
        <w:ind w:firstLine="643" w:firstLineChars="200"/>
        <w:jc w:val="left"/>
        <w:outlineLvl w:val="2"/>
        <w:rPr>
          <w:rFonts w:ascii="仿宋" w:hAnsi="仿宋" w:eastAsia="仿宋"/>
          <w:b/>
          <w:color w:val="auto"/>
          <w:sz w:val="32"/>
          <w:szCs w:val="32"/>
        </w:rPr>
      </w:pPr>
      <w:bookmarkStart w:id="58" w:name="_Toc15377223"/>
      <w:r>
        <w:rPr>
          <w:rFonts w:hint="eastAsia" w:ascii="仿宋" w:hAnsi="仿宋" w:eastAsia="仿宋"/>
          <w:b/>
          <w:color w:val="auto"/>
          <w:sz w:val="32"/>
          <w:szCs w:val="32"/>
        </w:rPr>
        <w:t>（二）政府采购支出情况</w:t>
      </w:r>
      <w:bookmarkEnd w:id="58"/>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21年，县医保局政府采购支出总额10.33万元，其中：政府采购货物支出10.33万元、政府采购工程支出0万元、政府采购服务支出0万元。主要用于购买日常办公设备以及医疗保障基金监管所需办公设备。授予中小企业合同金额10.33万元，占政府采购支出总额的100</w:t>
      </w:r>
      <w:r>
        <w:rPr>
          <w:rFonts w:ascii="仿宋_GB2312" w:eastAsia="仿宋_GB2312"/>
          <w:color w:val="auto"/>
          <w:sz w:val="32"/>
          <w:szCs w:val="32"/>
        </w:rPr>
        <w:t>%</w:t>
      </w:r>
      <w:r>
        <w:rPr>
          <w:rFonts w:hint="eastAsia" w:ascii="仿宋_GB2312" w:eastAsia="仿宋_GB2312"/>
          <w:color w:val="auto"/>
          <w:sz w:val="32"/>
          <w:szCs w:val="32"/>
        </w:rPr>
        <w:t>。</w:t>
      </w:r>
    </w:p>
    <w:p>
      <w:pPr>
        <w:autoSpaceDE w:val="0"/>
        <w:autoSpaceDN w:val="0"/>
        <w:adjustRightInd w:val="0"/>
        <w:spacing w:line="360" w:lineRule="auto"/>
        <w:ind w:firstLine="643" w:firstLineChars="200"/>
        <w:jc w:val="left"/>
        <w:outlineLvl w:val="2"/>
        <w:rPr>
          <w:rFonts w:ascii="仿宋" w:hAnsi="仿宋" w:eastAsia="仿宋"/>
          <w:b/>
          <w:color w:val="auto"/>
          <w:sz w:val="32"/>
          <w:szCs w:val="32"/>
        </w:rPr>
      </w:pPr>
      <w:bookmarkStart w:id="59" w:name="_Toc15377224"/>
      <w:r>
        <w:rPr>
          <w:rFonts w:hint="eastAsia" w:ascii="仿宋" w:hAnsi="仿宋" w:eastAsia="仿宋"/>
          <w:b/>
          <w:color w:val="auto"/>
          <w:sz w:val="32"/>
          <w:szCs w:val="32"/>
        </w:rPr>
        <w:t>（三）国有资产占有使用情况</w:t>
      </w:r>
      <w:bookmarkEnd w:id="59"/>
    </w:p>
    <w:p>
      <w:pPr>
        <w:autoSpaceDE w:val="0"/>
        <w:autoSpaceDN w:val="0"/>
        <w:adjustRightInd w:val="0"/>
        <w:spacing w:line="360"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rPr>
        <w:t>21年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日，县医保局共有车辆0辆，单价</w:t>
      </w:r>
      <w:r>
        <w:rPr>
          <w:rFonts w:ascii="仿宋_GB2312" w:eastAsia="仿宋_GB2312"/>
          <w:color w:val="auto"/>
          <w:sz w:val="32"/>
          <w:szCs w:val="32"/>
        </w:rPr>
        <w:t>50</w:t>
      </w:r>
      <w:r>
        <w:rPr>
          <w:rFonts w:hint="eastAsia" w:ascii="仿宋_GB2312" w:eastAsia="仿宋_GB2312"/>
          <w:color w:val="auto"/>
          <w:sz w:val="32"/>
          <w:szCs w:val="32"/>
        </w:rPr>
        <w:t>万元以上通用设备0台（套），单价</w:t>
      </w:r>
      <w:r>
        <w:rPr>
          <w:rFonts w:ascii="仿宋_GB2312" w:eastAsia="仿宋_GB2312"/>
          <w:color w:val="auto"/>
          <w:sz w:val="32"/>
          <w:szCs w:val="32"/>
        </w:rPr>
        <w:t>100</w:t>
      </w:r>
      <w:r>
        <w:rPr>
          <w:rFonts w:hint="eastAsia" w:ascii="仿宋_GB2312" w:eastAsia="仿宋_GB2312"/>
          <w:color w:val="auto"/>
          <w:sz w:val="32"/>
          <w:szCs w:val="32"/>
        </w:rPr>
        <w:t>万元以上专用设备0台（套）。</w:t>
      </w:r>
    </w:p>
    <w:p>
      <w:pPr>
        <w:autoSpaceDE w:val="0"/>
        <w:autoSpaceDN w:val="0"/>
        <w:adjustRightInd w:val="0"/>
        <w:spacing w:line="360" w:lineRule="auto"/>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部门在2021年度预算编制阶段，组织对城乡残疾人医疗保险资助金项目、困难群众社会保险个人缴费代缴资金（医疗保险部分）项目、医疗救助资金项目、基层医疗机构业务网络通信费项目等9个项目开展了预算事前绩效评估，对9个项目编制了绩效目标，预算执行过程中，选取9个项目开展绩效监控，年终执行完毕后，对9个项目开展了绩效自评。同时，本部门对2021年部门整体开展绩效自评，《盐边县医疗保障局2021年部门整体绩效评价报告》见附件（第四部分）。</w:t>
      </w:r>
    </w:p>
    <w:p>
      <w:pPr>
        <w:widowControl/>
        <w:spacing w:line="360" w:lineRule="auto"/>
        <w:jc w:val="left"/>
        <w:rPr>
          <w:rFonts w:ascii="仿宋_GB2312" w:eastAsia="仿宋_GB2312"/>
          <w:b/>
          <w:color w:val="auto"/>
          <w:sz w:val="32"/>
          <w:szCs w:val="32"/>
        </w:rPr>
      </w:pPr>
      <w:r>
        <w:rPr>
          <w:rFonts w:ascii="仿宋_GB2312" w:eastAsia="仿宋_GB2312"/>
          <w:b/>
          <w:color w:val="auto"/>
          <w:sz w:val="32"/>
          <w:szCs w:val="32"/>
        </w:rPr>
        <w:br w:type="page"/>
      </w:r>
    </w:p>
    <w:p>
      <w:pPr>
        <w:numPr>
          <w:ilvl w:val="0"/>
          <w:numId w:val="3"/>
        </w:numPr>
        <w:spacing w:line="360" w:lineRule="auto"/>
        <w:ind w:firstLine="660" w:firstLineChars="150"/>
        <w:jc w:val="center"/>
        <w:outlineLvl w:val="0"/>
        <w:rPr>
          <w:rStyle w:val="25"/>
          <w:rFonts w:ascii="黑体" w:hAnsi="黑体" w:eastAsia="黑体"/>
          <w:b w:val="0"/>
          <w:color w:val="auto"/>
        </w:rPr>
      </w:pPr>
      <w:bookmarkStart w:id="60" w:name="_Toc15377225"/>
      <w:bookmarkStart w:id="61" w:name="_Toc15396613"/>
      <w:r>
        <w:rPr>
          <w:rFonts w:hint="eastAsia" w:ascii="黑体" w:hAnsi="黑体" w:eastAsia="黑体"/>
          <w:color w:val="auto"/>
          <w:sz w:val="44"/>
          <w:szCs w:val="44"/>
        </w:rPr>
        <w:t>名</w:t>
      </w:r>
      <w:r>
        <w:rPr>
          <w:rStyle w:val="25"/>
          <w:rFonts w:hint="eastAsia" w:ascii="黑体" w:hAnsi="黑体" w:eastAsia="黑体"/>
          <w:b w:val="0"/>
          <w:color w:val="auto"/>
        </w:rPr>
        <w:t>词解释</w:t>
      </w:r>
      <w:bookmarkEnd w:id="60"/>
      <w:bookmarkEnd w:id="61"/>
    </w:p>
    <w:p>
      <w:pPr>
        <w:spacing w:line="360" w:lineRule="auto"/>
        <w:jc w:val="left"/>
        <w:rPr>
          <w:rFonts w:ascii="宋体"/>
          <w:b/>
          <w:color w:val="auto"/>
          <w:sz w:val="44"/>
          <w:szCs w:val="44"/>
        </w:rPr>
      </w:pPr>
    </w:p>
    <w:p>
      <w:pPr>
        <w:pStyle w:val="23"/>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3"/>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使用非财政拨款结余：指事业单位使用以前年度积累的非财政拨款结余弥补当年收支差额的金额。</w:t>
      </w:r>
    </w:p>
    <w:p>
      <w:pPr>
        <w:pStyle w:val="23"/>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3"/>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年末结转和结余：指单位按有关规定结转到下年或以后年度继续使用的资金。</w:t>
      </w:r>
    </w:p>
    <w:p>
      <w:pPr>
        <w:pStyle w:val="23"/>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.社会保障和就业支出（类）人力资源和社会保障管理事务（款）一般行政管理事务（项）：指反映行政单位（包括实行公务员管理的事业单位）未单独设置项级科目的其他项目支出。</w:t>
      </w:r>
    </w:p>
    <w:p>
      <w:pPr>
        <w:pStyle w:val="23"/>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.社会保障和就业支出（类）人力资源和社会保障管理事务（款）其他人力资源和社会保障管理事务支出（项）：指其他用于人力资源和社会保障管理事务方面的支出。</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.社会保障和就业（类）行政事业单位养老支出（款）机关事业单位基本养老保险缴费支出（项）</w:t>
      </w:r>
      <w:r>
        <w:rPr>
          <w:rFonts w:hint="eastAsia" w:ascii="仿宋_GB2312" w:eastAsia="仿宋_GB2312"/>
          <w:color w:val="auto"/>
          <w:sz w:val="32"/>
          <w:szCs w:val="32"/>
          <w:lang w:eastAsia="zh-CN"/>
        </w:rPr>
        <w:t>：</w:t>
      </w:r>
      <w:r>
        <w:rPr>
          <w:rFonts w:hint="eastAsia" w:ascii="仿宋_GB2312" w:eastAsia="仿宋_GB2312"/>
          <w:color w:val="auto"/>
          <w:sz w:val="32"/>
          <w:szCs w:val="32"/>
        </w:rPr>
        <w:t>指反映机关事业单位实施养老保险制度由单位缴纳的基本养老保险费支出。</w:t>
      </w:r>
    </w:p>
    <w:p>
      <w:pPr>
        <w:pStyle w:val="23"/>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.社会保障和就业支出（类）财政代缴社会保险费支出（款）财政代缴其他社会保险费支出（项）：指反映在政策规定范围内，财政为生活困难人员缴纳的其他社会保险费支出。</w:t>
      </w:r>
    </w:p>
    <w:p>
      <w:pPr>
        <w:pStyle w:val="23"/>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.卫生健康支出（类）卫生健康管理事务（款）一般行政管理事务（项）</w:t>
      </w:r>
      <w:r>
        <w:rPr>
          <w:rFonts w:hint="eastAsia" w:ascii="仿宋_GB2312" w:eastAsia="仿宋_GB2312"/>
          <w:color w:val="auto"/>
          <w:sz w:val="32"/>
          <w:szCs w:val="32"/>
          <w:lang w:eastAsia="zh-CN"/>
        </w:rPr>
        <w:t>：</w:t>
      </w:r>
      <w:r>
        <w:rPr>
          <w:rFonts w:hint="eastAsia" w:ascii="仿宋_GB2312" w:eastAsia="仿宋_GB2312"/>
          <w:color w:val="auto"/>
          <w:sz w:val="32"/>
          <w:szCs w:val="32"/>
        </w:rPr>
        <w:t>指反映行政单位（包括实行公务员管理的事业单位）未单独设置项级科目的其他项目支出。</w:t>
      </w:r>
    </w:p>
    <w:p>
      <w:pPr>
        <w:pStyle w:val="23"/>
        <w:spacing w:line="360" w:lineRule="auto"/>
        <w:ind w:firstLine="640" w:firstLineChars="200"/>
        <w:rPr>
          <w:rFonts w:hAnsi="仿宋"/>
          <w:b/>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.卫生健康支出（类）卫生健康管理事务（款）其他卫生健康管理事务支出（项）</w:t>
      </w:r>
      <w:r>
        <w:rPr>
          <w:rFonts w:hint="eastAsia" w:ascii="仿宋_GB2312" w:eastAsia="仿宋_GB2312"/>
          <w:color w:val="auto"/>
          <w:sz w:val="32"/>
          <w:szCs w:val="32"/>
          <w:lang w:eastAsia="zh-CN"/>
        </w:rPr>
        <w:t>：</w:t>
      </w:r>
      <w:r>
        <w:rPr>
          <w:rFonts w:hint="eastAsia" w:ascii="仿宋_GB2312" w:eastAsia="仿宋_GB2312"/>
          <w:color w:val="auto"/>
          <w:sz w:val="32"/>
          <w:szCs w:val="32"/>
        </w:rPr>
        <w:t>指反映其他用于卫生健康管理事务方面的支出。</w:t>
      </w:r>
    </w:p>
    <w:p>
      <w:pPr>
        <w:spacing w:line="360" w:lineRule="auto"/>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.卫生健康支出（类）行政事业单位医疗（款）行政单位医疗（项）</w:t>
      </w:r>
      <w:r>
        <w:rPr>
          <w:rFonts w:hint="eastAsia" w:ascii="仿宋_GB2312" w:hAnsi="Calibri" w:eastAsia="仿宋_GB2312" w:cs="仿宋"/>
          <w:color w:val="auto"/>
          <w:kern w:val="0"/>
          <w:sz w:val="32"/>
          <w:szCs w:val="32"/>
          <w:lang w:eastAsia="zh-CN"/>
        </w:rPr>
        <w:t>：</w:t>
      </w:r>
      <w:r>
        <w:rPr>
          <w:rFonts w:hint="eastAsia" w:ascii="仿宋_GB2312" w:hAnsi="Calibri" w:eastAsia="仿宋_GB2312" w:cs="仿宋"/>
          <w:color w:val="auto"/>
          <w:kern w:val="0"/>
          <w:sz w:val="32"/>
          <w:szCs w:val="32"/>
        </w:rPr>
        <w:t>指反映财政部门安排的行政单位（包括实行公务员管理的事业单位）基本医疗保险缴费经费，未参加医疗保险的行政单位的公费医疗经费，按国家规定享受离休人员、红军老战士待遇人员的医疗经费。</w:t>
      </w:r>
    </w:p>
    <w:p>
      <w:pPr>
        <w:spacing w:line="360" w:lineRule="auto"/>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3</w:t>
      </w:r>
      <w:r>
        <w:rPr>
          <w:rFonts w:hint="eastAsia" w:ascii="仿宋_GB2312" w:hAnsi="Calibri" w:eastAsia="仿宋_GB2312" w:cs="仿宋"/>
          <w:color w:val="auto"/>
          <w:kern w:val="0"/>
          <w:sz w:val="32"/>
          <w:szCs w:val="32"/>
        </w:rPr>
        <w:t>.卫生健康支出（类）行政事业单位医疗（款）公务员医疗补助（项）</w:t>
      </w:r>
      <w:r>
        <w:rPr>
          <w:rFonts w:hint="eastAsia" w:ascii="仿宋_GB2312" w:hAnsi="Calibri" w:eastAsia="仿宋_GB2312" w:cs="仿宋"/>
          <w:color w:val="auto"/>
          <w:kern w:val="0"/>
          <w:sz w:val="32"/>
          <w:szCs w:val="32"/>
          <w:lang w:eastAsia="zh-CN"/>
        </w:rPr>
        <w:t>：</w:t>
      </w:r>
      <w:r>
        <w:rPr>
          <w:rFonts w:hint="eastAsia" w:ascii="仿宋_GB2312" w:hAnsi="Calibri" w:eastAsia="仿宋_GB2312" w:cs="仿宋"/>
          <w:color w:val="auto"/>
          <w:kern w:val="0"/>
          <w:sz w:val="32"/>
          <w:szCs w:val="32"/>
        </w:rPr>
        <w:t>指反映财政部门安排的公务员医疗补助经费。</w:t>
      </w:r>
    </w:p>
    <w:p>
      <w:pPr>
        <w:spacing w:line="360" w:lineRule="auto"/>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4</w:t>
      </w:r>
      <w:r>
        <w:rPr>
          <w:rFonts w:hint="eastAsia" w:ascii="仿宋_GB2312" w:hAnsi="Calibri" w:eastAsia="仿宋_GB2312" w:cs="仿宋"/>
          <w:color w:val="auto"/>
          <w:kern w:val="0"/>
          <w:sz w:val="32"/>
          <w:szCs w:val="32"/>
        </w:rPr>
        <w:t>.卫生健康支出（类）医疗救助（款）城乡医疗救助（项）</w:t>
      </w:r>
      <w:r>
        <w:rPr>
          <w:rFonts w:hint="eastAsia" w:ascii="仿宋_GB2312" w:hAnsi="Calibri" w:eastAsia="仿宋_GB2312" w:cs="仿宋"/>
          <w:color w:val="auto"/>
          <w:kern w:val="0"/>
          <w:sz w:val="32"/>
          <w:szCs w:val="32"/>
          <w:lang w:eastAsia="zh-CN"/>
        </w:rPr>
        <w:t>：</w:t>
      </w:r>
      <w:r>
        <w:rPr>
          <w:rFonts w:hint="eastAsia" w:ascii="仿宋_GB2312" w:eastAsia="仿宋_GB2312"/>
          <w:color w:val="auto"/>
          <w:sz w:val="32"/>
          <w:szCs w:val="32"/>
        </w:rPr>
        <w:t>指反映财政用于城乡困难群众医疗救助的支出</w:t>
      </w:r>
      <w:r>
        <w:rPr>
          <w:rFonts w:hint="eastAsia" w:ascii="仿宋_GB2312" w:hAnsi="Calibri" w:eastAsia="仿宋_GB2312" w:cs="仿宋"/>
          <w:color w:val="auto"/>
          <w:kern w:val="0"/>
          <w:sz w:val="32"/>
          <w:szCs w:val="32"/>
        </w:rPr>
        <w:t>。</w:t>
      </w:r>
    </w:p>
    <w:p>
      <w:pPr>
        <w:spacing w:line="360" w:lineRule="auto"/>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5</w:t>
      </w:r>
      <w:r>
        <w:rPr>
          <w:rFonts w:hint="eastAsia" w:ascii="仿宋_GB2312" w:hAnsi="Calibri" w:eastAsia="仿宋_GB2312" w:cs="仿宋"/>
          <w:color w:val="auto"/>
          <w:kern w:val="0"/>
          <w:sz w:val="32"/>
          <w:szCs w:val="32"/>
        </w:rPr>
        <w:t>.卫生健康支出（类）医疗保障管理事务（款）行政运行（项）：</w:t>
      </w:r>
      <w:r>
        <w:rPr>
          <w:rFonts w:hint="eastAsia" w:ascii="仿宋_GB2312" w:eastAsia="仿宋_GB2312"/>
          <w:color w:val="auto"/>
          <w:sz w:val="32"/>
          <w:szCs w:val="32"/>
        </w:rPr>
        <w:t>指反映行政单位（包括实行公务员管理的事业单位）的基本支出。</w:t>
      </w:r>
    </w:p>
    <w:p>
      <w:pPr>
        <w:spacing w:line="360" w:lineRule="auto"/>
        <w:ind w:firstLine="640" w:firstLineChars="200"/>
        <w:rPr>
          <w:rFonts w:ascii="仿宋_GB2312" w:eastAsia="仿宋_GB2312"/>
          <w:color w:val="auto"/>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.卫生健康支出（类）医疗保障管理事务（款）其他医疗保障管理事务支出（项）：</w:t>
      </w:r>
      <w:r>
        <w:rPr>
          <w:rFonts w:hint="eastAsia" w:ascii="仿宋_GB2312" w:eastAsia="仿宋_GB2312"/>
          <w:color w:val="auto"/>
          <w:sz w:val="32"/>
          <w:szCs w:val="32"/>
        </w:rPr>
        <w:t>指反映其他用于医疗保障管理事务方面的支出。</w:t>
      </w:r>
    </w:p>
    <w:p>
      <w:pPr>
        <w:pStyle w:val="2"/>
        <w:spacing w:before="93" w:line="360" w:lineRule="auto"/>
        <w:ind w:firstLine="640"/>
        <w:rPr>
          <w:rFonts w:hAnsi="Calibri" w:cs="仿宋"/>
          <w:color w:val="auto"/>
          <w:sz w:val="32"/>
          <w:szCs w:val="32"/>
        </w:rPr>
      </w:pPr>
      <w:r>
        <w:rPr>
          <w:rFonts w:hint="eastAsia" w:hAnsi="Calibri" w:cs="仿宋"/>
          <w:color w:val="auto"/>
          <w:sz w:val="32"/>
          <w:szCs w:val="32"/>
          <w:lang w:val="en-US" w:eastAsia="zh-CN"/>
        </w:rPr>
        <w:t>17</w:t>
      </w:r>
      <w:r>
        <w:rPr>
          <w:rFonts w:hint="eastAsia" w:hAnsi="Calibri" w:cs="仿宋"/>
          <w:color w:val="auto"/>
          <w:sz w:val="32"/>
          <w:szCs w:val="32"/>
        </w:rPr>
        <w:t>.农林水支出（类）扶贫（款）其他扶贫支出（项）：指其他用于扶贫方面的支出。</w:t>
      </w:r>
    </w:p>
    <w:p>
      <w:pPr>
        <w:spacing w:line="360" w:lineRule="auto"/>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18</w:t>
      </w:r>
      <w:r>
        <w:rPr>
          <w:rFonts w:hint="eastAsia" w:ascii="仿宋_GB2312" w:hAnsi="Calibri" w:eastAsia="仿宋_GB2312" w:cs="仿宋"/>
          <w:color w:val="auto"/>
          <w:kern w:val="0"/>
          <w:sz w:val="32"/>
          <w:szCs w:val="32"/>
        </w:rPr>
        <w:t>.住房保障支出（类）住房改革支出（款）住房公积金（项）</w:t>
      </w:r>
      <w:r>
        <w:rPr>
          <w:rFonts w:hint="eastAsia" w:ascii="仿宋_GB2312" w:hAnsi="Calibri" w:eastAsia="仿宋_GB2312" w:cs="仿宋"/>
          <w:color w:val="auto"/>
          <w:kern w:val="0"/>
          <w:sz w:val="32"/>
          <w:szCs w:val="32"/>
          <w:lang w:eastAsia="zh-CN"/>
        </w:rPr>
        <w:t>：</w:t>
      </w:r>
      <w:r>
        <w:rPr>
          <w:rFonts w:hint="eastAsia" w:ascii="仿宋_GB2312" w:eastAsia="仿宋_GB2312"/>
          <w:color w:val="auto"/>
          <w:sz w:val="32"/>
          <w:szCs w:val="32"/>
        </w:rPr>
        <w:t>指反映行政事业单位按人力资源和社会保障部、财政部规定的基本工资和津贴补贴以及规定比例为职工缴纳的住房公积金。</w:t>
      </w:r>
    </w:p>
    <w:p>
      <w:pPr>
        <w:pStyle w:val="23"/>
        <w:spacing w:line="360" w:lineRule="auto"/>
        <w:ind w:firstLine="640" w:firstLineChars="200"/>
        <w:rPr>
          <w:rFonts w:hAnsi="仿宋"/>
          <w:b/>
          <w:color w:val="auto"/>
          <w:sz w:val="32"/>
          <w:szCs w:val="32"/>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rPr>
        <w:t>.其他支出（类）其他支出（款）其他支出（项）</w:t>
      </w:r>
      <w:r>
        <w:rPr>
          <w:rFonts w:hint="eastAsia" w:ascii="仿宋_GB2312" w:eastAsia="仿宋_GB2312"/>
          <w:color w:val="auto"/>
          <w:sz w:val="32"/>
          <w:szCs w:val="32"/>
          <w:lang w:eastAsia="zh-CN"/>
        </w:rPr>
        <w:t>：</w:t>
      </w:r>
      <w:r>
        <w:rPr>
          <w:rFonts w:hint="eastAsia" w:ascii="仿宋_GB2312" w:eastAsia="仿宋_GB2312"/>
          <w:color w:val="auto"/>
          <w:sz w:val="32"/>
          <w:szCs w:val="32"/>
        </w:rPr>
        <w:t>指反映其他不能划分到具体功能科目中的支出项目。</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color w:val="auto"/>
          <w:sz w:val="32"/>
          <w:szCs w:val="32"/>
        </w:rPr>
        <w:t>基本支出：指为保障机构正常运转、完成日常工作任务而发生的人员支出和公用支出。</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21</w:t>
      </w:r>
      <w:r>
        <w:rPr>
          <w:rFonts w:ascii="仿宋_GB2312" w:eastAsia="仿宋_GB2312"/>
          <w:color w:val="auto"/>
          <w:sz w:val="32"/>
          <w:szCs w:val="32"/>
        </w:rPr>
        <w:t>.</w:t>
      </w:r>
      <w:r>
        <w:rPr>
          <w:rFonts w:hint="eastAsia" w:ascii="仿宋_GB2312" w:eastAsia="仿宋_GB2312"/>
          <w:color w:val="auto"/>
          <w:sz w:val="32"/>
          <w:szCs w:val="32"/>
        </w:rPr>
        <w:t>项目支出：指在基本支出之外为完成特定行政任务和事业发展目标所发生的支出。</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22</w:t>
      </w:r>
      <w:r>
        <w:rPr>
          <w:rFonts w:ascii="仿宋_GB2312" w:eastAsia="仿宋_GB2312"/>
          <w:color w:val="auto"/>
          <w:sz w:val="32"/>
          <w:szCs w:val="32"/>
        </w:rPr>
        <w:t>.</w:t>
      </w:r>
      <w:r>
        <w:rPr>
          <w:rFonts w:hint="eastAsia" w:ascii="仿宋_GB2312" w:eastAsia="仿宋_GB2312"/>
          <w:color w:val="auto"/>
          <w:sz w:val="32"/>
          <w:szCs w:val="32"/>
        </w:rPr>
        <w:t>经营支出：指事业单位在专业业务活动及其辅助活动之外开展非独立核算经营活动发生的支出。</w:t>
      </w:r>
    </w:p>
    <w:p>
      <w:pPr>
        <w:pStyle w:val="23"/>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23</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24</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outlineLvl w:val="0"/>
        <w:rPr>
          <w:rStyle w:val="25"/>
          <w:rFonts w:ascii="黑体" w:hAnsi="黑体" w:eastAsia="黑体"/>
          <w:b w:val="0"/>
          <w:color w:val="auto"/>
        </w:rPr>
      </w:pPr>
      <w:bookmarkStart w:id="62" w:name="_Toc15377226"/>
      <w:r>
        <w:rPr>
          <w:rFonts w:ascii="宋体"/>
          <w:b/>
          <w:color w:val="auto"/>
          <w:sz w:val="44"/>
          <w:szCs w:val="44"/>
        </w:rPr>
        <w:br w:type="page"/>
      </w:r>
      <w:bookmarkStart w:id="63" w:name="_Toc15396614"/>
      <w:r>
        <w:rPr>
          <w:rFonts w:hint="eastAsia" w:ascii="黑体" w:hAnsi="黑体" w:eastAsia="黑体"/>
          <w:color w:val="auto"/>
          <w:sz w:val="44"/>
          <w:szCs w:val="44"/>
        </w:rPr>
        <w:t>第</w:t>
      </w:r>
      <w:r>
        <w:rPr>
          <w:rStyle w:val="25"/>
          <w:rFonts w:hint="eastAsia" w:ascii="黑体" w:hAnsi="黑体" w:eastAsia="黑体"/>
          <w:b w:val="0"/>
          <w:color w:val="auto"/>
        </w:rPr>
        <w:t>四部分 附件</w:t>
      </w:r>
      <w:bookmarkEnd w:id="63"/>
    </w:p>
    <w:p>
      <w:pPr>
        <w:spacing w:line="360" w:lineRule="auto"/>
        <w:jc w:val="left"/>
        <w:outlineLvl w:val="0"/>
        <w:rPr>
          <w:rFonts w:ascii="方正小标宋简体" w:hAnsi="方正小标宋简体" w:eastAsia="方正小标宋简体" w:cs="方正小标宋简体"/>
          <w:color w:val="auto"/>
          <w:sz w:val="44"/>
          <w:szCs w:val="44"/>
        </w:rPr>
      </w:pPr>
      <w:r>
        <w:rPr>
          <w:rFonts w:hint="eastAsia" w:ascii="黑体" w:hAnsi="黑体" w:eastAsia="黑体" w:cs="黑体"/>
          <w:color w:val="auto"/>
          <w:sz w:val="32"/>
          <w:szCs w:val="32"/>
        </w:rPr>
        <w:t>附件</w:t>
      </w:r>
    </w:p>
    <w:p>
      <w:pPr>
        <w:spacing w:line="360" w:lineRule="auto"/>
        <w:jc w:val="center"/>
        <w:rPr>
          <w:rFonts w:hint="eastAsia" w:ascii="方正小标宋简体" w:hAnsi="宋体" w:eastAsia="方正小标宋简体"/>
          <w:color w:val="auto"/>
          <w:kern w:val="0"/>
          <w:sz w:val="40"/>
          <w:szCs w:val="44"/>
        </w:rPr>
      </w:pPr>
      <w:r>
        <w:rPr>
          <w:rFonts w:hint="eastAsia" w:ascii="方正小标宋简体" w:hAnsi="宋体" w:eastAsia="方正小标宋简体"/>
          <w:color w:val="auto"/>
          <w:kern w:val="0"/>
          <w:sz w:val="40"/>
          <w:szCs w:val="44"/>
        </w:rPr>
        <w:t>2021年盐边县医疗保障局</w:t>
      </w:r>
    </w:p>
    <w:p>
      <w:pPr>
        <w:spacing w:line="360" w:lineRule="auto"/>
        <w:jc w:val="center"/>
        <w:rPr>
          <w:rFonts w:ascii="方正小标宋简体" w:hAnsi="宋体" w:eastAsia="方正小标宋简体"/>
          <w:color w:val="auto"/>
          <w:kern w:val="0"/>
          <w:sz w:val="40"/>
          <w:szCs w:val="44"/>
          <w:lang w:val="zh-CN"/>
        </w:rPr>
      </w:pPr>
      <w:r>
        <w:rPr>
          <w:rFonts w:hint="eastAsia" w:ascii="方正小标宋简体" w:hAnsi="宋体" w:eastAsia="方正小标宋简体"/>
          <w:color w:val="auto"/>
          <w:kern w:val="0"/>
          <w:sz w:val="40"/>
          <w:szCs w:val="44"/>
        </w:rPr>
        <w:t>整体绩效评价报告</w:t>
      </w:r>
    </w:p>
    <w:p>
      <w:pPr>
        <w:widowControl/>
        <w:adjustRightInd w:val="0"/>
        <w:snapToGrid w:val="0"/>
        <w:spacing w:line="360" w:lineRule="auto"/>
        <w:ind w:firstLine="480" w:firstLineChars="200"/>
        <w:contextualSpacing/>
        <w:jc w:val="left"/>
        <w:rPr>
          <w:rFonts w:ascii="黑体" w:hAnsi="宋体" w:eastAsia="黑体" w:cs="宋体"/>
          <w:color w:val="auto"/>
          <w:kern w:val="0"/>
          <w:sz w:val="24"/>
          <w:szCs w:val="32"/>
          <w:shd w:val="clear" w:color="auto" w:fill="FFFFFF"/>
        </w:rPr>
      </w:pPr>
    </w:p>
    <w:p>
      <w:pPr>
        <w:widowControl/>
        <w:adjustRightInd w:val="0"/>
        <w:snapToGrid w:val="0"/>
        <w:spacing w:line="360" w:lineRule="auto"/>
        <w:ind w:firstLine="640" w:firstLineChars="200"/>
        <w:contextualSpacing/>
        <w:jc w:val="left"/>
        <w:rPr>
          <w:rFonts w:ascii="黑体" w:hAnsi="宋体" w:eastAsia="黑体" w:cs="宋体"/>
          <w:color w:val="auto"/>
          <w:kern w:val="0"/>
          <w:sz w:val="32"/>
          <w:szCs w:val="32"/>
          <w:shd w:val="clear" w:color="auto" w:fill="FFFFFF"/>
          <w:lang w:val="zh-CN"/>
        </w:rPr>
      </w:pPr>
      <w:r>
        <w:rPr>
          <w:rFonts w:hint="eastAsia" w:ascii="黑体" w:hAnsi="宋体" w:eastAsia="黑体" w:cs="宋体"/>
          <w:color w:val="auto"/>
          <w:kern w:val="0"/>
          <w:sz w:val="32"/>
          <w:szCs w:val="32"/>
          <w:shd w:val="clear" w:color="auto" w:fill="FFFFFF"/>
        </w:rPr>
        <w:t>一、</w:t>
      </w:r>
      <w:r>
        <w:rPr>
          <w:rFonts w:hint="eastAsia" w:ascii="黑体" w:hAnsi="宋体" w:eastAsia="黑体" w:cs="宋体"/>
          <w:color w:val="auto"/>
          <w:kern w:val="0"/>
          <w:sz w:val="32"/>
          <w:szCs w:val="32"/>
          <w:shd w:val="clear" w:color="auto" w:fill="FFFFFF"/>
          <w:lang w:val="zh-CN"/>
        </w:rPr>
        <w:t>部门（单位）概况</w:t>
      </w:r>
    </w:p>
    <w:p>
      <w:pPr>
        <w:widowControl/>
        <w:adjustRightInd w:val="0"/>
        <w:snapToGrid w:val="0"/>
        <w:spacing w:line="360" w:lineRule="auto"/>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（一）机构组成。</w:t>
      </w:r>
    </w:p>
    <w:p>
      <w:pPr>
        <w:widowControl/>
        <w:adjustRightInd w:val="0"/>
        <w:snapToGrid w:val="0"/>
        <w:spacing w:line="360" w:lineRule="auto"/>
        <w:ind w:firstLine="640" w:firstLineChars="200"/>
        <w:contextualSpacing/>
        <w:jc w:val="left"/>
        <w:rPr>
          <w:color w:val="auto"/>
          <w:lang w:val="zh-CN"/>
        </w:rPr>
      </w:pPr>
      <w:r>
        <w:rPr>
          <w:rFonts w:hint="eastAsia" w:ascii="仿宋_GB2312" w:hAnsi="宋体" w:eastAsia="仿宋_GB2312" w:cs="仿宋_GB2312"/>
          <w:color w:val="auto"/>
          <w:kern w:val="0"/>
          <w:sz w:val="32"/>
          <w:szCs w:val="32"/>
          <w:shd w:val="clear" w:color="auto" w:fill="FFFFFF"/>
          <w:lang w:val="zh-CN"/>
        </w:rPr>
        <w:t>盐边县医疗保障局（简称县医保局）是盐边县人民政府工作部门，为正科级，下属二级单位盐边县医疗保障事务中心为参照公务员法管理的事业单位。县医保局内设办公室和业务与政策法规股</w:t>
      </w:r>
      <w:r>
        <w:rPr>
          <w:rFonts w:hint="eastAsia" w:ascii="仿宋_GB2312" w:hAnsi="宋体" w:eastAsia="仿宋_GB2312" w:cs="仿宋_GB2312"/>
          <w:color w:val="auto"/>
          <w:kern w:val="0"/>
          <w:sz w:val="32"/>
          <w:szCs w:val="32"/>
          <w:shd w:val="clear" w:color="auto" w:fill="FFFFFF"/>
        </w:rPr>
        <w:t>2个机构。</w:t>
      </w:r>
    </w:p>
    <w:p>
      <w:pPr>
        <w:widowControl/>
        <w:numPr>
          <w:ilvl w:val="0"/>
          <w:numId w:val="4"/>
        </w:numPr>
        <w:adjustRightInd w:val="0"/>
        <w:snapToGrid w:val="0"/>
        <w:spacing w:line="360" w:lineRule="auto"/>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机构职能。</w:t>
      </w:r>
    </w:p>
    <w:p>
      <w:pPr>
        <w:widowControl/>
        <w:adjustRightInd w:val="0"/>
        <w:snapToGrid w:val="0"/>
        <w:spacing w:line="360" w:lineRule="auto"/>
        <w:ind w:firstLine="640" w:firstLineChars="200"/>
        <w:jc w:val="left"/>
        <w:rPr>
          <w:rFonts w:ascii="仿宋_GB2312" w:hAnsi="宋体" w:eastAsia="仿宋_GB2312" w:cs="仿宋_GB2312"/>
          <w:color w:val="auto"/>
          <w:kern w:val="0"/>
          <w:sz w:val="32"/>
          <w:szCs w:val="32"/>
          <w:shd w:val="clear" w:color="auto" w:fill="FFFFFF"/>
        </w:rPr>
      </w:pPr>
      <w:r>
        <w:rPr>
          <w:rFonts w:hint="eastAsia" w:ascii="仿宋_GB2312" w:hAnsi="宋体" w:eastAsia="仿宋_GB2312" w:cs="仿宋_GB2312"/>
          <w:color w:val="auto"/>
          <w:kern w:val="0"/>
          <w:sz w:val="32"/>
          <w:szCs w:val="32"/>
          <w:shd w:val="clear" w:color="auto" w:fill="FFFFFF"/>
        </w:rPr>
        <w:t>1</w:t>
      </w:r>
      <w:r>
        <w:rPr>
          <w:rFonts w:hint="eastAsia" w:ascii="仿宋_GB2312" w:hAnsi="宋体" w:eastAsia="仿宋_GB2312" w:cs="仿宋_GB2312"/>
          <w:color w:val="auto"/>
          <w:kern w:val="0"/>
          <w:sz w:val="32"/>
          <w:szCs w:val="32"/>
          <w:shd w:val="clear" w:color="auto" w:fill="FFFFFF"/>
          <w:lang w:val="en-US" w:eastAsia="zh-CN"/>
        </w:rPr>
        <w:t>.</w:t>
      </w:r>
      <w:r>
        <w:rPr>
          <w:rFonts w:hint="eastAsia" w:ascii="仿宋_GB2312" w:hAnsi="宋体" w:eastAsia="仿宋_GB2312" w:cs="仿宋_GB2312"/>
          <w:color w:val="auto"/>
          <w:kern w:val="0"/>
          <w:sz w:val="32"/>
          <w:szCs w:val="32"/>
          <w:shd w:val="clear" w:color="auto" w:fill="FFFFFF"/>
        </w:rPr>
        <w:t>办公室。负责文电、会务、档案、保密机要、机关安全、综治、维稳、信访、绩效管理、信息、政务公开、后勤保障等机关日常运转工作。承担史志编纂、财务资产、人事和离退休管理等工作。拟订医疗保障工作规划、年度工作计划和总结。承担机关和直属单位的机构编制、人事管理、教育培训、队伍建设、规范性文件合法性审查、财务、国有资产管理和对外合作交流等工作。负责机关和直属单位的党群工作。</w:t>
      </w:r>
    </w:p>
    <w:p>
      <w:pPr>
        <w:widowControl/>
        <w:adjustRightInd w:val="0"/>
        <w:snapToGrid w:val="0"/>
        <w:spacing w:line="360" w:lineRule="auto"/>
        <w:ind w:firstLine="640" w:firstLineChars="200"/>
        <w:contextualSpacing/>
        <w:jc w:val="left"/>
        <w:rPr>
          <w:color w:val="auto"/>
          <w:lang w:val="zh-CN"/>
        </w:rPr>
      </w:pPr>
      <w:r>
        <w:rPr>
          <w:rFonts w:hint="eastAsia" w:ascii="仿宋_GB2312" w:hAnsi="宋体" w:eastAsia="仿宋_GB2312" w:cs="仿宋_GB2312"/>
          <w:color w:val="auto"/>
          <w:kern w:val="0"/>
          <w:sz w:val="32"/>
          <w:szCs w:val="32"/>
          <w:shd w:val="clear" w:color="auto" w:fill="FFFFFF"/>
        </w:rPr>
        <w:t>2</w:t>
      </w:r>
      <w:r>
        <w:rPr>
          <w:rFonts w:hint="eastAsia" w:ascii="仿宋_GB2312" w:hAnsi="宋体" w:eastAsia="仿宋_GB2312" w:cs="仿宋_GB2312"/>
          <w:color w:val="auto"/>
          <w:kern w:val="0"/>
          <w:sz w:val="32"/>
          <w:szCs w:val="32"/>
          <w:shd w:val="clear" w:color="auto" w:fill="FFFFFF"/>
          <w:lang w:val="en-US" w:eastAsia="zh-CN"/>
        </w:rPr>
        <w:t>.</w:t>
      </w:r>
      <w:r>
        <w:rPr>
          <w:rFonts w:hint="eastAsia" w:ascii="仿宋_GB2312" w:hAnsi="宋体" w:eastAsia="仿宋_GB2312" w:cs="仿宋_GB2312"/>
          <w:color w:val="auto"/>
          <w:kern w:val="0"/>
          <w:sz w:val="32"/>
          <w:szCs w:val="32"/>
          <w:shd w:val="clear" w:color="auto" w:fill="FFFFFF"/>
        </w:rPr>
        <w:t>业务与政策法规股。组织实施医疗保障筹资和待遇政策、统筹城乡待遇标准、长期护理保险政策、基本医疗保险、大病保险、补充医疗保险、公务员医疗补助、医疗救助政策、异地就医等管理办法和结算政策、全市城乡统一的药品、医用耗材价格和医疗服务项目、医疗服务设施收费等政策、医疗保障基金监督管理制度、监督管理纳入医疗保障支付范围的医疗服务行为和医疗费用、规范医保经办业务、依法查处医疗保障领域违法违规行为。负责行政复议、行政诉讼、医疗保障各项统计报表与数据分析、上级和县级审计等部门对全县医疗保障系统的审计、检查相关工作。统筹推进多层次医疗保障体系建设和医保支付方式改革。建立健全医疗保障关系转移接续制度、价格信息监测制度、基金安全防控机制、相关信息发布和披露制度、医疗保障信用评价体系。指导管理全县医疗保障经办服务、医疗保障定点医药机构管理工作，组织执行全市经办服务规程，规范经办服务窗口建设，督促做好县级医疗保障经办机构内控管理和风险防范等工作。制定完善县级离休干部、六级以上革命伤残军人的医疗保障政策和特殊人群医疗照顾政策。与医疗保障相关部门在医疗、医保、医药、基金征缴等方面加强制度、政策衔接，建立沟通协商机制，协同推进改革，提高医疗资源使用效率和医疗保障水平。</w:t>
      </w:r>
    </w:p>
    <w:p>
      <w:pPr>
        <w:widowControl/>
        <w:adjustRightInd w:val="0"/>
        <w:snapToGrid w:val="0"/>
        <w:spacing w:line="360" w:lineRule="auto"/>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（三）人员概况。</w:t>
      </w:r>
    </w:p>
    <w:p>
      <w:pPr>
        <w:pStyle w:val="2"/>
        <w:spacing w:before="93" w:line="360" w:lineRule="auto"/>
        <w:ind w:firstLine="640" w:firstLineChars="200"/>
        <w:rPr>
          <w:color w:val="auto"/>
          <w:lang w:val="zh-CN"/>
        </w:rPr>
      </w:pPr>
      <w:r>
        <w:rPr>
          <w:rFonts w:hint="eastAsia" w:hAnsi="宋体" w:cs="仿宋_GB2312"/>
          <w:color w:val="auto"/>
          <w:sz w:val="32"/>
          <w:szCs w:val="32"/>
          <w:shd w:val="clear" w:color="auto" w:fill="FFFFFF"/>
        </w:rPr>
        <w:t>县医保局2021年行政编制3名，参公编制17名。2021年12月末，在职在编19人。</w:t>
      </w:r>
    </w:p>
    <w:p>
      <w:pPr>
        <w:widowControl/>
        <w:adjustRightInd w:val="0"/>
        <w:snapToGrid w:val="0"/>
        <w:spacing w:line="360" w:lineRule="auto"/>
        <w:ind w:firstLine="640" w:firstLineChars="200"/>
        <w:contextualSpacing/>
        <w:jc w:val="left"/>
        <w:rPr>
          <w:rFonts w:ascii="黑体" w:hAnsi="宋体" w:eastAsia="黑体" w:cs="宋体"/>
          <w:color w:val="auto"/>
          <w:kern w:val="0"/>
          <w:sz w:val="32"/>
          <w:szCs w:val="32"/>
          <w:shd w:val="clear" w:color="auto" w:fill="FFFFFF"/>
        </w:rPr>
      </w:pPr>
      <w:r>
        <w:rPr>
          <w:rFonts w:hint="eastAsia" w:ascii="黑体" w:hAnsi="宋体" w:eastAsia="黑体" w:cs="宋体"/>
          <w:color w:val="auto"/>
          <w:kern w:val="0"/>
          <w:sz w:val="32"/>
          <w:szCs w:val="32"/>
          <w:shd w:val="clear" w:color="auto" w:fill="FFFFFF"/>
        </w:rPr>
        <w:t>二、部门财政资金收支情况</w:t>
      </w:r>
    </w:p>
    <w:p>
      <w:pPr>
        <w:widowControl/>
        <w:adjustRightInd w:val="0"/>
        <w:snapToGrid w:val="0"/>
        <w:spacing w:line="360" w:lineRule="auto"/>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（一）部门财政资金收入情况。</w:t>
      </w:r>
    </w:p>
    <w:p>
      <w:pPr>
        <w:widowControl/>
        <w:adjustRightInd w:val="0"/>
        <w:snapToGrid w:val="0"/>
        <w:spacing w:line="360" w:lineRule="auto"/>
        <w:ind w:firstLine="640" w:firstLineChars="200"/>
        <w:contextualSpacing/>
        <w:jc w:val="left"/>
        <w:rPr>
          <w:color w:val="auto"/>
          <w:lang w:val="zh-CN"/>
        </w:rPr>
      </w:pPr>
      <w:r>
        <w:rPr>
          <w:rFonts w:hint="eastAsia" w:ascii="仿宋_GB2312" w:hAnsi="仿宋_GB2312" w:eastAsia="仿宋_GB2312" w:cs="仿宋_GB2312"/>
          <w:color w:val="auto"/>
          <w:sz w:val="32"/>
          <w:szCs w:val="32"/>
        </w:rPr>
        <w:t>2021年财政收入2136.91万元，其中财政拨款收入2129.91万元，其他收入7万元。基本收入302.23万元，其中人员经费收入272.79万元，公用经费收入29.44万元；项目收入1853.79万元。</w:t>
      </w:r>
    </w:p>
    <w:p>
      <w:pPr>
        <w:widowControl/>
        <w:adjustRightInd w:val="0"/>
        <w:snapToGrid w:val="0"/>
        <w:spacing w:line="360" w:lineRule="auto"/>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（二）部门财政资金支出情况。</w:t>
      </w:r>
    </w:p>
    <w:p>
      <w:pPr>
        <w:widowControl/>
        <w:adjustRightInd w:val="0"/>
        <w:snapToGrid w:val="0"/>
        <w:spacing w:line="360" w:lineRule="auto"/>
        <w:ind w:firstLine="640" w:firstLineChars="200"/>
        <w:contextualSpacing/>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2021年财政支出共2156.02万元。基本支出302.23万元，其中人员经费支出272.79万元，公用经费支出29.44万元；项目支出1853.79万元。</w:t>
      </w:r>
    </w:p>
    <w:p>
      <w:pPr>
        <w:widowControl/>
        <w:adjustRightInd w:val="0"/>
        <w:snapToGrid w:val="0"/>
        <w:spacing w:line="360" w:lineRule="auto"/>
        <w:ind w:firstLine="640" w:firstLineChars="200"/>
        <w:contextualSpacing/>
        <w:jc w:val="left"/>
        <w:rPr>
          <w:rFonts w:eastAsia="仿宋_GB2312"/>
          <w:color w:val="auto"/>
          <w:sz w:val="32"/>
          <w:szCs w:val="32"/>
        </w:rPr>
      </w:pPr>
      <w:r>
        <w:rPr>
          <w:rFonts w:eastAsia="仿宋_GB2312"/>
          <w:color w:val="auto"/>
          <w:sz w:val="32"/>
          <w:szCs w:val="32"/>
        </w:rPr>
        <w:t>（</w:t>
      </w:r>
      <w:r>
        <w:rPr>
          <w:rFonts w:hint="eastAsia" w:eastAsia="仿宋_GB2312"/>
          <w:color w:val="auto"/>
          <w:sz w:val="32"/>
          <w:szCs w:val="32"/>
        </w:rPr>
        <w:t>三</w:t>
      </w:r>
      <w:r>
        <w:rPr>
          <w:rFonts w:eastAsia="仿宋_GB2312"/>
          <w:color w:val="auto"/>
          <w:sz w:val="32"/>
          <w:szCs w:val="32"/>
        </w:rPr>
        <w:t>）财政资金</w:t>
      </w:r>
      <w:r>
        <w:rPr>
          <w:rFonts w:hint="eastAsia" w:eastAsia="仿宋_GB2312"/>
          <w:color w:val="auto"/>
          <w:sz w:val="32"/>
          <w:szCs w:val="32"/>
        </w:rPr>
        <w:t>结转结余</w:t>
      </w:r>
      <w:r>
        <w:rPr>
          <w:rFonts w:eastAsia="仿宋_GB2312"/>
          <w:color w:val="auto"/>
          <w:sz w:val="32"/>
          <w:szCs w:val="32"/>
        </w:rPr>
        <w:t>情况。</w:t>
      </w:r>
    </w:p>
    <w:p>
      <w:pPr>
        <w:widowControl/>
        <w:adjustRightInd w:val="0"/>
        <w:snapToGrid w:val="0"/>
        <w:spacing w:line="360" w:lineRule="auto"/>
        <w:ind w:firstLine="640" w:firstLineChars="200"/>
        <w:contextualSpacing/>
        <w:jc w:val="left"/>
        <w:rPr>
          <w:rFonts w:eastAsia="仿宋_GB2312"/>
          <w:color w:val="auto"/>
          <w:sz w:val="32"/>
          <w:szCs w:val="32"/>
        </w:rPr>
      </w:pPr>
      <w:r>
        <w:rPr>
          <w:rFonts w:hint="eastAsia" w:ascii="仿宋_GB2312" w:hAnsi="仿宋_GB2312" w:eastAsia="仿宋_GB2312" w:cs="仿宋_GB2312"/>
          <w:color w:val="auto"/>
          <w:sz w:val="32"/>
          <w:szCs w:val="32"/>
        </w:rPr>
        <w:t>结转结余资金19.11万元。其中财政应返还额度17.76万元，存量资金化解财政暂付款1.35万元。</w:t>
      </w:r>
    </w:p>
    <w:p>
      <w:pPr>
        <w:pStyle w:val="2"/>
        <w:spacing w:before="93" w:line="360" w:lineRule="auto"/>
        <w:rPr>
          <w:color w:val="auto"/>
          <w:lang w:val="zh-CN"/>
        </w:rPr>
      </w:pPr>
    </w:p>
    <w:p>
      <w:pPr>
        <w:widowControl/>
        <w:adjustRightInd w:val="0"/>
        <w:snapToGrid w:val="0"/>
        <w:spacing w:line="360" w:lineRule="auto"/>
        <w:ind w:firstLine="640" w:firstLineChars="200"/>
        <w:contextualSpacing/>
        <w:jc w:val="left"/>
        <w:rPr>
          <w:rFonts w:ascii="黑体" w:hAnsi="宋体" w:eastAsia="黑体" w:cs="宋体"/>
          <w:color w:val="auto"/>
          <w:kern w:val="0"/>
          <w:sz w:val="32"/>
          <w:szCs w:val="32"/>
          <w:shd w:val="clear" w:color="auto" w:fill="FFFFFF"/>
        </w:rPr>
      </w:pPr>
      <w:r>
        <w:rPr>
          <w:rFonts w:hint="eastAsia" w:ascii="黑体" w:hAnsi="宋体" w:eastAsia="黑体" w:cs="宋体"/>
          <w:color w:val="auto"/>
          <w:kern w:val="0"/>
          <w:sz w:val="32"/>
          <w:szCs w:val="32"/>
          <w:shd w:val="clear" w:color="auto" w:fill="FFFFFF"/>
        </w:rPr>
        <w:t>三、部门整体预算绩效管理情况</w:t>
      </w:r>
    </w:p>
    <w:p>
      <w:pPr>
        <w:widowControl/>
        <w:adjustRightInd w:val="0"/>
        <w:snapToGrid w:val="0"/>
        <w:spacing w:line="360" w:lineRule="auto"/>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（一）部门预算绩效管理。</w:t>
      </w:r>
    </w:p>
    <w:p>
      <w:pPr>
        <w:widowControl/>
        <w:adjustRightInd w:val="0"/>
        <w:snapToGrid w:val="0"/>
        <w:spacing w:line="360" w:lineRule="auto"/>
        <w:ind w:firstLine="640" w:firstLineChars="200"/>
        <w:contextualSpacing/>
        <w:jc w:val="left"/>
        <w:rPr>
          <w:rFonts w:eastAsia="仿宋_GB2312"/>
          <w:color w:val="auto"/>
          <w:sz w:val="32"/>
          <w:szCs w:val="32"/>
        </w:rPr>
      </w:pPr>
      <w:r>
        <w:rPr>
          <w:rFonts w:hint="eastAsia" w:eastAsia="仿宋_GB2312"/>
          <w:color w:val="auto"/>
          <w:sz w:val="32"/>
          <w:szCs w:val="32"/>
        </w:rPr>
        <w:t>部门预算总体目标包括按时发放工资，保障机关正常运行；完成城乡居民医疗保险和职工医疗保险征收工作；加大医保基金监管力度，保障医保基金安全；深入实施药品集中采购制度；完成其他医疗保障事务及县委、县政府交办的其他任务。</w:t>
      </w:r>
    </w:p>
    <w:p>
      <w:pPr>
        <w:widowControl/>
        <w:adjustRightInd w:val="0"/>
        <w:snapToGrid w:val="0"/>
        <w:spacing w:line="360" w:lineRule="auto"/>
        <w:ind w:firstLine="640" w:firstLineChars="200"/>
        <w:contextualSpacing/>
        <w:jc w:val="left"/>
        <w:rPr>
          <w:rFonts w:eastAsia="仿宋_GB2312"/>
          <w:color w:val="auto"/>
          <w:sz w:val="32"/>
          <w:szCs w:val="32"/>
        </w:rPr>
      </w:pPr>
      <w:r>
        <w:rPr>
          <w:rFonts w:hint="eastAsia" w:eastAsia="仿宋_GB2312"/>
          <w:color w:val="auto"/>
          <w:sz w:val="32"/>
          <w:szCs w:val="32"/>
        </w:rPr>
        <w:t>实际完成情况：每月按时发放职工工资及相关待遇；资助困难群众参加城乡居民医疗保险，完成16.5万人城乡居民医疗保险征收工作，每月做好职工医疗保险征收工作，保障参保人员正常享受医疗待遇；持续做好对困难群众的医疗救助工作，减轻其医疗负担；持续扩大异地就医联网结算范围，方便参保人员异地就医；进一步加大医保基金监管力度，保障医保基金安全；积极推进省版医保系统上线工作，全省医保信息实现互通；及时完成其他医疗保障工作。</w:t>
      </w:r>
    </w:p>
    <w:p>
      <w:pPr>
        <w:widowControl/>
        <w:adjustRightInd w:val="0"/>
        <w:snapToGrid w:val="0"/>
        <w:spacing w:line="360" w:lineRule="auto"/>
        <w:ind w:firstLine="640" w:firstLineChars="200"/>
        <w:contextualSpacing/>
        <w:jc w:val="left"/>
        <w:rPr>
          <w:rFonts w:eastAsia="仿宋_GB2312"/>
          <w:color w:val="auto"/>
          <w:sz w:val="32"/>
          <w:szCs w:val="32"/>
        </w:rPr>
      </w:pPr>
      <w:r>
        <w:rPr>
          <w:rFonts w:hint="eastAsia" w:eastAsia="仿宋_GB2312"/>
          <w:color w:val="auto"/>
          <w:sz w:val="32"/>
          <w:szCs w:val="32"/>
        </w:rPr>
        <w:t>具体完成绩效指标见部门预算整体绩效自评表。支出控制在预算指标内，预算完成情况良好，严格按照财政相关规定，对财政各项资金加强监督管理，确保资金及时、足额到位，专款专用；定期按规定对财政拨付的专项资金进行自检自查，做好资金使用效益管理工作，充分发挥各项资金的使用效益；在项目实施过程中，严格按照专项资金管理办法和各项财务管理制度执行，项目审批流程齐全、附件资料完整，资金拨付合法合规，会计核算及时，资金使用无截留、挤占、挪用、虚列支出等情况。</w:t>
      </w:r>
    </w:p>
    <w:p>
      <w:pPr>
        <w:widowControl/>
        <w:adjustRightInd w:val="0"/>
        <w:snapToGrid w:val="0"/>
        <w:spacing w:line="360" w:lineRule="auto"/>
        <w:ind w:firstLine="640" w:firstLineChars="200"/>
        <w:contextualSpacing/>
        <w:jc w:val="left"/>
        <w:rPr>
          <w:rFonts w:eastAsia="仿宋_GB2312"/>
          <w:color w:val="auto"/>
          <w:sz w:val="32"/>
          <w:szCs w:val="32"/>
        </w:rPr>
      </w:pPr>
      <w:r>
        <w:rPr>
          <w:rFonts w:eastAsia="仿宋_GB2312"/>
          <w:color w:val="auto"/>
          <w:sz w:val="32"/>
          <w:szCs w:val="32"/>
        </w:rPr>
        <w:t>（二）结果应用情况。</w:t>
      </w:r>
    </w:p>
    <w:p>
      <w:pPr>
        <w:widowControl/>
        <w:adjustRightInd w:val="0"/>
        <w:snapToGrid w:val="0"/>
        <w:spacing w:line="360" w:lineRule="auto"/>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eastAsia="仿宋_GB2312"/>
          <w:color w:val="auto"/>
          <w:sz w:val="32"/>
          <w:szCs w:val="32"/>
        </w:rPr>
        <w:t>年初预算制定部门预算整体绩效目标，项目绩效目标。具体实施过程中对照绩效目标，是否完成年初制定的绩效指标。项目完成后对项目开展自评工作，并按要求在政府网站公开。评价结果的运用是判断评价工作能否取得成效的主要依据，也是保证这项工作持续、深入发展的基本前提。财政绩效评价还是加强财政支出管理、合理配置公共资源、优化财政支出结构、提高资金使用效益的重要手段。</w:t>
      </w:r>
    </w:p>
    <w:p>
      <w:pPr>
        <w:widowControl/>
        <w:numPr>
          <w:ilvl w:val="0"/>
          <w:numId w:val="5"/>
        </w:numPr>
        <w:adjustRightInd w:val="0"/>
        <w:snapToGrid w:val="0"/>
        <w:spacing w:line="360" w:lineRule="auto"/>
        <w:ind w:firstLine="640"/>
        <w:contextualSpacing/>
        <w:jc w:val="left"/>
        <w:rPr>
          <w:rFonts w:eastAsia="仿宋_GB2312"/>
          <w:color w:val="auto"/>
          <w:sz w:val="32"/>
          <w:szCs w:val="32"/>
        </w:rPr>
      </w:pPr>
      <w:r>
        <w:rPr>
          <w:rFonts w:hint="eastAsia" w:ascii="仿宋_GB2312" w:hAnsi="宋体" w:eastAsia="仿宋_GB2312" w:cs="宋体"/>
          <w:color w:val="auto"/>
          <w:kern w:val="0"/>
          <w:sz w:val="32"/>
          <w:szCs w:val="32"/>
          <w:shd w:val="clear" w:color="auto" w:fill="FFFFFF"/>
          <w:lang w:val="zh-CN"/>
        </w:rPr>
        <w:t>自评质量</w:t>
      </w:r>
    </w:p>
    <w:p>
      <w:pPr>
        <w:widowControl/>
        <w:adjustRightInd w:val="0"/>
        <w:snapToGrid w:val="0"/>
        <w:spacing w:line="360" w:lineRule="auto"/>
        <w:ind w:firstLine="640" w:firstLineChars="200"/>
        <w:contextualSpacing/>
        <w:jc w:val="left"/>
        <w:rPr>
          <w:color w:val="auto"/>
        </w:rPr>
      </w:pPr>
      <w:r>
        <w:rPr>
          <w:rFonts w:hint="eastAsia" w:eastAsia="仿宋_GB2312"/>
          <w:color w:val="auto"/>
          <w:sz w:val="32"/>
          <w:szCs w:val="32"/>
        </w:rPr>
        <w:t>为进一步加强资金预算绩效管理，提高资金使用效益，我单位对各个项目及整体预算都开展了绩效自评。针对不同的项目，结合实施情况和绩效指标逐个自评，通过自评，</w:t>
      </w:r>
      <w:r>
        <w:rPr>
          <w:rFonts w:hint="eastAsia" w:eastAsia="仿宋_GB2312"/>
          <w:color w:val="auto"/>
          <w:sz w:val="32"/>
          <w:szCs w:val="32"/>
          <w:lang w:eastAsia="zh-CN"/>
        </w:rPr>
        <w:t>更好地监督</w:t>
      </w:r>
      <w:r>
        <w:rPr>
          <w:rFonts w:hint="eastAsia" w:eastAsia="仿宋_GB2312"/>
          <w:color w:val="auto"/>
          <w:sz w:val="32"/>
          <w:szCs w:val="32"/>
        </w:rPr>
        <w:t>完成情况。自评情况较准确，</w:t>
      </w:r>
      <w:r>
        <w:rPr>
          <w:rFonts w:hint="eastAsia" w:eastAsia="仿宋_GB2312"/>
          <w:color w:val="auto"/>
          <w:sz w:val="32"/>
          <w:szCs w:val="32"/>
          <w:lang w:eastAsia="zh-CN"/>
        </w:rPr>
        <w:t>有效地提高了</w:t>
      </w:r>
      <w:r>
        <w:rPr>
          <w:rFonts w:hint="eastAsia" w:eastAsia="仿宋_GB2312"/>
          <w:color w:val="auto"/>
          <w:sz w:val="32"/>
          <w:szCs w:val="32"/>
        </w:rPr>
        <w:t>资金使用效益。</w:t>
      </w:r>
    </w:p>
    <w:p>
      <w:pPr>
        <w:widowControl/>
        <w:adjustRightInd w:val="0"/>
        <w:snapToGrid w:val="0"/>
        <w:spacing w:line="360" w:lineRule="auto"/>
        <w:ind w:firstLine="640" w:firstLineChars="200"/>
        <w:contextualSpacing/>
        <w:jc w:val="left"/>
        <w:rPr>
          <w:rFonts w:ascii="黑体" w:hAnsi="宋体" w:eastAsia="黑体" w:cs="宋体"/>
          <w:color w:val="auto"/>
          <w:kern w:val="0"/>
          <w:sz w:val="32"/>
          <w:szCs w:val="32"/>
          <w:shd w:val="clear" w:color="auto" w:fill="FFFFFF"/>
        </w:rPr>
      </w:pPr>
    </w:p>
    <w:p>
      <w:pPr>
        <w:widowControl/>
        <w:adjustRightInd w:val="0"/>
        <w:snapToGrid w:val="0"/>
        <w:spacing w:line="360" w:lineRule="auto"/>
        <w:ind w:firstLine="640" w:firstLineChars="200"/>
        <w:contextualSpacing/>
        <w:jc w:val="left"/>
        <w:rPr>
          <w:rFonts w:ascii="黑体" w:hAnsi="宋体" w:eastAsia="黑体" w:cs="宋体"/>
          <w:color w:val="auto"/>
          <w:kern w:val="0"/>
          <w:sz w:val="32"/>
          <w:szCs w:val="32"/>
          <w:shd w:val="clear" w:color="auto" w:fill="FFFFFF"/>
        </w:rPr>
      </w:pPr>
      <w:r>
        <w:rPr>
          <w:rFonts w:hint="eastAsia" w:ascii="黑体" w:hAnsi="宋体" w:eastAsia="黑体" w:cs="宋体"/>
          <w:color w:val="auto"/>
          <w:kern w:val="0"/>
          <w:sz w:val="32"/>
          <w:szCs w:val="32"/>
          <w:shd w:val="clear" w:color="auto" w:fill="FFFFFF"/>
        </w:rPr>
        <w:t>四、评价结论及建议</w:t>
      </w:r>
    </w:p>
    <w:p>
      <w:pPr>
        <w:widowControl/>
        <w:adjustRightInd w:val="0"/>
        <w:snapToGrid w:val="0"/>
        <w:spacing w:line="360" w:lineRule="auto"/>
        <w:ind w:firstLine="640" w:firstLineChars="200"/>
        <w:contextualSpacing/>
        <w:jc w:val="left"/>
        <w:rPr>
          <w:rFonts w:eastAsia="仿宋_GB2312"/>
          <w:color w:val="auto"/>
          <w:sz w:val="32"/>
          <w:szCs w:val="32"/>
        </w:rPr>
      </w:pPr>
      <w:r>
        <w:rPr>
          <w:rFonts w:eastAsia="仿宋_GB2312"/>
          <w:color w:val="auto"/>
          <w:sz w:val="32"/>
          <w:szCs w:val="32"/>
        </w:rPr>
        <w:t>（一）评价结论。</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部门预算编制规范、准确，各项经费足额纳入预算安排，确保了部门正常运转和专项工作的顺利开展，</w:t>
      </w:r>
      <w:r>
        <w:rPr>
          <w:rFonts w:hint="eastAsia" w:ascii="仿宋_GB2312" w:hAnsi="仿宋_GB2312" w:eastAsia="仿宋_GB2312" w:cs="仿宋_GB2312"/>
          <w:color w:val="auto"/>
          <w:sz w:val="32"/>
          <w:szCs w:val="32"/>
          <w:lang w:eastAsia="zh-CN"/>
        </w:rPr>
        <w:t>较好地完成</w:t>
      </w:r>
      <w:r>
        <w:rPr>
          <w:rFonts w:hint="eastAsia" w:ascii="仿宋_GB2312" w:hAnsi="仿宋_GB2312" w:eastAsia="仿宋_GB2312" w:cs="仿宋_GB2312"/>
          <w:color w:val="auto"/>
          <w:sz w:val="32"/>
          <w:szCs w:val="32"/>
        </w:rPr>
        <w:t>年初绩效目标任务。</w:t>
      </w:r>
    </w:p>
    <w:p>
      <w:pPr>
        <w:widowControl/>
        <w:adjustRightInd w:val="0"/>
        <w:snapToGrid w:val="0"/>
        <w:spacing w:line="360" w:lineRule="auto"/>
        <w:ind w:firstLine="640" w:firstLineChars="200"/>
        <w:contextualSpacing/>
        <w:jc w:val="left"/>
        <w:rPr>
          <w:rFonts w:eastAsia="仿宋_GB2312"/>
          <w:color w:val="auto"/>
          <w:sz w:val="32"/>
          <w:szCs w:val="32"/>
        </w:rPr>
      </w:pPr>
      <w:r>
        <w:rPr>
          <w:rFonts w:eastAsia="仿宋_GB2312"/>
          <w:color w:val="auto"/>
          <w:sz w:val="32"/>
          <w:szCs w:val="32"/>
        </w:rPr>
        <w:t>（二）存在问题。</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1.绩效目标管理体系还有待提高，确保绩效评价指标更精细化、准确化。</w:t>
      </w:r>
    </w:p>
    <w:p>
      <w:pPr>
        <w:widowControl/>
        <w:spacing w:line="360" w:lineRule="auto"/>
        <w:ind w:firstLine="640" w:firstLineChars="200"/>
        <w:contextualSpacing/>
        <w:jc w:val="left"/>
        <w:rPr>
          <w:rFonts w:eastAsia="仿宋_GB2312"/>
          <w:color w:val="auto"/>
          <w:sz w:val="32"/>
          <w:szCs w:val="32"/>
        </w:rPr>
      </w:pPr>
      <w:r>
        <w:rPr>
          <w:rFonts w:hint="eastAsia" w:ascii="仿宋_GB2312" w:hAnsi="仿宋_GB2312" w:eastAsia="仿宋_GB2312" w:cs="仿宋_GB2312"/>
          <w:color w:val="auto"/>
          <w:sz w:val="32"/>
          <w:szCs w:val="32"/>
        </w:rPr>
        <w:t>2.部分项目资金预算执行进度有待提高，确保资金使用及时、有效。</w:t>
      </w:r>
    </w:p>
    <w:p>
      <w:pPr>
        <w:widowControl/>
        <w:adjustRightInd w:val="0"/>
        <w:snapToGrid w:val="0"/>
        <w:spacing w:line="360" w:lineRule="auto"/>
        <w:ind w:firstLine="640" w:firstLineChars="200"/>
        <w:contextualSpacing/>
        <w:jc w:val="left"/>
        <w:rPr>
          <w:rFonts w:eastAsia="仿宋_GB2312"/>
          <w:color w:val="auto"/>
          <w:sz w:val="32"/>
          <w:szCs w:val="32"/>
        </w:rPr>
      </w:pPr>
      <w:r>
        <w:rPr>
          <w:rFonts w:eastAsia="仿宋_GB2312"/>
          <w:color w:val="auto"/>
          <w:sz w:val="32"/>
          <w:szCs w:val="32"/>
        </w:rPr>
        <w:t>（三）改进建议。</w:t>
      </w:r>
    </w:p>
    <w:p>
      <w:pPr>
        <w:spacing w:line="360" w:lineRule="auto"/>
        <w:ind w:firstLine="640" w:firstLineChars="200"/>
        <w:rPr>
          <w:rFonts w:eastAsia="仿宋_GB2312"/>
          <w:color w:val="auto"/>
          <w:sz w:val="32"/>
          <w:szCs w:val="32"/>
        </w:rPr>
      </w:pPr>
      <w:r>
        <w:rPr>
          <w:rFonts w:eastAsia="仿宋_GB2312"/>
          <w:color w:val="auto"/>
          <w:sz w:val="32"/>
          <w:szCs w:val="32"/>
        </w:rPr>
        <w:t>1.建立预算绩效管理制度，进一步完善预算编报、执行、监督和评价工作流程，落实绩效管理主体职责。建立健全项目支出绩效指标体系，为编制预算绩效目标及开展预算绩效评价提供指导及依据。</w:t>
      </w:r>
    </w:p>
    <w:p>
      <w:pPr>
        <w:spacing w:line="360" w:lineRule="auto"/>
        <w:ind w:firstLine="640" w:firstLineChars="200"/>
        <w:rPr>
          <w:rFonts w:eastAsia="仿宋_GB2312"/>
          <w:color w:val="auto"/>
          <w:sz w:val="32"/>
          <w:szCs w:val="32"/>
        </w:rPr>
      </w:pPr>
      <w:r>
        <w:rPr>
          <w:rFonts w:eastAsia="仿宋_GB2312"/>
          <w:color w:val="auto"/>
          <w:sz w:val="32"/>
          <w:szCs w:val="32"/>
        </w:rPr>
        <w:t>2.加强绩效目标管理，以绩效目标为导向，优化资源配置为目的，提高财政资金使用绩效。做到预算编制严谨、预算执行到位，进一步优化预算绩效指标体系，设置可量化可衡量的预算绩效指标，促使我单位预算绩效管理一体化</w:t>
      </w:r>
      <w:r>
        <w:rPr>
          <w:rFonts w:hint="eastAsia" w:eastAsia="仿宋_GB2312"/>
          <w:color w:val="auto"/>
          <w:sz w:val="32"/>
          <w:szCs w:val="32"/>
        </w:rPr>
        <w:t>。</w:t>
      </w:r>
    </w:p>
    <w:p>
      <w:pPr>
        <w:spacing w:line="360" w:lineRule="auto"/>
        <w:ind w:firstLine="640" w:firstLineChars="200"/>
        <w:rPr>
          <w:rFonts w:eastAsia="仿宋_GB2312"/>
          <w:color w:val="auto"/>
          <w:sz w:val="32"/>
          <w:szCs w:val="32"/>
        </w:rPr>
      </w:pPr>
      <w:r>
        <w:rPr>
          <w:rFonts w:eastAsia="仿宋_GB2312"/>
          <w:color w:val="auto"/>
          <w:sz w:val="32"/>
          <w:szCs w:val="32"/>
        </w:rPr>
        <w:t>3.加强</w:t>
      </w:r>
      <w:r>
        <w:rPr>
          <w:rFonts w:hint="eastAsia" w:eastAsia="仿宋_GB2312"/>
          <w:color w:val="auto"/>
          <w:sz w:val="32"/>
          <w:szCs w:val="32"/>
        </w:rPr>
        <w:t>预算</w:t>
      </w:r>
      <w:r>
        <w:rPr>
          <w:rFonts w:eastAsia="仿宋_GB2312"/>
          <w:color w:val="auto"/>
          <w:sz w:val="32"/>
          <w:szCs w:val="32"/>
        </w:rPr>
        <w:t>绩效</w:t>
      </w:r>
      <w:r>
        <w:rPr>
          <w:rFonts w:hint="eastAsia" w:eastAsia="仿宋_GB2312"/>
          <w:color w:val="auto"/>
          <w:sz w:val="32"/>
          <w:szCs w:val="32"/>
        </w:rPr>
        <w:t>管理</w:t>
      </w:r>
      <w:r>
        <w:rPr>
          <w:rFonts w:eastAsia="仿宋_GB2312"/>
          <w:color w:val="auto"/>
          <w:sz w:val="32"/>
          <w:szCs w:val="32"/>
        </w:rPr>
        <w:t>业务学习及培训，提高业务人员绩效管理意识，进一步加强预算绩效管理工作，优化项目支出绩效指标体系，完善预算绩效管理制度，推动我单位 2022年预算绩效管理工作常态化、规范化。</w:t>
      </w: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spacing w:line="360" w:lineRule="auto"/>
        <w:jc w:val="center"/>
        <w:rPr>
          <w:rFonts w:ascii="方正小标宋简体" w:hAnsi="方正小标宋简体" w:eastAsia="方正小标宋简体" w:cs="方正小标宋简体"/>
          <w:color w:val="auto"/>
          <w:sz w:val="40"/>
          <w:szCs w:val="40"/>
          <w:lang w:val="zh-CN"/>
        </w:rPr>
      </w:pPr>
      <w:r>
        <w:rPr>
          <w:rFonts w:hint="eastAsia" w:ascii="方正小标宋简体" w:hAnsi="方正小标宋简体" w:eastAsia="方正小标宋简体" w:cs="方正小标宋简体"/>
          <w:color w:val="auto"/>
          <w:sz w:val="40"/>
          <w:szCs w:val="40"/>
        </w:rPr>
        <w:t>2021年</w:t>
      </w:r>
      <w:r>
        <w:rPr>
          <w:rFonts w:hint="eastAsia" w:ascii="方正小标宋简体" w:hAnsi="方正小标宋简体" w:eastAsia="方正小标宋简体" w:cs="方正小标宋简体"/>
          <w:color w:val="auto"/>
          <w:sz w:val="40"/>
          <w:szCs w:val="40"/>
          <w:lang w:val="zh-CN"/>
        </w:rPr>
        <w:t>专项预算项目支出绩效自评报告</w:t>
      </w:r>
    </w:p>
    <w:p>
      <w:pPr>
        <w:spacing w:line="360" w:lineRule="auto"/>
        <w:ind w:firstLine="883"/>
        <w:jc w:val="center"/>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w:t>
      </w:r>
      <w:r>
        <w:rPr>
          <w:rFonts w:hint="eastAsia" w:eastAsia="方正楷体_GBK"/>
          <w:b/>
          <w:color w:val="auto"/>
          <w:sz w:val="32"/>
          <w:szCs w:val="32"/>
        </w:rPr>
        <w:t>医疗救助资金</w:t>
      </w:r>
      <w:r>
        <w:rPr>
          <w:rFonts w:hint="eastAsia" w:ascii="仿宋_GB2312" w:hAnsi="宋体" w:eastAsia="仿宋_GB2312"/>
          <w:color w:val="auto"/>
          <w:sz w:val="32"/>
          <w:szCs w:val="32"/>
          <w:lang w:val="zh-CN"/>
        </w:rPr>
        <w:t>）</w:t>
      </w:r>
    </w:p>
    <w:p>
      <w:pPr>
        <w:spacing w:line="360" w:lineRule="auto"/>
        <w:ind w:firstLine="640"/>
        <w:jc w:val="center"/>
        <w:rPr>
          <w:rFonts w:ascii="宋体" w:hAnsi="宋体"/>
          <w:color w:val="auto"/>
          <w:sz w:val="32"/>
          <w:szCs w:val="32"/>
          <w:lang w:val="zh-CN"/>
        </w:rPr>
      </w:pPr>
    </w:p>
    <w:p>
      <w:pPr>
        <w:adjustRightInd w:val="0"/>
        <w:snapToGrid w:val="0"/>
        <w:spacing w:line="360" w:lineRule="auto"/>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1．说明项目主管部门（单位）在该项目管理中的职能。</w:t>
      </w:r>
    </w:p>
    <w:p>
      <w:pPr>
        <w:spacing w:line="360" w:lineRule="auto"/>
        <w:ind w:firstLine="640" w:firstLineChars="200"/>
        <w:rPr>
          <w:color w:val="auto"/>
          <w:lang w:val="zh-CN"/>
        </w:rPr>
      </w:pPr>
      <w:r>
        <w:rPr>
          <w:rFonts w:hint="eastAsia" w:eastAsia="仿宋_GB2312"/>
          <w:color w:val="auto"/>
          <w:sz w:val="32"/>
          <w:szCs w:val="32"/>
        </w:rPr>
        <w:t>主管部门在该项目管理中的职能主要是贯彻执行医疗保险、生育保险、医疗救助等医疗保障的法律、法规、规章。</w:t>
      </w:r>
    </w:p>
    <w:p>
      <w:pPr>
        <w:numPr>
          <w:ilvl w:val="0"/>
          <w:numId w:val="6"/>
        </w:num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项目立项、资金申报的依据。</w:t>
      </w:r>
    </w:p>
    <w:p>
      <w:pPr>
        <w:pStyle w:val="2"/>
        <w:spacing w:before="93" w:line="360" w:lineRule="auto"/>
        <w:rPr>
          <w:color w:val="auto"/>
        </w:rPr>
      </w:pPr>
      <w:r>
        <w:rPr>
          <w:rFonts w:hint="eastAsia"/>
          <w:color w:val="auto"/>
        </w:rPr>
        <w:t xml:space="preserve">     </w:t>
      </w:r>
      <w:r>
        <w:rPr>
          <w:rFonts w:hint="eastAsia"/>
          <w:color w:val="auto"/>
          <w:sz w:val="32"/>
          <w:szCs w:val="32"/>
        </w:rPr>
        <w:t>根据《盐边县机构改革方案》的通知 （盐边委发〔2019〕1 号）文件明确县民政局的医疗救助职责划转县医疗保障局，负责资助困难群众医疗保险参保以及重点救助对象的门诊、住院医疗费。</w:t>
      </w:r>
    </w:p>
    <w:p>
      <w:pPr>
        <w:numPr>
          <w:ilvl w:val="0"/>
          <w:numId w:val="6"/>
        </w:num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资金管理办法制定情况，资金支持具体项目的条件、范围与支持方式概况。</w:t>
      </w:r>
    </w:p>
    <w:p>
      <w:pPr>
        <w:pStyle w:val="2"/>
        <w:spacing w:before="93" w:line="360" w:lineRule="auto"/>
        <w:ind w:left="720"/>
        <w:rPr>
          <w:color w:val="auto"/>
          <w:sz w:val="32"/>
          <w:szCs w:val="32"/>
        </w:rPr>
      </w:pPr>
      <w:r>
        <w:rPr>
          <w:rFonts w:hint="eastAsia"/>
          <w:color w:val="auto"/>
          <w:sz w:val="32"/>
          <w:szCs w:val="32"/>
        </w:rPr>
        <w:t>项目资金由我单位管理支付，支付范围包括资助困难群</w:t>
      </w:r>
    </w:p>
    <w:p>
      <w:pPr>
        <w:pStyle w:val="2"/>
        <w:spacing w:before="93" w:line="360" w:lineRule="auto"/>
        <w:rPr>
          <w:color w:val="auto"/>
          <w:lang w:val="zh-CN"/>
        </w:rPr>
      </w:pPr>
      <w:r>
        <w:rPr>
          <w:rFonts w:hint="eastAsia"/>
          <w:color w:val="auto"/>
          <w:sz w:val="32"/>
          <w:szCs w:val="32"/>
        </w:rPr>
        <w:t>众城乡居民医疗保险参保，资助重点救助对象的门诊、住院医疗费。</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1．项目主要内容。</w:t>
      </w:r>
    </w:p>
    <w:p>
      <w:pPr>
        <w:spacing w:line="360" w:lineRule="auto"/>
        <w:ind w:firstLine="640" w:firstLineChars="200"/>
        <w:rPr>
          <w:color w:val="auto"/>
          <w:lang w:val="zh-CN"/>
        </w:rPr>
      </w:pPr>
      <w:r>
        <w:rPr>
          <w:rFonts w:hint="eastAsia" w:eastAsia="仿宋_GB2312"/>
          <w:color w:val="auto"/>
          <w:sz w:val="32"/>
          <w:szCs w:val="32"/>
        </w:rPr>
        <w:t>持续做好困难群众参保资助工作；重点救助对象自付医疗费用按规定年度限额内住院救助比例达到70%；年度救助对象人次符合客观需要；强化医疗救助规范管理。有效化解不合理累计结余。</w:t>
      </w:r>
    </w:p>
    <w:p>
      <w:pPr>
        <w:numPr>
          <w:ilvl w:val="0"/>
          <w:numId w:val="7"/>
        </w:num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项目应实现的具体绩效目标，包括目标的量化、细化情况以及项目实施进度计划等。</w:t>
      </w:r>
    </w:p>
    <w:p>
      <w:pPr>
        <w:spacing w:line="360" w:lineRule="auto"/>
        <w:ind w:firstLine="640"/>
        <w:rPr>
          <w:rFonts w:eastAsia="仿宋_GB2312"/>
          <w:color w:val="auto"/>
          <w:sz w:val="32"/>
          <w:szCs w:val="32"/>
        </w:rPr>
      </w:pPr>
      <w:r>
        <w:rPr>
          <w:rFonts w:hint="eastAsia" w:eastAsia="仿宋_GB2312"/>
          <w:color w:val="auto"/>
          <w:sz w:val="32"/>
          <w:szCs w:val="32"/>
        </w:rPr>
        <w:t>项目完成指标包括数量指标：①资助参保人次数：4992人；②住院救助人次数：5012人；③门诊救助人次数：381人。质量指标：①资助参保资金支出165.9万元；②住院救助资金支出793.47万元；③门诊救助资金支出2.66万元；④重点救助对象自付费用按规定年度限额内住院救助比例：≥70%。时效指标：“一站式”即时结算覆盖率：100%。</w:t>
      </w:r>
    </w:p>
    <w:p>
      <w:pPr>
        <w:spacing w:line="360" w:lineRule="auto"/>
        <w:ind w:firstLine="640"/>
        <w:rPr>
          <w:rFonts w:eastAsia="仿宋_GB2312"/>
          <w:color w:val="auto"/>
          <w:sz w:val="32"/>
          <w:szCs w:val="32"/>
        </w:rPr>
      </w:pPr>
      <w:r>
        <w:rPr>
          <w:rFonts w:eastAsia="仿宋_GB2312"/>
          <w:color w:val="auto"/>
          <w:sz w:val="32"/>
          <w:szCs w:val="32"/>
        </w:rPr>
        <w:t>项目效益</w:t>
      </w:r>
      <w:r>
        <w:rPr>
          <w:rFonts w:hint="eastAsia" w:eastAsia="仿宋_GB2312"/>
          <w:color w:val="auto"/>
          <w:sz w:val="32"/>
          <w:szCs w:val="32"/>
        </w:rPr>
        <w:t>指标包括经济效益指标：不合理累计结余减少程度：100%。社会效益指标：①医疗救助对象覆盖范围，建档立卡贫困户、非建档立卡特殊困难户、民政认定的特殊身份人群、低收入对象及因病返贫对象标准明确；②困难群众看病就医方便程度：明显提高；③对健全社会救助体系的影响：成效明显。可持续影响指标：困难群众医疗费用负担减轻程度：有效缓解。</w:t>
      </w:r>
    </w:p>
    <w:p>
      <w:pPr>
        <w:spacing w:line="360" w:lineRule="auto"/>
        <w:ind w:firstLine="640" w:firstLineChars="200"/>
        <w:rPr>
          <w:color w:val="auto"/>
          <w:lang w:val="zh-CN"/>
        </w:rPr>
      </w:pPr>
      <w:r>
        <w:rPr>
          <w:rFonts w:eastAsia="仿宋_GB2312"/>
          <w:color w:val="auto"/>
          <w:sz w:val="32"/>
          <w:szCs w:val="32"/>
        </w:rPr>
        <w:t>满意度指标</w:t>
      </w:r>
      <w:r>
        <w:rPr>
          <w:rFonts w:hint="eastAsia" w:eastAsia="仿宋_GB2312"/>
          <w:color w:val="auto"/>
          <w:sz w:val="32"/>
          <w:szCs w:val="32"/>
        </w:rPr>
        <w:t>包括：①政策知晓率：≥98%；②救助对象满意度：100%。</w:t>
      </w:r>
    </w:p>
    <w:p>
      <w:pPr>
        <w:numPr>
          <w:ilvl w:val="0"/>
          <w:numId w:val="7"/>
        </w:num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分析评价申报内容是否与实际相符，申报目标是否合理可行。</w:t>
      </w:r>
    </w:p>
    <w:p>
      <w:pPr>
        <w:pStyle w:val="2"/>
        <w:spacing w:before="93" w:line="360" w:lineRule="auto"/>
        <w:ind w:left="720"/>
        <w:rPr>
          <w:color w:val="auto"/>
          <w:lang w:val="zh-CN"/>
        </w:rPr>
      </w:pPr>
      <w:r>
        <w:rPr>
          <w:rFonts w:hint="eastAsia"/>
          <w:color w:val="auto"/>
          <w:sz w:val="32"/>
          <w:szCs w:val="32"/>
        </w:rPr>
        <w:t>评价申报内容与实际基本相符，申报目标合理可行。</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spacing w:line="360" w:lineRule="auto"/>
        <w:ind w:firstLine="640" w:firstLineChars="200"/>
        <w:rPr>
          <w:rFonts w:eastAsia="仿宋_GB2312"/>
          <w:color w:val="auto"/>
          <w:sz w:val="32"/>
          <w:szCs w:val="32"/>
        </w:rPr>
      </w:pPr>
      <w:r>
        <w:rPr>
          <w:rFonts w:hint="eastAsia" w:eastAsia="仿宋_GB2312"/>
          <w:color w:val="auto"/>
          <w:sz w:val="32"/>
          <w:szCs w:val="32"/>
        </w:rPr>
        <w:t>本项目采取自评的方式，由项目负责人结合评价内容，做到有计划，有安排，扎实开展自评工作。按照项目支出绩效评价指标体系，对项目内容、实施情况、社会效益等开展自评工作。</w:t>
      </w:r>
    </w:p>
    <w:p>
      <w:pPr>
        <w:adjustRightInd w:val="0"/>
        <w:snapToGrid w:val="0"/>
        <w:spacing w:line="360" w:lineRule="auto"/>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360" w:lineRule="auto"/>
        <w:ind w:firstLine="640" w:firstLineChars="200"/>
        <w:rPr>
          <w:rFonts w:ascii="仿宋_GB2312" w:hAnsi="宋体" w:eastAsia="仿宋_GB2312"/>
          <w:color w:val="auto"/>
          <w:sz w:val="32"/>
          <w:szCs w:val="32"/>
          <w:lang w:val="zh-CN"/>
        </w:rPr>
      </w:pPr>
      <w:r>
        <w:rPr>
          <w:rFonts w:hint="eastAsia" w:eastAsia="仿宋_GB2312"/>
          <w:color w:val="auto"/>
          <w:sz w:val="32"/>
          <w:szCs w:val="32"/>
        </w:rPr>
        <w:t>县级资金根据政策文件及上年度费用估算，拟定资金请示，经县级政府批准。县级资金由县财政根据盐财</w:t>
      </w:r>
      <w:r>
        <w:rPr>
          <w:rFonts w:hint="eastAsia" w:eastAsia="仿宋_GB2312"/>
          <w:color w:val="auto"/>
          <w:kern w:val="0"/>
          <w:sz w:val="32"/>
          <w:szCs w:val="32"/>
        </w:rPr>
        <w:t>资行</w:t>
      </w:r>
      <w:r>
        <w:rPr>
          <w:rFonts w:hint="eastAsia" w:eastAsia="仿宋_GB2312"/>
          <w:color w:val="auto"/>
          <w:sz w:val="32"/>
          <w:szCs w:val="32"/>
        </w:rPr>
        <w:t>〔2021〕219号下达资金163.73万元，盐财</w:t>
      </w:r>
      <w:r>
        <w:rPr>
          <w:rFonts w:hint="eastAsia" w:eastAsia="仿宋_GB2312"/>
          <w:color w:val="auto"/>
          <w:kern w:val="0"/>
          <w:sz w:val="32"/>
          <w:szCs w:val="32"/>
        </w:rPr>
        <w:t>资行</w:t>
      </w:r>
      <w:r>
        <w:rPr>
          <w:rFonts w:hint="eastAsia" w:eastAsia="仿宋_GB2312"/>
          <w:color w:val="auto"/>
          <w:sz w:val="32"/>
          <w:szCs w:val="32"/>
        </w:rPr>
        <w:t>〔2021〕535号下达资金230万元。</w:t>
      </w:r>
    </w:p>
    <w:p>
      <w:pPr>
        <w:adjustRightInd w:val="0"/>
        <w:snapToGrid w:val="0"/>
        <w:spacing w:line="360" w:lineRule="auto"/>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（二）资金计划、到位及使用情况（可用表格形式反映）。</w:t>
      </w:r>
    </w:p>
    <w:p>
      <w:pPr>
        <w:spacing w:line="360" w:lineRule="auto"/>
        <w:ind w:firstLine="640" w:firstLineChars="200"/>
        <w:rPr>
          <w:rFonts w:ascii="楷体_GB2312" w:hAnsi="宋体" w:eastAsia="楷体_GB2312"/>
          <w:color w:val="auto"/>
          <w:sz w:val="32"/>
          <w:szCs w:val="32"/>
          <w:lang w:val="zh-CN"/>
        </w:rPr>
      </w:pPr>
      <w:r>
        <w:rPr>
          <w:rFonts w:hint="eastAsia" w:ascii="楷体_GB2312" w:hAnsi="宋体" w:eastAsia="楷体_GB2312"/>
          <w:color w:val="auto"/>
          <w:sz w:val="32"/>
          <w:szCs w:val="32"/>
          <w:lang w:val="zh-CN"/>
        </w:rPr>
        <w:t>1．资金计划。</w:t>
      </w:r>
    </w:p>
    <w:p>
      <w:pPr>
        <w:spacing w:line="360" w:lineRule="auto"/>
        <w:ind w:firstLine="640" w:firstLineChars="200"/>
        <w:rPr>
          <w:rFonts w:ascii="仿宋_GB2312" w:hAnsi="宋体" w:eastAsia="仿宋_GB2312"/>
          <w:color w:val="auto"/>
          <w:sz w:val="32"/>
          <w:szCs w:val="32"/>
          <w:lang w:val="zh-CN"/>
        </w:rPr>
      </w:pPr>
      <w:r>
        <w:rPr>
          <w:rFonts w:hint="eastAsia" w:eastAsia="仿宋_GB2312"/>
          <w:bCs/>
          <w:color w:val="auto"/>
          <w:sz w:val="32"/>
          <w:szCs w:val="32"/>
        </w:rPr>
        <w:t>该项目有中央资金、省级资金，不足部分由县级财政负责兜底</w:t>
      </w:r>
      <w:r>
        <w:rPr>
          <w:rFonts w:eastAsia="仿宋_GB2312"/>
          <w:bCs/>
          <w:color w:val="auto"/>
          <w:sz w:val="32"/>
          <w:szCs w:val="32"/>
        </w:rPr>
        <w:t>。</w:t>
      </w:r>
    </w:p>
    <w:p>
      <w:pPr>
        <w:numPr>
          <w:ilvl w:val="0"/>
          <w:numId w:val="8"/>
        </w:numPr>
        <w:adjustRightInd w:val="0"/>
        <w:snapToGrid w:val="0"/>
        <w:spacing w:line="360" w:lineRule="auto"/>
        <w:ind w:firstLine="720"/>
        <w:rPr>
          <w:rFonts w:ascii="楷体_GB2312" w:hAnsi="宋体" w:eastAsia="楷体_GB2312"/>
          <w:color w:val="auto"/>
          <w:sz w:val="32"/>
          <w:szCs w:val="32"/>
          <w:lang w:val="zh-CN"/>
        </w:rPr>
      </w:pPr>
      <w:r>
        <w:rPr>
          <w:rFonts w:hint="eastAsia" w:ascii="楷体_GB2312" w:hAnsi="宋体" w:eastAsia="楷体_GB2312"/>
          <w:color w:val="auto"/>
          <w:sz w:val="32"/>
          <w:szCs w:val="32"/>
          <w:lang w:val="zh-CN"/>
        </w:rPr>
        <w:t>资金到位。</w:t>
      </w:r>
    </w:p>
    <w:p>
      <w:pPr>
        <w:pStyle w:val="2"/>
        <w:spacing w:before="93" w:line="360" w:lineRule="auto"/>
        <w:rPr>
          <w:rFonts w:ascii="Times New Roman"/>
          <w:bCs/>
          <w:color w:val="auto"/>
          <w:kern w:val="2"/>
          <w:sz w:val="32"/>
          <w:szCs w:val="32"/>
        </w:rPr>
      </w:pPr>
      <w:r>
        <w:rPr>
          <w:rFonts w:hint="eastAsia" w:ascii="楷体_GB2312" w:hAnsi="宋体" w:eastAsia="楷体_GB2312"/>
          <w:color w:val="auto"/>
          <w:sz w:val="32"/>
          <w:szCs w:val="32"/>
        </w:rPr>
        <w:t xml:space="preserve">     </w:t>
      </w:r>
      <w:r>
        <w:rPr>
          <w:rFonts w:hint="eastAsia" w:ascii="Times New Roman"/>
          <w:bCs/>
          <w:color w:val="auto"/>
          <w:kern w:val="2"/>
          <w:sz w:val="32"/>
          <w:szCs w:val="32"/>
        </w:rPr>
        <w:t>2021年下达中央资金465.47万元，省级资金102.77万元，县级资金393.73万元。</w:t>
      </w:r>
    </w:p>
    <w:p>
      <w:pPr>
        <w:numPr>
          <w:ilvl w:val="0"/>
          <w:numId w:val="8"/>
        </w:numPr>
        <w:adjustRightInd w:val="0"/>
        <w:snapToGrid w:val="0"/>
        <w:spacing w:line="360" w:lineRule="auto"/>
        <w:ind w:firstLine="720"/>
        <w:rPr>
          <w:rFonts w:ascii="楷体_GB2312" w:hAnsi="宋体" w:eastAsia="楷体_GB2312"/>
          <w:color w:val="auto"/>
          <w:sz w:val="32"/>
          <w:szCs w:val="32"/>
          <w:lang w:val="zh-CN"/>
        </w:rPr>
      </w:pPr>
      <w:r>
        <w:rPr>
          <w:rFonts w:hint="eastAsia" w:ascii="楷体_GB2312" w:hAnsi="宋体" w:eastAsia="楷体_GB2312"/>
          <w:color w:val="auto"/>
          <w:sz w:val="32"/>
          <w:szCs w:val="32"/>
          <w:lang w:val="zh-CN"/>
        </w:rPr>
        <w:t>资金使用。</w:t>
      </w:r>
    </w:p>
    <w:p>
      <w:pPr>
        <w:adjustRightInd w:val="0"/>
        <w:snapToGrid w:val="0"/>
        <w:spacing w:line="360" w:lineRule="auto"/>
        <w:ind w:left="720"/>
        <w:rPr>
          <w:rFonts w:ascii="仿宋_GB2312" w:hAnsi="宋体" w:eastAsia="仿宋_GB2312"/>
          <w:color w:val="auto"/>
          <w:sz w:val="32"/>
          <w:szCs w:val="32"/>
        </w:rPr>
      </w:pPr>
      <w:r>
        <w:rPr>
          <w:rFonts w:hint="eastAsia" w:eastAsia="仿宋_GB2312"/>
          <w:color w:val="auto"/>
          <w:sz w:val="32"/>
          <w:szCs w:val="32"/>
        </w:rPr>
        <w:t>根据实际发生费用支付，2021年全部资金已支付完成。</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（三）项目财务管理情况。</w:t>
      </w:r>
    </w:p>
    <w:p>
      <w:pPr>
        <w:spacing w:line="360" w:lineRule="auto"/>
        <w:ind w:firstLine="640" w:firstLineChars="200"/>
        <w:rPr>
          <w:rFonts w:eastAsia="仿宋_GB2312"/>
          <w:color w:val="auto"/>
          <w:sz w:val="32"/>
          <w:szCs w:val="32"/>
        </w:rPr>
      </w:pPr>
      <w:r>
        <w:rPr>
          <w:rFonts w:hint="eastAsia" w:eastAsia="仿宋_GB2312"/>
          <w:color w:val="auto"/>
          <w:sz w:val="32"/>
          <w:szCs w:val="32"/>
        </w:rPr>
        <w:t>项目实施单位财务管理制度健全，严格执行财务管理制度，账务处理及时，会计核算规范。</w:t>
      </w:r>
    </w:p>
    <w:p>
      <w:pPr>
        <w:spacing w:line="360" w:lineRule="auto"/>
        <w:ind w:firstLine="640" w:firstLineChars="200"/>
        <w:rPr>
          <w:rFonts w:eastAsia="仿宋_GB2312"/>
          <w:color w:val="auto"/>
          <w:sz w:val="32"/>
          <w:szCs w:val="32"/>
        </w:rPr>
      </w:pPr>
      <w:r>
        <w:rPr>
          <w:rFonts w:hint="eastAsia" w:eastAsia="仿宋_GB2312"/>
          <w:color w:val="auto"/>
          <w:sz w:val="32"/>
          <w:szCs w:val="32"/>
        </w:rPr>
        <w:t>2021年盐边县医疗保障局定期与县财政局核对医疗救助资金，及时了解资金到位情况。定期向市医保局上解医疗救助资金，用于我县特殊人群市内就医医疗救助资金结算。县民政部门、县乡村振兴局、县财政、县医保局安排专人负责医疗救助对象认定、救助金审核、发放及资金监管工作。县民政局和县乡村振兴局负责医疗救助对象的认定，县医保局做好救助对象医疗救助金审核、发放工作，县财政部门统筹安排医疗救助资金，并对资金使用情况进行管理和监督。</w:t>
      </w:r>
    </w:p>
    <w:p>
      <w:pPr>
        <w:adjustRightInd w:val="0"/>
        <w:snapToGrid w:val="0"/>
        <w:spacing w:line="360" w:lineRule="auto"/>
        <w:ind w:firstLine="720"/>
        <w:rPr>
          <w:rFonts w:ascii="黑体" w:hAnsi="宋体" w:eastAsia="黑体"/>
          <w:color w:val="auto"/>
          <w:sz w:val="32"/>
          <w:szCs w:val="32"/>
        </w:rPr>
      </w:pPr>
      <w:r>
        <w:rPr>
          <w:rFonts w:hint="eastAsia" w:ascii="黑体" w:hAnsi="宋体" w:eastAsia="黑体"/>
          <w:color w:val="auto"/>
          <w:sz w:val="32"/>
          <w:szCs w:val="32"/>
        </w:rPr>
        <w:t>三、项目实施及管理情况</w:t>
      </w:r>
    </w:p>
    <w:p>
      <w:pPr>
        <w:spacing w:line="360" w:lineRule="auto"/>
        <w:ind w:firstLine="640" w:firstLineChars="200"/>
        <w:rPr>
          <w:rFonts w:eastAsia="楷体_GB2312"/>
          <w:color w:val="auto"/>
          <w:sz w:val="32"/>
          <w:szCs w:val="32"/>
        </w:rPr>
      </w:pPr>
      <w:r>
        <w:rPr>
          <w:rFonts w:hint="eastAsia" w:eastAsia="仿宋_GB2312"/>
          <w:color w:val="auto"/>
          <w:sz w:val="32"/>
          <w:szCs w:val="32"/>
        </w:rPr>
        <w:t>项目由本单位具体实施，医疗保险基金为市级统筹。资金支付方式有：一是根据市级单位医疗救助“一单制”周转金划转表上解资金到市级单位统一核算；二是县内定点医疗机构产生的医疗救助费用直接拨付到定点医疗机构；三是在市内其他区县产生的医疗救助费用根据实际拨付到区县；四是未实现“一单制”结算的医疗救助费用通过惠民惠农“一卡通”支付到本人社会保障卡。</w:t>
      </w:r>
    </w:p>
    <w:p>
      <w:pPr>
        <w:adjustRightInd w:val="0"/>
        <w:snapToGrid w:val="0"/>
        <w:spacing w:line="360" w:lineRule="auto"/>
        <w:ind w:firstLine="720"/>
        <w:rPr>
          <w:rFonts w:ascii="仿宋_GB2312" w:hAnsi="宋体" w:eastAsia="仿宋_GB2312"/>
          <w:color w:val="auto"/>
          <w:sz w:val="32"/>
          <w:szCs w:val="32"/>
          <w:lang w:val="zh-CN"/>
        </w:rPr>
      </w:pPr>
      <w:r>
        <w:rPr>
          <w:rFonts w:hint="eastAsia" w:ascii="黑体" w:hAnsi="宋体" w:eastAsia="黑体"/>
          <w:color w:val="auto"/>
          <w:sz w:val="32"/>
          <w:szCs w:val="32"/>
        </w:rPr>
        <w:t>四、项目绩效情况</w:t>
      </w:r>
      <w:r>
        <w:rPr>
          <w:rFonts w:hint="eastAsia" w:ascii="仿宋_GB2312" w:hAnsi="宋体" w:eastAsia="仿宋_GB2312"/>
          <w:color w:val="auto"/>
          <w:sz w:val="32"/>
          <w:szCs w:val="32"/>
          <w:lang w:val="zh-CN"/>
        </w:rPr>
        <w:tab/>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spacing w:line="360" w:lineRule="auto"/>
        <w:ind w:left="638" w:leftChars="304"/>
        <w:rPr>
          <w:rFonts w:eastAsia="仿宋_GB2312"/>
          <w:color w:val="auto"/>
          <w:sz w:val="32"/>
          <w:szCs w:val="32"/>
        </w:rPr>
      </w:pPr>
      <w:r>
        <w:rPr>
          <w:rFonts w:hint="eastAsia" w:eastAsia="仿宋_GB2312"/>
          <w:color w:val="auto"/>
          <w:sz w:val="32"/>
          <w:szCs w:val="32"/>
        </w:rPr>
        <w:t>2021年资助了4992名城乡困难群众参加基本医疗保险；</w:t>
      </w:r>
    </w:p>
    <w:p>
      <w:pPr>
        <w:spacing w:line="360" w:lineRule="auto"/>
        <w:rPr>
          <w:rFonts w:ascii="楷体_GB2312" w:hAnsi="宋体" w:eastAsia="楷体_GB2312"/>
          <w:b/>
          <w:color w:val="auto"/>
          <w:sz w:val="32"/>
          <w:szCs w:val="32"/>
          <w:lang w:val="zh-CN"/>
        </w:rPr>
      </w:pPr>
      <w:r>
        <w:rPr>
          <w:rFonts w:hint="eastAsia" w:eastAsia="仿宋_GB2312"/>
          <w:color w:val="auto"/>
          <w:sz w:val="32"/>
          <w:szCs w:val="32"/>
        </w:rPr>
        <w:t>重点救助对象自付医疗费用按规定年度限额内住院救助比例达到70%；年度住院救助</w:t>
      </w:r>
      <w:r>
        <w:rPr>
          <w:rFonts w:eastAsia="仿宋_GB2312"/>
          <w:color w:val="auto"/>
          <w:sz w:val="32"/>
          <w:szCs w:val="32"/>
        </w:rPr>
        <w:t>5012</w:t>
      </w:r>
      <w:r>
        <w:rPr>
          <w:rFonts w:hint="eastAsia" w:eastAsia="仿宋_GB2312"/>
          <w:color w:val="auto"/>
          <w:sz w:val="32"/>
          <w:szCs w:val="32"/>
        </w:rPr>
        <w:t>人.次，门诊救助</w:t>
      </w:r>
      <w:r>
        <w:rPr>
          <w:rFonts w:eastAsia="仿宋_GB2312"/>
          <w:color w:val="auto"/>
          <w:sz w:val="32"/>
          <w:szCs w:val="32"/>
        </w:rPr>
        <w:t>381</w:t>
      </w:r>
      <w:r>
        <w:rPr>
          <w:rFonts w:hint="eastAsia" w:eastAsia="仿宋_GB2312"/>
          <w:color w:val="auto"/>
          <w:sz w:val="32"/>
          <w:szCs w:val="32"/>
        </w:rPr>
        <w:t>人.次；强化医疗救助规范管理，有效化解不合理累计结余；减轻困难群众医疗负担。</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spacing w:line="360" w:lineRule="auto"/>
        <w:ind w:firstLine="640"/>
        <w:rPr>
          <w:rFonts w:ascii="黑体" w:hAnsi="宋体" w:eastAsia="黑体"/>
          <w:color w:val="auto"/>
          <w:sz w:val="32"/>
          <w:szCs w:val="32"/>
        </w:rPr>
      </w:pPr>
      <w:r>
        <w:rPr>
          <w:rFonts w:hint="eastAsia" w:eastAsia="仿宋_GB2312"/>
          <w:color w:val="auto"/>
          <w:sz w:val="32"/>
          <w:szCs w:val="32"/>
        </w:rPr>
        <w:t>项目经济效益是为了减少不合理累计结余程度，社会效益是让医疗救助对建档立卡贫困户、非建档立卡特殊困难户、民政认定的特殊身份人群全覆盖；困难群众看病就医方便程度达到明显提高；对健全社会救助体系的影响达到成效明显。</w:t>
      </w:r>
    </w:p>
    <w:p>
      <w:pPr>
        <w:adjustRightInd w:val="0"/>
        <w:snapToGrid w:val="0"/>
        <w:spacing w:line="360" w:lineRule="auto"/>
        <w:ind w:firstLine="720"/>
        <w:rPr>
          <w:rFonts w:ascii="黑体" w:hAnsi="宋体" w:eastAsia="黑体"/>
          <w:color w:val="auto"/>
          <w:sz w:val="32"/>
          <w:szCs w:val="32"/>
        </w:rPr>
      </w:pPr>
      <w:r>
        <w:rPr>
          <w:rFonts w:hint="eastAsia" w:ascii="黑体" w:hAnsi="宋体" w:eastAsia="黑体"/>
          <w:color w:val="auto"/>
          <w:sz w:val="32"/>
          <w:szCs w:val="32"/>
        </w:rPr>
        <w:t>五、评价结论及建议</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（一）评价结论。</w:t>
      </w:r>
    </w:p>
    <w:p>
      <w:pPr>
        <w:spacing w:line="360" w:lineRule="auto"/>
        <w:ind w:firstLine="640" w:firstLineChars="200"/>
        <w:rPr>
          <w:rFonts w:ascii="仿宋_GB2312" w:hAnsi="宋体" w:eastAsia="仿宋_GB2312"/>
          <w:color w:val="auto"/>
          <w:sz w:val="32"/>
          <w:szCs w:val="32"/>
          <w:bdr w:val="single" w:color="auto" w:sz="4" w:space="0"/>
          <w:lang w:val="zh-CN"/>
        </w:rPr>
      </w:pPr>
      <w:r>
        <w:rPr>
          <w:rFonts w:hint="eastAsia" w:eastAsia="仿宋_GB2312"/>
          <w:color w:val="auto"/>
          <w:sz w:val="32"/>
          <w:szCs w:val="32"/>
        </w:rPr>
        <w:t>该项目的实施主要是资助困难群众参加居民医疗保险；强化医疗救助规范管理，有效化解不合理累计结余；减轻困难群众医疗负担。对照项目绩效指标，都</w:t>
      </w:r>
      <w:r>
        <w:rPr>
          <w:rFonts w:hint="eastAsia" w:eastAsia="仿宋_GB2312"/>
          <w:color w:val="auto"/>
          <w:sz w:val="32"/>
          <w:szCs w:val="32"/>
          <w:lang w:eastAsia="zh-CN"/>
        </w:rPr>
        <w:t>较好地完成了</w:t>
      </w:r>
      <w:r>
        <w:rPr>
          <w:rFonts w:hint="eastAsia" w:eastAsia="仿宋_GB2312"/>
          <w:color w:val="auto"/>
          <w:sz w:val="32"/>
          <w:szCs w:val="32"/>
        </w:rPr>
        <w:t>各项绩效指标。</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（二）存在的问题。</w:t>
      </w:r>
    </w:p>
    <w:p>
      <w:pPr>
        <w:spacing w:line="360" w:lineRule="auto"/>
        <w:ind w:firstLine="640" w:firstLineChars="200"/>
        <w:rPr>
          <w:rFonts w:eastAsia="仿宋_GB2312"/>
          <w:color w:val="auto"/>
          <w:sz w:val="32"/>
          <w:szCs w:val="32"/>
        </w:rPr>
      </w:pPr>
      <w:r>
        <w:rPr>
          <w:rFonts w:hint="eastAsia" w:eastAsia="仿宋_GB2312"/>
          <w:color w:val="auto"/>
          <w:sz w:val="32"/>
          <w:szCs w:val="32"/>
        </w:rPr>
        <w:t>一是医疗救助资金缺口大。我县是省级贫困县，县级财政困难，医疗救助资金兜底缺口大。</w:t>
      </w:r>
    </w:p>
    <w:p>
      <w:pPr>
        <w:spacing w:line="360" w:lineRule="auto"/>
        <w:ind w:firstLine="640" w:firstLineChars="200"/>
        <w:rPr>
          <w:rFonts w:ascii="仿宋_GB2312" w:hAnsi="宋体" w:eastAsia="仿宋_GB2312"/>
          <w:color w:val="auto"/>
          <w:sz w:val="32"/>
          <w:szCs w:val="32"/>
          <w:lang w:val="zh-CN"/>
        </w:rPr>
      </w:pPr>
      <w:r>
        <w:rPr>
          <w:rFonts w:hint="eastAsia" w:eastAsia="仿宋_GB2312"/>
          <w:color w:val="auto"/>
          <w:sz w:val="32"/>
          <w:szCs w:val="32"/>
        </w:rPr>
        <w:t>二是网络建设不完善，门诊医疗救助目前还不能实现医院前端联网结算。</w:t>
      </w:r>
      <w:r>
        <w:rPr>
          <w:rFonts w:hint="eastAsia" w:ascii="仿宋_GB2312" w:hAnsi="宋体" w:eastAsia="仿宋_GB2312"/>
          <w:color w:val="auto"/>
          <w:sz w:val="32"/>
          <w:szCs w:val="32"/>
          <w:lang w:val="zh-CN"/>
        </w:rPr>
        <w:tab/>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（三）相关建议。</w:t>
      </w:r>
    </w:p>
    <w:p>
      <w:pPr>
        <w:spacing w:line="360" w:lineRule="auto"/>
        <w:ind w:firstLine="640" w:firstLineChars="200"/>
        <w:rPr>
          <w:color w:val="auto"/>
          <w:lang w:val="zh-CN"/>
        </w:rPr>
      </w:pPr>
      <w:r>
        <w:rPr>
          <w:rFonts w:hint="eastAsia" w:eastAsia="仿宋_GB2312"/>
          <w:color w:val="auto"/>
          <w:sz w:val="32"/>
          <w:szCs w:val="32"/>
        </w:rPr>
        <w:t>按照省、市医疗保障局工作部署，恳请省局继续加大对盐边县医疗救助转移性财政资金支持力度，进一步提高中央和省级医疗救助补助资金的支持。</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spacing w:line="360" w:lineRule="auto"/>
              <w:textAlignment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pPr>
              <w:widowControl/>
              <w:spacing w:line="360" w:lineRule="auto"/>
              <w:jc w:val="center"/>
              <w:textAlignment w:val="center"/>
              <w:rPr>
                <w:rFonts w:hint="eastAsia" w:ascii="仿宋_GB2312" w:hAnsi="仿宋_GB2312" w:eastAsia="仿宋_GB2312" w:cs="仿宋_GB2312"/>
                <w:b/>
                <w:color w:val="auto"/>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518001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盐边县医疗保障局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项目预算</w:t>
            </w:r>
          </w:p>
          <w:p>
            <w:pPr>
              <w:widowControl/>
              <w:spacing w:line="360" w:lineRule="auto"/>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执行情况</w:t>
            </w:r>
          </w:p>
          <w:p>
            <w:pPr>
              <w:widowControl/>
              <w:spacing w:line="36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961.97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961.97</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其中：</w:t>
            </w:r>
          </w:p>
          <w:p>
            <w:pPr>
              <w:widowControl/>
              <w:spacing w:line="36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961.97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其中：</w:t>
            </w:r>
          </w:p>
          <w:p>
            <w:pPr>
              <w:widowControl/>
              <w:spacing w:line="36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961.97</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_GB2312" w:hAnsi="仿宋_GB2312" w:eastAsia="仿宋_GB2312" w:cs="仿宋_GB2312"/>
                <w:color w:val="auto"/>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年度总体目标</w:t>
            </w:r>
          </w:p>
          <w:p>
            <w:pPr>
              <w:widowControl/>
              <w:spacing w:line="36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持续做好困难群众参保资助工作；重点救助对象自付医疗费用按规定年度限额内住院救助比例达到70%；年度救助对象人次符合客观需要；强化医疗救助规范管理。有效化解不合理累计结余。</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资助4992名城乡困难群众参加基本医疗保险；重点救助对象自付医疗费用按规定年度限额内住院救助比例达到70%；年度住院救助人次5012，门诊救助人次381；强 化医疗救助规范管理，有效化解不合理累计结余；减轻困难群众医疗负担。</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一级</w:t>
            </w:r>
          </w:p>
          <w:p>
            <w:pPr>
              <w:widowControl/>
              <w:spacing w:line="36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w:t>
            </w:r>
          </w:p>
          <w:p>
            <w:pPr>
              <w:widowControl/>
              <w:spacing w:line="36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三级</w:t>
            </w:r>
          </w:p>
          <w:p>
            <w:pPr>
              <w:widowControl/>
              <w:spacing w:line="36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完成</w:t>
            </w:r>
          </w:p>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资助参保人数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根据实际需资助人员进行资助参保</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4992人</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142" w:type="dxa"/>
            <w:vMerge w:val="continue"/>
            <w:tcBorders>
              <w:left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kern w:val="0"/>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住院救助人次数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根据实际住院人数救助</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5012人</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142" w:type="dxa"/>
            <w:vMerge w:val="continue"/>
            <w:tcBorders>
              <w:left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kern w:val="0"/>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门诊救助人次数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根据实际门诊就医人数救助</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381人</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重点救助对象自付费用按规定年度限额内住院救助比例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“一站式”即时结算覆盖率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不低于上年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医疗救助资金使用情况</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不低于上年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效益</w:t>
            </w:r>
          </w:p>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不合理累计结余减少程度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医疗救助对象覆盖范围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逐步扩大</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低收入对象及因病返贫对象标准明确</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困难群众看病就医方便程度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明显提高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明显提高</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困难群众医疗费用负担减轻程度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有效缓解</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有效缓解</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对健全社会救助体系的影响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成效明显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成效明显</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对健全医疗保障制度体系的作用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成效明显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成效明显</w:t>
            </w:r>
          </w:p>
        </w:tc>
      </w:tr>
      <w:tr>
        <w:tblPrEx>
          <w:tblCellMar>
            <w:top w:w="0" w:type="dxa"/>
            <w:left w:w="108" w:type="dxa"/>
            <w:bottom w:w="0" w:type="dxa"/>
            <w:right w:w="108" w:type="dxa"/>
          </w:tblCellMar>
        </w:tblPrEx>
        <w:trPr>
          <w:gridAfter w:val="1"/>
          <w:wAfter w:w="236" w:type="dxa"/>
          <w:trHeight w:val="260"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满意</w:t>
            </w:r>
          </w:p>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满意度</w:t>
            </w:r>
          </w:p>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政策知晓率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98%</w:t>
            </w:r>
          </w:p>
        </w:tc>
      </w:tr>
      <w:tr>
        <w:tblPrEx>
          <w:tblCellMar>
            <w:top w:w="0" w:type="dxa"/>
            <w:left w:w="108" w:type="dxa"/>
            <w:bottom w:w="0" w:type="dxa"/>
            <w:right w:w="108" w:type="dxa"/>
          </w:tblCellMar>
        </w:tblPrEx>
        <w:trPr>
          <w:gridAfter w:val="1"/>
          <w:wAfter w:w="236" w:type="dxa"/>
          <w:trHeight w:val="530" w:hRule="atLeast"/>
        </w:trPr>
        <w:tc>
          <w:tcPr>
            <w:tcW w:w="1976" w:type="dxa"/>
            <w:tcBorders>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rPr>
            </w:pPr>
          </w:p>
        </w:tc>
        <w:tc>
          <w:tcPr>
            <w:tcW w:w="114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kern w:val="0"/>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满意度</w:t>
            </w:r>
          </w:p>
          <w:p>
            <w:pPr>
              <w:widowControl/>
              <w:spacing w:line="360" w:lineRule="auto"/>
              <w:jc w:val="center"/>
              <w:textAlignment w:val="bottom"/>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bl>
    <w:p>
      <w:pPr>
        <w:widowControl/>
        <w:spacing w:line="360" w:lineRule="auto"/>
        <w:jc w:val="left"/>
        <w:rPr>
          <w:rStyle w:val="25"/>
          <w:rFonts w:ascii="黑体" w:hAnsi="黑体" w:eastAsia="黑体"/>
          <w:b w:val="0"/>
          <w:color w:val="auto"/>
        </w:rPr>
      </w:pPr>
    </w:p>
    <w:p>
      <w:pPr>
        <w:widowControl/>
        <w:spacing w:line="360" w:lineRule="auto"/>
        <w:jc w:val="left"/>
        <w:rPr>
          <w:rStyle w:val="25"/>
          <w:rFonts w:ascii="黑体" w:hAnsi="黑体" w:eastAsia="黑体"/>
          <w:b w:val="0"/>
          <w:color w:val="auto"/>
        </w:rPr>
      </w:pPr>
    </w:p>
    <w:p>
      <w:pPr>
        <w:widowControl/>
        <w:spacing w:line="360" w:lineRule="auto"/>
        <w:jc w:val="left"/>
        <w:rPr>
          <w:rStyle w:val="25"/>
          <w:rFonts w:ascii="黑体" w:hAnsi="黑体" w:eastAsia="黑体"/>
          <w:b w:val="0"/>
          <w:color w:val="auto"/>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int="eastAsia" w:hAnsi="宋体" w:cs="宋体"/>
          <w:color w:val="auto"/>
          <w:sz w:val="32"/>
          <w:szCs w:val="32"/>
          <w:shd w:val="clear" w:color="auto" w:fill="FFFFFF"/>
          <w:lang w:val="zh-CN"/>
        </w:rPr>
      </w:pPr>
    </w:p>
    <w:p>
      <w:pPr>
        <w:pStyle w:val="2"/>
        <w:spacing w:before="93" w:line="360" w:lineRule="auto"/>
        <w:rPr>
          <w:rFonts w:hint="eastAsia" w:hAnsi="宋体" w:cs="宋体"/>
          <w:color w:val="auto"/>
          <w:sz w:val="32"/>
          <w:szCs w:val="32"/>
          <w:shd w:val="clear" w:color="auto" w:fill="FFFFFF"/>
          <w:lang w:val="zh-CN"/>
        </w:rPr>
      </w:pPr>
    </w:p>
    <w:p>
      <w:pPr>
        <w:pStyle w:val="2"/>
        <w:spacing w:before="93" w:line="360" w:lineRule="auto"/>
        <w:rPr>
          <w:color w:val="auto"/>
          <w:lang w:val="zh-CN"/>
        </w:rPr>
      </w:pPr>
      <w:r>
        <w:rPr>
          <w:rFonts w:hint="eastAsia" w:hAnsi="宋体" w:cs="宋体"/>
          <w:color w:val="auto"/>
          <w:sz w:val="32"/>
          <w:szCs w:val="32"/>
          <w:shd w:val="clear" w:color="auto" w:fill="FFFFFF"/>
          <w:lang w:val="zh-CN"/>
        </w:rPr>
        <w:t>附件</w:t>
      </w:r>
    </w:p>
    <w:p>
      <w:pPr>
        <w:spacing w:line="360" w:lineRule="auto"/>
        <w:jc w:val="center"/>
        <w:rPr>
          <w:rFonts w:ascii="方正小标宋简体" w:hAnsi="方正小标宋简体" w:eastAsia="方正小标宋简体" w:cs="方正小标宋简体"/>
          <w:color w:val="auto"/>
          <w:sz w:val="40"/>
          <w:szCs w:val="40"/>
          <w:lang w:val="zh-CN"/>
        </w:rPr>
      </w:pPr>
      <w:r>
        <w:rPr>
          <w:rFonts w:hint="eastAsia" w:ascii="方正小标宋简体" w:hAnsi="方正小标宋简体" w:eastAsia="方正小标宋简体" w:cs="方正小标宋简体"/>
          <w:color w:val="auto"/>
          <w:sz w:val="40"/>
          <w:szCs w:val="40"/>
        </w:rPr>
        <w:t>2021年</w:t>
      </w:r>
      <w:r>
        <w:rPr>
          <w:rFonts w:hint="eastAsia" w:ascii="方正小标宋简体" w:hAnsi="方正小标宋简体" w:eastAsia="方正小标宋简体" w:cs="方正小标宋简体"/>
          <w:color w:val="auto"/>
          <w:sz w:val="40"/>
          <w:szCs w:val="40"/>
          <w:lang w:val="zh-CN"/>
        </w:rPr>
        <w:t>专项预算项目支出绩效自评报告范本</w:t>
      </w:r>
    </w:p>
    <w:p>
      <w:pPr>
        <w:spacing w:line="360" w:lineRule="auto"/>
        <w:jc w:val="center"/>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w:t>
      </w:r>
      <w:r>
        <w:rPr>
          <w:rFonts w:hint="eastAsia" w:ascii="方正小标宋_GBK" w:hAnsi="黑体" w:eastAsia="方正小标宋_GBK" w:cs="黑体"/>
          <w:color w:val="auto"/>
          <w:sz w:val="36"/>
          <w:szCs w:val="36"/>
        </w:rPr>
        <w:t>困难群众社会保险个人缴费代缴资金</w:t>
      </w:r>
      <w:r>
        <w:rPr>
          <w:rFonts w:hint="eastAsia" w:ascii="仿宋_GB2312" w:hAnsi="宋体" w:eastAsia="仿宋_GB2312"/>
          <w:color w:val="auto"/>
          <w:sz w:val="32"/>
          <w:szCs w:val="32"/>
          <w:lang w:val="zh-CN"/>
        </w:rPr>
        <w:t>）</w:t>
      </w:r>
    </w:p>
    <w:p>
      <w:pPr>
        <w:spacing w:line="360" w:lineRule="auto"/>
        <w:ind w:firstLine="640"/>
        <w:jc w:val="center"/>
        <w:rPr>
          <w:rFonts w:ascii="宋体" w:hAnsi="宋体"/>
          <w:color w:val="auto"/>
          <w:sz w:val="32"/>
          <w:szCs w:val="32"/>
          <w:lang w:val="zh-CN"/>
        </w:rPr>
      </w:pPr>
    </w:p>
    <w:p>
      <w:pPr>
        <w:adjustRightInd w:val="0"/>
        <w:snapToGrid w:val="0"/>
        <w:spacing w:line="360" w:lineRule="auto"/>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1．说明项目主管部门（单位）在该项目管理中的职能。</w:t>
      </w:r>
    </w:p>
    <w:p>
      <w:pPr>
        <w:autoSpaceDE w:val="0"/>
        <w:autoSpaceDN w:val="0"/>
        <w:adjustRightInd w:val="0"/>
        <w:spacing w:line="360" w:lineRule="auto"/>
        <w:ind w:firstLine="640" w:firstLineChars="200"/>
        <w:jc w:val="left"/>
        <w:rPr>
          <w:color w:val="auto"/>
          <w:lang w:val="zh-CN"/>
        </w:rPr>
      </w:pPr>
      <w:r>
        <w:rPr>
          <w:rFonts w:eastAsia="仿宋_GB2312"/>
          <w:color w:val="auto"/>
          <w:kern w:val="0"/>
          <w:sz w:val="32"/>
          <w:szCs w:val="32"/>
        </w:rPr>
        <w:t>在该项目管理中</w:t>
      </w:r>
      <w:r>
        <w:rPr>
          <w:rFonts w:hint="eastAsia" w:eastAsia="仿宋_GB2312"/>
          <w:color w:val="auto"/>
          <w:kern w:val="0"/>
          <w:sz w:val="32"/>
          <w:szCs w:val="32"/>
        </w:rPr>
        <w:t>负责组织资助县内困难群众参保</w:t>
      </w:r>
      <w:r>
        <w:rPr>
          <w:rFonts w:eastAsia="仿宋_GB2312"/>
          <w:color w:val="auto"/>
          <w:kern w:val="0"/>
          <w:sz w:val="32"/>
          <w:szCs w:val="32"/>
        </w:rPr>
        <w:t>。</w:t>
      </w:r>
    </w:p>
    <w:p>
      <w:pPr>
        <w:numPr>
          <w:ilvl w:val="0"/>
          <w:numId w:val="9"/>
        </w:num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项目立项、资金申报的依据。</w:t>
      </w:r>
    </w:p>
    <w:p>
      <w:pPr>
        <w:pStyle w:val="2"/>
        <w:spacing w:before="93" w:line="360" w:lineRule="auto"/>
        <w:ind w:firstLine="640" w:firstLineChars="200"/>
        <w:rPr>
          <w:color w:val="auto"/>
          <w:lang w:val="zh-CN"/>
        </w:rPr>
      </w:pPr>
      <w:r>
        <w:rPr>
          <w:rFonts w:hint="eastAsia" w:ascii="Times New Roman"/>
          <w:color w:val="auto"/>
          <w:sz w:val="32"/>
          <w:szCs w:val="32"/>
        </w:rPr>
        <w:t>根据《攀枝花市医疗保障局等七部门关于做好资助困难居民参加2021年度城乡居民医疗保险有关工作的通知》（攀医保〔2020〕100 号）要求进行该项目立项和资金申报</w:t>
      </w:r>
      <w:r>
        <w:rPr>
          <w:rFonts w:ascii="Times New Roman"/>
          <w:color w:val="auto"/>
          <w:sz w:val="32"/>
          <w:szCs w:val="32"/>
        </w:rPr>
        <w:t>。</w:t>
      </w:r>
    </w:p>
    <w:p>
      <w:pPr>
        <w:numPr>
          <w:ilvl w:val="0"/>
          <w:numId w:val="9"/>
        </w:num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资金管理办法制定情况，资金支持具体项目的条件、范围与支持方式概况。</w:t>
      </w:r>
    </w:p>
    <w:p>
      <w:pPr>
        <w:pStyle w:val="2"/>
        <w:spacing w:before="93" w:line="360" w:lineRule="auto"/>
        <w:ind w:left="720"/>
        <w:rPr>
          <w:rFonts w:ascii="Times New Roman"/>
          <w:color w:val="auto"/>
          <w:sz w:val="32"/>
          <w:szCs w:val="32"/>
        </w:rPr>
      </w:pPr>
      <w:r>
        <w:rPr>
          <w:rFonts w:hint="eastAsia" w:ascii="Times New Roman"/>
          <w:color w:val="auto"/>
          <w:sz w:val="32"/>
          <w:szCs w:val="32"/>
        </w:rPr>
        <w:t>项目资金由乡村振兴局（原县扶贫开发局）提供困难人</w:t>
      </w:r>
    </w:p>
    <w:p>
      <w:pPr>
        <w:pStyle w:val="2"/>
        <w:spacing w:before="93" w:line="360" w:lineRule="auto"/>
        <w:rPr>
          <w:color w:val="auto"/>
          <w:lang w:val="zh-CN"/>
        </w:rPr>
      </w:pPr>
      <w:r>
        <w:rPr>
          <w:rFonts w:hint="eastAsia" w:ascii="Times New Roman"/>
          <w:color w:val="auto"/>
          <w:sz w:val="32"/>
          <w:szCs w:val="32"/>
        </w:rPr>
        <w:t>员名单，我单位根据人数及资助标准计算金额后申报资金。资金到位后</w:t>
      </w:r>
      <w:r>
        <w:rPr>
          <w:rFonts w:hint="eastAsia"/>
          <w:color w:val="auto"/>
          <w:sz w:val="32"/>
          <w:szCs w:val="32"/>
        </w:rPr>
        <w:t>转入市级单位统筹使用。</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1．项目主要内容。</w:t>
      </w:r>
    </w:p>
    <w:p>
      <w:pPr>
        <w:autoSpaceDE w:val="0"/>
        <w:autoSpaceDN w:val="0"/>
        <w:adjustRightInd w:val="0"/>
        <w:spacing w:line="360" w:lineRule="auto"/>
        <w:ind w:firstLine="640" w:firstLineChars="200"/>
        <w:jc w:val="left"/>
        <w:rPr>
          <w:color w:val="auto"/>
          <w:lang w:val="zh-CN"/>
        </w:rPr>
      </w:pPr>
      <w:r>
        <w:rPr>
          <w:rFonts w:hint="eastAsia" w:eastAsia="仿宋_GB2312"/>
          <w:color w:val="auto"/>
          <w:kern w:val="0"/>
          <w:sz w:val="32"/>
          <w:szCs w:val="32"/>
        </w:rPr>
        <w:t>资助县内18074名困难群众参加2021年城乡居民医疗保险。</w:t>
      </w:r>
    </w:p>
    <w:p>
      <w:pPr>
        <w:numPr>
          <w:ilvl w:val="0"/>
          <w:numId w:val="10"/>
        </w:num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项目应实现的具体绩效目标，包括目标的量化、细化情况以及项目实施进度计划等。</w:t>
      </w:r>
    </w:p>
    <w:p>
      <w:pPr>
        <w:autoSpaceDE w:val="0"/>
        <w:autoSpaceDN w:val="0"/>
        <w:adjustRightInd w:val="0"/>
        <w:spacing w:line="360" w:lineRule="auto"/>
        <w:ind w:firstLine="640" w:firstLineChars="200"/>
        <w:jc w:val="left"/>
        <w:rPr>
          <w:rFonts w:eastAsia="仿宋_GB2312"/>
          <w:color w:val="auto"/>
          <w:sz w:val="32"/>
          <w:szCs w:val="32"/>
        </w:rPr>
      </w:pPr>
      <w:r>
        <w:rPr>
          <w:rFonts w:hint="eastAsia" w:eastAsia="仿宋_GB2312"/>
          <w:color w:val="auto"/>
          <w:sz w:val="32"/>
          <w:szCs w:val="32"/>
        </w:rPr>
        <w:t>项目应完成指标包括数量指标：①资助参保人数，18074人；②资助参保标准，建档立卡300元/人·年，非建档立卡150元/人·年。质量指标：困难群众参保率，100%。时效指标：参保资金上解时间，在规定时间内按时上解。</w:t>
      </w:r>
    </w:p>
    <w:p>
      <w:pPr>
        <w:spacing w:line="360" w:lineRule="auto"/>
        <w:ind w:firstLine="640"/>
        <w:rPr>
          <w:rFonts w:eastAsia="仿宋_GB2312"/>
          <w:color w:val="auto"/>
          <w:sz w:val="32"/>
          <w:szCs w:val="32"/>
        </w:rPr>
      </w:pPr>
      <w:r>
        <w:rPr>
          <w:rFonts w:eastAsia="仿宋_GB2312"/>
          <w:color w:val="auto"/>
          <w:sz w:val="32"/>
          <w:szCs w:val="32"/>
        </w:rPr>
        <w:t>项目效益</w:t>
      </w:r>
      <w:r>
        <w:rPr>
          <w:rFonts w:hint="eastAsia" w:eastAsia="仿宋_GB2312"/>
          <w:color w:val="auto"/>
          <w:sz w:val="32"/>
          <w:szCs w:val="32"/>
        </w:rPr>
        <w:t>指标包括社会效益指标：持续保障困难群众参加城乡居民医疗保险。可持续影响指标：①保障城乡医保基金运行，成效明显；②持续保障困难群众正常享受医疗待遇。</w:t>
      </w:r>
    </w:p>
    <w:p>
      <w:pPr>
        <w:spacing w:line="360" w:lineRule="auto"/>
        <w:ind w:firstLine="640" w:firstLineChars="200"/>
        <w:rPr>
          <w:color w:val="auto"/>
          <w:lang w:val="zh-CN"/>
        </w:rPr>
      </w:pPr>
      <w:r>
        <w:rPr>
          <w:rFonts w:eastAsia="仿宋_GB2312"/>
          <w:color w:val="auto"/>
          <w:sz w:val="32"/>
          <w:szCs w:val="32"/>
        </w:rPr>
        <w:t>满意度指标</w:t>
      </w:r>
      <w:r>
        <w:rPr>
          <w:rFonts w:hint="eastAsia" w:eastAsia="仿宋_GB2312"/>
          <w:color w:val="auto"/>
          <w:sz w:val="32"/>
          <w:szCs w:val="32"/>
        </w:rPr>
        <w:t>包括：①政策知晓率，95%；②工作满意度，99%。</w:t>
      </w:r>
    </w:p>
    <w:p>
      <w:pPr>
        <w:numPr>
          <w:ilvl w:val="0"/>
          <w:numId w:val="10"/>
        </w:num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分析评价申报内容是否与实际相符，申报目标是否合理可行。</w:t>
      </w:r>
    </w:p>
    <w:p>
      <w:pPr>
        <w:pStyle w:val="2"/>
        <w:spacing w:before="93" w:line="360" w:lineRule="auto"/>
        <w:ind w:left="720"/>
        <w:rPr>
          <w:color w:val="auto"/>
          <w:lang w:val="zh-CN"/>
        </w:rPr>
      </w:pPr>
      <w:r>
        <w:rPr>
          <w:rFonts w:ascii="Times New Roman"/>
          <w:color w:val="auto"/>
          <w:sz w:val="32"/>
          <w:szCs w:val="32"/>
        </w:rPr>
        <w:t>申报内容与实际相符，申报目标合理可行。</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adjustRightInd w:val="0"/>
        <w:snapToGrid w:val="0"/>
        <w:spacing w:line="360" w:lineRule="auto"/>
        <w:ind w:firstLine="720"/>
        <w:rPr>
          <w:rFonts w:eastAsia="仿宋_GB2312"/>
          <w:color w:val="auto"/>
          <w:sz w:val="32"/>
          <w:szCs w:val="32"/>
        </w:rPr>
      </w:pPr>
      <w:r>
        <w:rPr>
          <w:rFonts w:hint="eastAsia" w:eastAsia="仿宋_GB2312"/>
          <w:color w:val="auto"/>
          <w:sz w:val="32"/>
          <w:szCs w:val="32"/>
        </w:rPr>
        <w:t>本项目采取自评的方式，由项目负责人结合评价内容，做到有计划，有安排，扎实开展自评工作。按照项目支出绩效评价指标体系，对项目内容、实施情况、社会效益等开展自评工作。</w:t>
      </w:r>
    </w:p>
    <w:p>
      <w:pPr>
        <w:adjustRightInd w:val="0"/>
        <w:snapToGrid w:val="0"/>
        <w:spacing w:line="360" w:lineRule="auto"/>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360" w:lineRule="auto"/>
        <w:ind w:firstLine="720"/>
        <w:rPr>
          <w:rFonts w:ascii="仿宋_GB2312" w:hAnsi="宋体" w:eastAsia="仿宋_GB2312"/>
          <w:color w:val="auto"/>
          <w:sz w:val="32"/>
          <w:szCs w:val="32"/>
          <w:lang w:val="zh-CN"/>
        </w:rPr>
      </w:pPr>
      <w:r>
        <w:rPr>
          <w:rFonts w:hint="eastAsia" w:eastAsia="仿宋_GB2312"/>
          <w:color w:val="auto"/>
          <w:kern w:val="0"/>
          <w:sz w:val="32"/>
          <w:szCs w:val="32"/>
        </w:rPr>
        <w:t>根据盐财资农〔2021〕53号关于下达资助困难人员参加2021年城乡居民医疗保险所需资金的通知下达县级资金328.06万元，盐财资行〔2021〕124号下达省级资金129.65万元，盐财资行〔2021〕552号下达省级资金144.89万元。</w:t>
      </w:r>
    </w:p>
    <w:p>
      <w:pPr>
        <w:adjustRightInd w:val="0"/>
        <w:snapToGrid w:val="0"/>
        <w:spacing w:line="360" w:lineRule="auto"/>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（二）资金计划、到位及使用情况（可用表格形式反映）。</w:t>
      </w:r>
    </w:p>
    <w:p>
      <w:pPr>
        <w:adjustRightInd w:val="0"/>
        <w:snapToGrid w:val="0"/>
        <w:spacing w:line="360" w:lineRule="auto"/>
        <w:ind w:firstLine="720"/>
        <w:rPr>
          <w:rFonts w:ascii="楷体_GB2312" w:hAnsi="宋体" w:eastAsia="楷体_GB2312"/>
          <w:color w:val="auto"/>
          <w:sz w:val="32"/>
          <w:szCs w:val="32"/>
          <w:lang w:val="zh-CN"/>
        </w:rPr>
      </w:pPr>
      <w:r>
        <w:rPr>
          <w:rFonts w:hint="eastAsia" w:ascii="楷体_GB2312" w:hAnsi="宋体" w:eastAsia="楷体_GB2312"/>
          <w:color w:val="auto"/>
          <w:sz w:val="32"/>
          <w:szCs w:val="32"/>
          <w:lang w:val="zh-CN"/>
        </w:rPr>
        <w:t>1．资金计划。</w:t>
      </w:r>
    </w:p>
    <w:p>
      <w:pPr>
        <w:autoSpaceDE w:val="0"/>
        <w:autoSpaceDN w:val="0"/>
        <w:adjustRightInd w:val="0"/>
        <w:spacing w:line="360" w:lineRule="auto"/>
        <w:ind w:firstLine="640" w:firstLineChars="200"/>
        <w:jc w:val="left"/>
        <w:rPr>
          <w:color w:val="auto"/>
          <w:lang w:val="zh-CN"/>
        </w:rPr>
      </w:pPr>
      <w:r>
        <w:rPr>
          <w:rFonts w:hint="eastAsia" w:eastAsia="仿宋_GB2312"/>
          <w:color w:val="auto"/>
          <w:kern w:val="0"/>
          <w:sz w:val="32"/>
          <w:szCs w:val="32"/>
        </w:rPr>
        <w:t>全部用于资助困难人员参加城乡居民医疗保险</w:t>
      </w:r>
      <w:r>
        <w:rPr>
          <w:rFonts w:eastAsia="仿宋_GB2312"/>
          <w:color w:val="auto"/>
          <w:kern w:val="0"/>
          <w:sz w:val="32"/>
          <w:szCs w:val="32"/>
        </w:rPr>
        <w:t>。</w:t>
      </w:r>
    </w:p>
    <w:p>
      <w:pPr>
        <w:numPr>
          <w:ilvl w:val="0"/>
          <w:numId w:val="11"/>
        </w:numPr>
        <w:autoSpaceDE w:val="0"/>
        <w:autoSpaceDN w:val="0"/>
        <w:adjustRightInd w:val="0"/>
        <w:spacing w:line="360" w:lineRule="auto"/>
        <w:ind w:firstLine="640" w:firstLineChars="200"/>
        <w:jc w:val="left"/>
        <w:rPr>
          <w:rFonts w:ascii="楷体_GB2312" w:hAnsi="宋体" w:eastAsia="楷体_GB2312"/>
          <w:color w:val="auto"/>
          <w:sz w:val="32"/>
          <w:szCs w:val="32"/>
          <w:lang w:val="zh-CN"/>
        </w:rPr>
      </w:pPr>
      <w:r>
        <w:rPr>
          <w:rFonts w:hint="eastAsia" w:ascii="楷体_GB2312" w:hAnsi="宋体" w:eastAsia="楷体_GB2312"/>
          <w:color w:val="auto"/>
          <w:sz w:val="32"/>
          <w:szCs w:val="32"/>
          <w:lang w:val="zh-CN"/>
        </w:rPr>
        <w:t>资金到位。</w:t>
      </w:r>
    </w:p>
    <w:p>
      <w:pPr>
        <w:autoSpaceDE w:val="0"/>
        <w:autoSpaceDN w:val="0"/>
        <w:adjustRightIn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已到位省级下达资金274.54万元，</w:t>
      </w:r>
      <w:r>
        <w:rPr>
          <w:rFonts w:eastAsia="仿宋_GB2312"/>
          <w:color w:val="auto"/>
          <w:kern w:val="0"/>
          <w:sz w:val="32"/>
          <w:szCs w:val="32"/>
        </w:rPr>
        <w:t>县财政资金</w:t>
      </w:r>
      <w:r>
        <w:rPr>
          <w:rFonts w:hint="eastAsia" w:eastAsia="仿宋_GB2312"/>
          <w:color w:val="auto"/>
          <w:kern w:val="0"/>
          <w:sz w:val="32"/>
          <w:szCs w:val="32"/>
        </w:rPr>
        <w:t>328.06万元</w:t>
      </w:r>
      <w:r>
        <w:rPr>
          <w:rFonts w:eastAsia="仿宋_GB2312"/>
          <w:color w:val="auto"/>
          <w:kern w:val="0"/>
          <w:sz w:val="32"/>
          <w:szCs w:val="32"/>
        </w:rPr>
        <w:t>。</w:t>
      </w:r>
    </w:p>
    <w:p>
      <w:pPr>
        <w:numPr>
          <w:ilvl w:val="0"/>
          <w:numId w:val="11"/>
        </w:numPr>
        <w:adjustRightInd w:val="0"/>
        <w:snapToGrid w:val="0"/>
        <w:spacing w:line="360" w:lineRule="auto"/>
        <w:ind w:firstLine="640" w:firstLineChars="200"/>
        <w:rPr>
          <w:rFonts w:ascii="楷体_GB2312" w:hAnsi="宋体" w:eastAsia="楷体_GB2312"/>
          <w:color w:val="auto"/>
          <w:sz w:val="32"/>
          <w:szCs w:val="32"/>
          <w:lang w:val="zh-CN"/>
        </w:rPr>
      </w:pPr>
      <w:r>
        <w:rPr>
          <w:rFonts w:hint="eastAsia" w:ascii="楷体_GB2312" w:hAnsi="宋体" w:eastAsia="楷体_GB2312"/>
          <w:color w:val="auto"/>
          <w:sz w:val="32"/>
          <w:szCs w:val="32"/>
          <w:lang w:val="zh-CN"/>
        </w:rPr>
        <w:t>资金使用。</w:t>
      </w:r>
    </w:p>
    <w:p>
      <w:pPr>
        <w:adjustRightInd w:val="0"/>
        <w:snapToGrid w:val="0"/>
        <w:spacing w:line="360" w:lineRule="auto"/>
        <w:ind w:left="420" w:leftChars="200"/>
        <w:rPr>
          <w:rFonts w:ascii="楷体_GB2312" w:hAnsi="宋体" w:eastAsia="楷体_GB2312"/>
          <w:b/>
          <w:color w:val="auto"/>
          <w:sz w:val="32"/>
          <w:szCs w:val="32"/>
          <w:lang w:val="zh-CN"/>
        </w:rPr>
      </w:pPr>
      <w:r>
        <w:rPr>
          <w:rFonts w:hint="eastAsia" w:eastAsia="仿宋_GB2312"/>
          <w:color w:val="auto"/>
          <w:kern w:val="0"/>
          <w:sz w:val="32"/>
          <w:szCs w:val="32"/>
        </w:rPr>
        <w:t>到位资金全部上解至市级统筹使用</w:t>
      </w:r>
      <w:r>
        <w:rPr>
          <w:rFonts w:eastAsia="仿宋_GB2312"/>
          <w:color w:val="auto"/>
          <w:kern w:val="0"/>
          <w:sz w:val="32"/>
          <w:szCs w:val="32"/>
        </w:rPr>
        <w:t>。</w:t>
      </w:r>
    </w:p>
    <w:p>
      <w:pPr>
        <w:adjustRightInd w:val="0"/>
        <w:snapToGrid w:val="0"/>
        <w:spacing w:line="360" w:lineRule="auto"/>
        <w:ind w:left="420" w:leftChars="20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（三）项目财务管理情况。</w:t>
      </w:r>
    </w:p>
    <w:p>
      <w:pPr>
        <w:autoSpaceDE w:val="0"/>
        <w:autoSpaceDN w:val="0"/>
        <w:adjustRightIn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我单位</w:t>
      </w:r>
      <w:r>
        <w:rPr>
          <w:rFonts w:eastAsia="仿宋_GB2312"/>
          <w:color w:val="auto"/>
          <w:kern w:val="0"/>
          <w:sz w:val="32"/>
          <w:szCs w:val="32"/>
        </w:rPr>
        <w:t>财务管理制度健全，严格执行财务管理制度，账务处理及时，会计核算规范。</w:t>
      </w:r>
    </w:p>
    <w:p>
      <w:pPr>
        <w:adjustRightInd w:val="0"/>
        <w:snapToGrid w:val="0"/>
        <w:spacing w:line="360" w:lineRule="auto"/>
        <w:ind w:firstLine="720"/>
        <w:rPr>
          <w:rFonts w:ascii="黑体" w:hAnsi="宋体" w:eastAsia="黑体"/>
          <w:color w:val="auto"/>
          <w:sz w:val="32"/>
          <w:szCs w:val="32"/>
        </w:rPr>
      </w:pPr>
      <w:r>
        <w:rPr>
          <w:rFonts w:hint="eastAsia" w:ascii="黑体" w:hAnsi="宋体" w:eastAsia="黑体"/>
          <w:color w:val="auto"/>
          <w:sz w:val="32"/>
          <w:szCs w:val="32"/>
        </w:rPr>
        <w:t>三、项目实施及管理情况</w:t>
      </w:r>
    </w:p>
    <w:p>
      <w:pPr>
        <w:numPr>
          <w:ilvl w:val="0"/>
          <w:numId w:val="12"/>
        </w:num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项目组织架构及实施流程。</w:t>
      </w:r>
    </w:p>
    <w:p>
      <w:pPr>
        <w:autoSpaceDE w:val="0"/>
        <w:autoSpaceDN w:val="0"/>
        <w:adjustRightInd w:val="0"/>
        <w:spacing w:line="360" w:lineRule="auto"/>
        <w:ind w:firstLine="640" w:firstLineChars="200"/>
        <w:jc w:val="left"/>
        <w:rPr>
          <w:color w:val="auto"/>
          <w:lang w:val="zh-CN"/>
        </w:rPr>
      </w:pPr>
      <w:r>
        <w:rPr>
          <w:rFonts w:hint="eastAsia" w:eastAsia="仿宋_GB2312"/>
          <w:color w:val="auto"/>
          <w:kern w:val="0"/>
          <w:sz w:val="32"/>
          <w:szCs w:val="32"/>
        </w:rPr>
        <w:t>县医疗保障局负责组织资助县内困难群众参保，县医疗保障事务中心负责项目具体实施，县乡村振兴局（原县扶贫开发局）负责提供困难群众资助参保人员名单。</w:t>
      </w:r>
    </w:p>
    <w:p>
      <w:pPr>
        <w:numPr>
          <w:ilvl w:val="0"/>
          <w:numId w:val="12"/>
        </w:num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项目管理情况。</w:t>
      </w:r>
    </w:p>
    <w:p>
      <w:pPr>
        <w:pStyle w:val="2"/>
        <w:spacing w:before="93" w:line="360" w:lineRule="auto"/>
        <w:ind w:left="720"/>
        <w:rPr>
          <w:rFonts w:ascii="Times New Roman"/>
          <w:color w:val="auto"/>
          <w:sz w:val="32"/>
          <w:szCs w:val="32"/>
        </w:rPr>
      </w:pPr>
      <w:r>
        <w:rPr>
          <w:rFonts w:hint="eastAsia" w:ascii="Times New Roman"/>
          <w:color w:val="auto"/>
          <w:sz w:val="32"/>
          <w:szCs w:val="32"/>
        </w:rPr>
        <w:t>项目实施过程中，</w:t>
      </w:r>
      <w:r>
        <w:rPr>
          <w:rFonts w:ascii="Times New Roman"/>
          <w:color w:val="auto"/>
          <w:sz w:val="32"/>
          <w:szCs w:val="32"/>
        </w:rPr>
        <w:t>各项目实施单位</w:t>
      </w:r>
      <w:r>
        <w:rPr>
          <w:rFonts w:hint="eastAsia" w:ascii="Times New Roman"/>
          <w:color w:val="auto"/>
          <w:sz w:val="32"/>
          <w:szCs w:val="32"/>
        </w:rPr>
        <w:t>严格</w:t>
      </w:r>
      <w:r>
        <w:rPr>
          <w:rFonts w:ascii="Times New Roman"/>
          <w:color w:val="auto"/>
          <w:sz w:val="32"/>
          <w:szCs w:val="32"/>
        </w:rPr>
        <w:t>执行相关法律法</w:t>
      </w:r>
    </w:p>
    <w:p>
      <w:pPr>
        <w:pStyle w:val="2"/>
        <w:spacing w:before="93" w:line="360" w:lineRule="auto"/>
        <w:rPr>
          <w:color w:val="auto"/>
          <w:lang w:val="zh-CN"/>
        </w:rPr>
      </w:pPr>
      <w:r>
        <w:rPr>
          <w:rFonts w:ascii="Times New Roman"/>
          <w:color w:val="auto"/>
          <w:sz w:val="32"/>
          <w:szCs w:val="32"/>
        </w:rPr>
        <w:t>规及项目管理制度。</w:t>
      </w:r>
    </w:p>
    <w:p>
      <w:pPr>
        <w:numPr>
          <w:ilvl w:val="0"/>
          <w:numId w:val="12"/>
        </w:num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项目监管情况。</w:t>
      </w:r>
    </w:p>
    <w:p>
      <w:pPr>
        <w:pStyle w:val="2"/>
        <w:spacing w:before="93" w:line="360" w:lineRule="auto"/>
        <w:ind w:firstLine="640" w:firstLineChars="200"/>
        <w:rPr>
          <w:color w:val="auto"/>
          <w:lang w:val="zh-CN"/>
        </w:rPr>
      </w:pPr>
      <w:r>
        <w:rPr>
          <w:rFonts w:ascii="Times New Roman"/>
          <w:color w:val="auto"/>
          <w:sz w:val="32"/>
          <w:szCs w:val="32"/>
        </w:rPr>
        <w:t>为加强项目管理</w:t>
      </w:r>
      <w:r>
        <w:rPr>
          <w:rFonts w:hint="eastAsia" w:ascii="Times New Roman"/>
          <w:color w:val="auto"/>
          <w:sz w:val="32"/>
          <w:szCs w:val="32"/>
        </w:rPr>
        <w:t>，在项目实施期间，制定了专项资金管理工作制度，明确了资金付款流程，统一了资金申请手续，做到了层层审核、层层负责、层层把关。</w:t>
      </w:r>
    </w:p>
    <w:p>
      <w:pPr>
        <w:adjustRightInd w:val="0"/>
        <w:snapToGrid w:val="0"/>
        <w:spacing w:line="360" w:lineRule="auto"/>
        <w:ind w:left="720"/>
        <w:rPr>
          <w:rFonts w:ascii="仿宋_GB2312" w:hAnsi="宋体" w:eastAsia="仿宋_GB2312"/>
          <w:color w:val="auto"/>
          <w:sz w:val="32"/>
          <w:szCs w:val="32"/>
          <w:lang w:val="zh-CN"/>
        </w:rPr>
      </w:pPr>
      <w:r>
        <w:rPr>
          <w:rFonts w:hint="eastAsia" w:ascii="黑体" w:hAnsi="宋体" w:eastAsia="黑体"/>
          <w:color w:val="auto"/>
          <w:sz w:val="32"/>
          <w:szCs w:val="32"/>
        </w:rPr>
        <w:t>四、项目绩效情况</w:t>
      </w:r>
      <w:r>
        <w:rPr>
          <w:rFonts w:hint="eastAsia" w:ascii="仿宋_GB2312" w:hAnsi="宋体" w:eastAsia="仿宋_GB2312"/>
          <w:color w:val="auto"/>
          <w:sz w:val="32"/>
          <w:szCs w:val="32"/>
          <w:lang w:val="zh-CN"/>
        </w:rPr>
        <w:tab/>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autoSpaceDE w:val="0"/>
        <w:autoSpaceDN w:val="0"/>
        <w:adjustRightIn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项目</w:t>
      </w:r>
      <w:r>
        <w:rPr>
          <w:rFonts w:hint="eastAsia" w:eastAsia="仿宋_GB2312"/>
          <w:color w:val="auto"/>
          <w:kern w:val="0"/>
          <w:sz w:val="32"/>
          <w:szCs w:val="32"/>
        </w:rPr>
        <w:t>完成资助县内18074名困难群众参加2021年城乡居民医保，其中按照一档（300元/人）资助建档立卡贫困户17418人，按照一档50%差额（150元/人）资助非建档立卡特殊困难户656人</w:t>
      </w:r>
      <w:r>
        <w:rPr>
          <w:rFonts w:eastAsia="仿宋_GB2312"/>
          <w:color w:val="auto"/>
          <w:kern w:val="0"/>
          <w:sz w:val="32"/>
          <w:szCs w:val="32"/>
        </w:rPr>
        <w:t>。</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autoSpaceDE w:val="0"/>
        <w:autoSpaceDN w:val="0"/>
        <w:adjustRightIn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项目</w:t>
      </w:r>
      <w:r>
        <w:rPr>
          <w:rFonts w:hint="eastAsia" w:eastAsia="仿宋_GB2312"/>
          <w:color w:val="auto"/>
          <w:kern w:val="0"/>
          <w:sz w:val="32"/>
          <w:szCs w:val="32"/>
        </w:rPr>
        <w:t>保障了县内困难群众正常享受医保待遇</w:t>
      </w:r>
      <w:r>
        <w:rPr>
          <w:rFonts w:eastAsia="仿宋_GB2312"/>
          <w:color w:val="auto"/>
          <w:kern w:val="0"/>
          <w:sz w:val="32"/>
          <w:szCs w:val="32"/>
        </w:rPr>
        <w:t>，</w:t>
      </w:r>
      <w:r>
        <w:rPr>
          <w:rFonts w:hint="eastAsia" w:eastAsia="仿宋_GB2312"/>
          <w:color w:val="auto"/>
          <w:kern w:val="0"/>
          <w:sz w:val="32"/>
          <w:szCs w:val="32"/>
        </w:rPr>
        <w:t>有效提高我县居民参保率，有力保障了城乡医保基金稳定运行，群众满意度达99%</w:t>
      </w:r>
      <w:r>
        <w:rPr>
          <w:rFonts w:eastAsia="仿宋_GB2312"/>
          <w:color w:val="auto"/>
          <w:kern w:val="0"/>
          <w:sz w:val="32"/>
          <w:szCs w:val="32"/>
        </w:rPr>
        <w:t>。</w:t>
      </w:r>
    </w:p>
    <w:p>
      <w:pPr>
        <w:adjustRightInd w:val="0"/>
        <w:snapToGrid w:val="0"/>
        <w:spacing w:line="360" w:lineRule="auto"/>
        <w:ind w:firstLine="720"/>
        <w:rPr>
          <w:rFonts w:ascii="黑体" w:hAnsi="宋体" w:eastAsia="黑体"/>
          <w:color w:val="auto"/>
          <w:sz w:val="32"/>
          <w:szCs w:val="32"/>
        </w:rPr>
      </w:pPr>
      <w:r>
        <w:rPr>
          <w:rFonts w:hint="eastAsia" w:ascii="黑体" w:hAnsi="宋体" w:eastAsia="黑体"/>
          <w:color w:val="auto"/>
          <w:sz w:val="32"/>
          <w:szCs w:val="32"/>
        </w:rPr>
        <w:t>五、评价结论及建议</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（一）评价结论。</w:t>
      </w:r>
    </w:p>
    <w:p>
      <w:pPr>
        <w:spacing w:line="360" w:lineRule="auto"/>
        <w:ind w:firstLine="640" w:firstLineChars="200"/>
        <w:rPr>
          <w:rFonts w:ascii="仿宋_GB2312" w:hAnsi="宋体" w:eastAsia="仿宋_GB2312"/>
          <w:color w:val="auto"/>
          <w:sz w:val="32"/>
          <w:szCs w:val="32"/>
          <w:bdr w:val="single" w:color="auto" w:sz="4" w:space="0"/>
          <w:lang w:val="zh-CN"/>
        </w:rPr>
      </w:pPr>
      <w:r>
        <w:rPr>
          <w:rFonts w:hint="eastAsia" w:eastAsia="仿宋_GB2312"/>
          <w:color w:val="auto"/>
          <w:kern w:val="0"/>
          <w:sz w:val="32"/>
          <w:szCs w:val="32"/>
        </w:rPr>
        <w:t>该项目是困难群众正常享受医保待遇的重要举措，</w:t>
      </w:r>
      <w:r>
        <w:rPr>
          <w:rFonts w:hint="eastAsia" w:eastAsia="仿宋_GB2312"/>
          <w:color w:val="auto"/>
          <w:sz w:val="32"/>
          <w:szCs w:val="32"/>
        </w:rPr>
        <w:t>保障其享受医疗待遇，对照项目绩效指标，都</w:t>
      </w:r>
      <w:r>
        <w:rPr>
          <w:rFonts w:hint="eastAsia" w:eastAsia="仿宋_GB2312"/>
          <w:color w:val="auto"/>
          <w:sz w:val="32"/>
          <w:szCs w:val="32"/>
          <w:lang w:eastAsia="zh-CN"/>
        </w:rPr>
        <w:t>很好地完成</w:t>
      </w:r>
      <w:r>
        <w:rPr>
          <w:rFonts w:hint="eastAsia" w:eastAsia="仿宋_GB2312"/>
          <w:color w:val="auto"/>
          <w:sz w:val="32"/>
          <w:szCs w:val="32"/>
        </w:rPr>
        <w:t>了各项绩效指标。</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（二）存在的问题。</w:t>
      </w:r>
    </w:p>
    <w:p>
      <w:pPr>
        <w:adjustRightInd w:val="0"/>
        <w:snapToGrid w:val="0"/>
        <w:spacing w:line="360" w:lineRule="auto"/>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无。</w:t>
      </w:r>
      <w:r>
        <w:rPr>
          <w:rFonts w:hint="eastAsia" w:ascii="仿宋_GB2312" w:hAnsi="宋体" w:eastAsia="仿宋_GB2312"/>
          <w:color w:val="auto"/>
          <w:sz w:val="32"/>
          <w:szCs w:val="32"/>
          <w:lang w:val="zh-CN"/>
        </w:rPr>
        <w:tab/>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（三）相关建议。</w:t>
      </w:r>
    </w:p>
    <w:p>
      <w:pPr>
        <w:adjustRightInd w:val="0"/>
        <w:snapToGrid w:val="0"/>
        <w:spacing w:line="360" w:lineRule="auto"/>
        <w:ind w:firstLine="640" w:firstLineChars="200"/>
        <w:rPr>
          <w:color w:val="auto"/>
          <w:lang w:val="zh-CN"/>
        </w:rPr>
      </w:pPr>
      <w:r>
        <w:rPr>
          <w:rFonts w:hint="eastAsia" w:ascii="仿宋_GB2312" w:hAnsi="宋体" w:eastAsia="仿宋_GB2312"/>
          <w:color w:val="auto"/>
          <w:sz w:val="32"/>
          <w:szCs w:val="32"/>
          <w:lang w:val="zh-CN"/>
        </w:rPr>
        <w:t>无。</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spacing w:line="360" w:lineRule="auto"/>
              <w:jc w:val="center"/>
              <w:textAlignment w:val="center"/>
              <w:rPr>
                <w:rFonts w:ascii="宋体" w:hAnsi="宋体" w:cs="宋体"/>
                <w:b/>
                <w:color w:val="auto"/>
                <w:sz w:val="32"/>
                <w:szCs w:val="32"/>
              </w:rPr>
            </w:pPr>
            <w:r>
              <w:rPr>
                <w:rFonts w:hint="eastAsia" w:ascii="宋体" w:hAnsi="宋体" w:cs="宋体"/>
                <w:b/>
                <w:color w:val="auto"/>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pPr>
              <w:widowControl/>
              <w:spacing w:line="360" w:lineRule="auto"/>
              <w:jc w:val="center"/>
              <w:textAlignment w:val="center"/>
              <w:rPr>
                <w:rFonts w:ascii="宋体" w:hAnsi="宋体" w:cs="宋体"/>
                <w:b/>
                <w:color w:val="auto"/>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518001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盐边县医疗保障局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项目预算</w:t>
            </w:r>
          </w:p>
          <w:p>
            <w:pPr>
              <w:widowControl/>
              <w:spacing w:line="360" w:lineRule="auto"/>
              <w:jc w:val="center"/>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执行情况</w:t>
            </w:r>
          </w:p>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602.6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602.6</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其中：</w:t>
            </w:r>
          </w:p>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602.6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其中：</w:t>
            </w:r>
          </w:p>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602.6</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年度总体目标</w:t>
            </w:r>
          </w:p>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top"/>
              <w:rPr>
                <w:rFonts w:ascii="宋体" w:hAnsi="宋体" w:cs="宋体"/>
                <w:color w:val="auto"/>
                <w:sz w:val="24"/>
              </w:rPr>
            </w:pPr>
            <w:r>
              <w:rPr>
                <w:rFonts w:hint="eastAsia" w:ascii="宋体" w:hAnsi="宋体" w:cs="宋体"/>
                <w:color w:val="auto"/>
                <w:sz w:val="24"/>
              </w:rPr>
              <w:t>该项目是困难群众正常享受医保待遇的重要举措，保障其享受医疗待遇，对照项目绩效指标，都</w:t>
            </w:r>
            <w:r>
              <w:rPr>
                <w:rFonts w:hint="eastAsia" w:ascii="宋体" w:hAnsi="宋体" w:cs="宋体"/>
                <w:color w:val="auto"/>
                <w:sz w:val="24"/>
                <w:lang w:eastAsia="zh-CN"/>
              </w:rPr>
              <w:t>很好地完成</w:t>
            </w:r>
            <w:r>
              <w:rPr>
                <w:rFonts w:hint="eastAsia" w:ascii="宋体" w:hAnsi="宋体" w:cs="宋体"/>
                <w:color w:val="auto"/>
                <w:sz w:val="24"/>
              </w:rPr>
              <w:t>了各项绩效指标。</w:t>
            </w:r>
          </w:p>
          <w:p>
            <w:pPr>
              <w:widowControl/>
              <w:spacing w:line="360" w:lineRule="auto"/>
              <w:jc w:val="center"/>
              <w:textAlignment w:val="top"/>
              <w:rPr>
                <w:rFonts w:ascii="宋体" w:hAnsi="宋体" w:cs="宋体"/>
                <w:color w:val="auto"/>
                <w:sz w:val="24"/>
              </w:rPr>
            </w:pP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top"/>
              <w:rPr>
                <w:rFonts w:ascii="宋体" w:hAnsi="宋体" w:cs="宋体"/>
                <w:color w:val="auto"/>
                <w:sz w:val="24"/>
              </w:rPr>
            </w:pPr>
            <w:r>
              <w:rPr>
                <w:rFonts w:hint="eastAsia" w:ascii="宋体" w:hAnsi="宋体" w:cs="宋体"/>
                <w:color w:val="auto"/>
                <w:sz w:val="24"/>
              </w:rPr>
              <w:t>资助县内18590名困难群众参加城乡居民医疗保险，保障其医疗待遇。</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一级</w:t>
            </w:r>
          </w:p>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二级</w:t>
            </w:r>
          </w:p>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三级</w:t>
            </w:r>
          </w:p>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完成</w:t>
            </w:r>
          </w:p>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资助参保人数（名）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根据实际困难群众人数资助参保</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18074人</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continue"/>
            <w:tcBorders>
              <w:left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资助参保标准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根据当年标准资助</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建档立卡300元/人·年，非建档立卡150元/人·年</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困难群众参保率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参保资金上解时间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在规定时间内上解</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按时上解</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restart"/>
            <w:tcBorders>
              <w:top w:val="single" w:color="auto" w:sz="4" w:space="0"/>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效益 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保障困难群众参加城乡居民医疗保险</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持续保障</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持续保障</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保障困难群众正常享受医疗待遇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持续保障</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持续保障</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保障医保基金正常运行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成效明显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成效明显</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满意</w:t>
            </w:r>
          </w:p>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满意度</w:t>
            </w:r>
          </w:p>
          <w:p>
            <w:pPr>
              <w:widowControl/>
              <w:spacing w:line="360" w:lineRule="auto"/>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政策知晓率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≥90%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95%</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满意度</w:t>
            </w:r>
          </w:p>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工作满意度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99%</w:t>
            </w:r>
          </w:p>
        </w:tc>
      </w:tr>
    </w:tbl>
    <w:p>
      <w:pPr>
        <w:widowControl/>
        <w:spacing w:line="360" w:lineRule="auto"/>
        <w:jc w:val="left"/>
        <w:rPr>
          <w:rStyle w:val="25"/>
          <w:rFonts w:ascii="黑体" w:hAnsi="黑体" w:eastAsia="黑体"/>
          <w:b w:val="0"/>
          <w:color w:val="auto"/>
        </w:rPr>
      </w:pPr>
    </w:p>
    <w:p>
      <w:pPr>
        <w:widowControl/>
        <w:spacing w:line="360" w:lineRule="auto"/>
        <w:jc w:val="left"/>
        <w:rPr>
          <w:rStyle w:val="25"/>
          <w:rFonts w:ascii="黑体" w:hAnsi="黑体" w:eastAsia="黑体"/>
          <w:b w:val="0"/>
          <w:color w:val="auto"/>
        </w:rPr>
      </w:pPr>
    </w:p>
    <w:p>
      <w:pPr>
        <w:widowControl/>
        <w:spacing w:line="360" w:lineRule="auto"/>
        <w:jc w:val="left"/>
        <w:rPr>
          <w:rStyle w:val="25"/>
          <w:rFonts w:ascii="黑体" w:hAnsi="黑体" w:eastAsia="黑体"/>
          <w:b w:val="0"/>
          <w:color w:val="auto"/>
        </w:rPr>
      </w:pPr>
    </w:p>
    <w:p>
      <w:pPr>
        <w:widowControl/>
        <w:spacing w:line="360" w:lineRule="auto"/>
        <w:jc w:val="left"/>
        <w:rPr>
          <w:rStyle w:val="25"/>
          <w:rFonts w:ascii="黑体" w:hAnsi="黑体" w:eastAsia="黑体"/>
          <w:b w:val="0"/>
          <w:color w:val="auto"/>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rFonts w:hAnsi="宋体" w:cs="宋体"/>
          <w:color w:val="auto"/>
          <w:sz w:val="32"/>
          <w:szCs w:val="32"/>
          <w:shd w:val="clear" w:color="auto" w:fill="FFFFFF"/>
          <w:lang w:val="zh-CN"/>
        </w:rPr>
      </w:pPr>
    </w:p>
    <w:p>
      <w:pPr>
        <w:pStyle w:val="2"/>
        <w:spacing w:before="93" w:line="360" w:lineRule="auto"/>
        <w:rPr>
          <w:color w:val="auto"/>
          <w:lang w:val="zh-CN"/>
        </w:rPr>
      </w:pPr>
      <w:r>
        <w:rPr>
          <w:rFonts w:hint="eastAsia" w:hAnsi="宋体" w:cs="宋体"/>
          <w:color w:val="auto"/>
          <w:sz w:val="32"/>
          <w:szCs w:val="32"/>
          <w:shd w:val="clear" w:color="auto" w:fill="FFFFFF"/>
          <w:lang w:val="zh-CN"/>
        </w:rPr>
        <w:t>附件</w:t>
      </w:r>
    </w:p>
    <w:p>
      <w:pPr>
        <w:spacing w:line="360" w:lineRule="auto"/>
        <w:jc w:val="center"/>
        <w:rPr>
          <w:rFonts w:ascii="方正小标宋简体" w:hAnsi="方正小标宋简体" w:eastAsia="方正小标宋简体" w:cs="方正小标宋简体"/>
          <w:color w:val="auto"/>
          <w:sz w:val="40"/>
          <w:szCs w:val="40"/>
          <w:lang w:val="zh-CN"/>
        </w:rPr>
      </w:pPr>
      <w:r>
        <w:rPr>
          <w:rFonts w:hint="eastAsia" w:ascii="方正小标宋简体" w:hAnsi="方正小标宋简体" w:eastAsia="方正小标宋简体" w:cs="方正小标宋简体"/>
          <w:color w:val="auto"/>
          <w:sz w:val="40"/>
          <w:szCs w:val="40"/>
        </w:rPr>
        <w:t>2021年</w:t>
      </w:r>
      <w:r>
        <w:rPr>
          <w:rFonts w:hint="eastAsia" w:ascii="方正小标宋简体" w:hAnsi="方正小标宋简体" w:eastAsia="方正小标宋简体" w:cs="方正小标宋简体"/>
          <w:color w:val="auto"/>
          <w:sz w:val="40"/>
          <w:szCs w:val="40"/>
          <w:lang w:val="zh-CN"/>
        </w:rPr>
        <w:t>专项预算项目支出绩效自评报告范本</w:t>
      </w:r>
    </w:p>
    <w:p>
      <w:pPr>
        <w:spacing w:line="360" w:lineRule="auto"/>
        <w:jc w:val="center"/>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w:t>
      </w:r>
      <w:r>
        <w:rPr>
          <w:rFonts w:hint="eastAsia" w:ascii="方正小标宋_GBK" w:hAnsi="黑体" w:eastAsia="方正小标宋_GBK" w:cs="黑体"/>
          <w:color w:val="auto"/>
          <w:sz w:val="36"/>
          <w:szCs w:val="36"/>
        </w:rPr>
        <w:t>城乡残疾人医疗保险资助金</w:t>
      </w:r>
      <w:r>
        <w:rPr>
          <w:rFonts w:hint="eastAsia" w:ascii="仿宋_GB2312" w:hAnsi="宋体" w:eastAsia="仿宋_GB2312"/>
          <w:color w:val="auto"/>
          <w:sz w:val="32"/>
          <w:szCs w:val="32"/>
          <w:lang w:val="zh-CN"/>
        </w:rPr>
        <w:t>）</w:t>
      </w:r>
    </w:p>
    <w:p>
      <w:pPr>
        <w:spacing w:line="360" w:lineRule="auto"/>
        <w:ind w:firstLine="640"/>
        <w:jc w:val="center"/>
        <w:rPr>
          <w:rFonts w:ascii="宋体" w:hAnsi="宋体"/>
          <w:color w:val="auto"/>
          <w:sz w:val="32"/>
          <w:szCs w:val="32"/>
          <w:lang w:val="zh-CN"/>
        </w:rPr>
      </w:pPr>
    </w:p>
    <w:p>
      <w:pPr>
        <w:adjustRightInd w:val="0"/>
        <w:snapToGrid w:val="0"/>
        <w:spacing w:line="360" w:lineRule="auto"/>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1．说明项目主管部门（单位）在该项目管理中的职能。</w:t>
      </w:r>
    </w:p>
    <w:p>
      <w:pPr>
        <w:autoSpaceDE w:val="0"/>
        <w:autoSpaceDN w:val="0"/>
        <w:adjustRightInd w:val="0"/>
        <w:spacing w:line="360" w:lineRule="auto"/>
        <w:ind w:firstLine="640" w:firstLineChars="200"/>
        <w:jc w:val="left"/>
        <w:rPr>
          <w:color w:val="auto"/>
          <w:lang w:val="zh-CN"/>
        </w:rPr>
      </w:pPr>
      <w:r>
        <w:rPr>
          <w:rFonts w:eastAsia="仿宋_GB2312"/>
          <w:color w:val="auto"/>
          <w:kern w:val="0"/>
          <w:sz w:val="32"/>
          <w:szCs w:val="32"/>
        </w:rPr>
        <w:t>在该项目管理中</w:t>
      </w:r>
      <w:r>
        <w:rPr>
          <w:rFonts w:hint="eastAsia" w:eastAsia="仿宋_GB2312"/>
          <w:color w:val="auto"/>
          <w:kern w:val="0"/>
          <w:sz w:val="32"/>
          <w:szCs w:val="32"/>
        </w:rPr>
        <w:t>负责组织资助县内残疾人参加城乡居民医疗保险</w:t>
      </w:r>
      <w:r>
        <w:rPr>
          <w:rFonts w:eastAsia="仿宋_GB2312"/>
          <w:color w:val="auto"/>
          <w:kern w:val="0"/>
          <w:sz w:val="32"/>
          <w:szCs w:val="32"/>
        </w:rPr>
        <w:t>。</w:t>
      </w:r>
    </w:p>
    <w:p>
      <w:pPr>
        <w:numPr>
          <w:ilvl w:val="0"/>
          <w:numId w:val="13"/>
        </w:num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项目立项、资金申报的依据。</w:t>
      </w:r>
    </w:p>
    <w:p>
      <w:pPr>
        <w:autoSpaceDE w:val="0"/>
        <w:autoSpaceDN w:val="0"/>
        <w:adjustRightInd w:val="0"/>
        <w:spacing w:line="360" w:lineRule="auto"/>
        <w:ind w:firstLine="420" w:firstLineChars="200"/>
        <w:jc w:val="left"/>
        <w:rPr>
          <w:rFonts w:eastAsia="仿宋_GB2312"/>
          <w:color w:val="auto"/>
        </w:rPr>
      </w:pPr>
      <w:r>
        <w:rPr>
          <w:rFonts w:hint="eastAsia"/>
          <w:color w:val="auto"/>
        </w:rPr>
        <w:t xml:space="preserve">   </w:t>
      </w:r>
      <w:r>
        <w:rPr>
          <w:rFonts w:hint="eastAsia" w:eastAsia="仿宋_GB2312"/>
          <w:color w:val="auto"/>
          <w:kern w:val="0"/>
          <w:sz w:val="32"/>
          <w:szCs w:val="32"/>
        </w:rPr>
        <w:t>根据《攀枝花市医疗保障局等七部门关于做好资助困难居民参加2021年度城乡居民医疗保险有关工作的通知》（攀医保〔2020〕100 号）要求进行该项目立项和资金申报</w:t>
      </w:r>
      <w:r>
        <w:rPr>
          <w:rFonts w:eastAsia="仿宋_GB2312"/>
          <w:color w:val="auto"/>
          <w:kern w:val="0"/>
          <w:sz w:val="32"/>
          <w:szCs w:val="32"/>
        </w:rPr>
        <w:t>。</w:t>
      </w:r>
    </w:p>
    <w:p>
      <w:pPr>
        <w:numPr>
          <w:ilvl w:val="0"/>
          <w:numId w:val="13"/>
        </w:num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资金管理办法制定情况，资金支持具体项目的条件、范围与支持方式概况。</w:t>
      </w:r>
    </w:p>
    <w:p>
      <w:pPr>
        <w:spacing w:line="360" w:lineRule="auto"/>
        <w:ind w:left="420" w:leftChars="200"/>
        <w:rPr>
          <w:rFonts w:eastAsia="仿宋_GB2312"/>
          <w:color w:val="auto"/>
          <w:kern w:val="0"/>
          <w:sz w:val="32"/>
          <w:szCs w:val="32"/>
        </w:rPr>
      </w:pPr>
      <w:r>
        <w:rPr>
          <w:rFonts w:hint="eastAsia" w:eastAsia="仿宋_GB2312"/>
          <w:color w:val="auto"/>
          <w:kern w:val="0"/>
          <w:sz w:val="32"/>
          <w:szCs w:val="32"/>
        </w:rPr>
        <w:t>项目资金由残联提供残疾人级别与人数，由残联申请资金，</w:t>
      </w:r>
    </w:p>
    <w:p>
      <w:pPr>
        <w:spacing w:line="360" w:lineRule="auto"/>
        <w:rPr>
          <w:color w:val="auto"/>
          <w:lang w:val="zh-CN"/>
        </w:rPr>
      </w:pPr>
      <w:r>
        <w:rPr>
          <w:rFonts w:hint="eastAsia" w:eastAsia="仿宋_GB2312"/>
          <w:color w:val="auto"/>
          <w:kern w:val="0"/>
          <w:sz w:val="32"/>
          <w:szCs w:val="32"/>
        </w:rPr>
        <w:t>资金到位后</w:t>
      </w:r>
      <w:r>
        <w:rPr>
          <w:rFonts w:hint="eastAsia" w:eastAsia="仿宋_GB2312"/>
          <w:color w:val="auto"/>
          <w:sz w:val="32"/>
          <w:szCs w:val="32"/>
        </w:rPr>
        <w:t>转入市级单位统筹使用。</w:t>
      </w:r>
    </w:p>
    <w:p>
      <w:pPr>
        <w:adjustRightInd w:val="0"/>
        <w:snapToGrid w:val="0"/>
        <w:spacing w:line="360" w:lineRule="auto"/>
        <w:ind w:firstLine="643" w:firstLineChars="20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1．项目主要内容。</w:t>
      </w:r>
    </w:p>
    <w:p>
      <w:pPr>
        <w:autoSpaceDE w:val="0"/>
        <w:autoSpaceDN w:val="0"/>
        <w:adjustRightInd w:val="0"/>
        <w:spacing w:line="360" w:lineRule="auto"/>
        <w:ind w:firstLine="640" w:firstLineChars="200"/>
        <w:jc w:val="left"/>
        <w:rPr>
          <w:color w:val="auto"/>
          <w:lang w:val="zh-CN"/>
        </w:rPr>
      </w:pPr>
      <w:r>
        <w:rPr>
          <w:rFonts w:hint="eastAsia" w:eastAsia="仿宋_GB2312"/>
          <w:color w:val="auto"/>
          <w:kern w:val="0"/>
          <w:sz w:val="32"/>
          <w:szCs w:val="32"/>
        </w:rPr>
        <w:t>资助县内5756名残疾人参加2021年城乡居民医保，其中按照一档（300元/人）资助一般残疾3595人，按照二档（450元/人）资助重度残疾2161人</w:t>
      </w:r>
      <w:r>
        <w:rPr>
          <w:rFonts w:eastAsia="仿宋_GB2312"/>
          <w:color w:val="auto"/>
          <w:kern w:val="0"/>
          <w:sz w:val="32"/>
          <w:szCs w:val="32"/>
        </w:rPr>
        <w:t>。</w:t>
      </w:r>
    </w:p>
    <w:p>
      <w:pPr>
        <w:numPr>
          <w:ilvl w:val="0"/>
          <w:numId w:val="14"/>
        </w:num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项目应实现的具体绩效目标，包括目标的量化、细化情况以及项目实施进度计划等。</w:t>
      </w:r>
    </w:p>
    <w:p>
      <w:pPr>
        <w:autoSpaceDE w:val="0"/>
        <w:autoSpaceDN w:val="0"/>
        <w:adjustRightInd w:val="0"/>
        <w:spacing w:line="360" w:lineRule="auto"/>
        <w:ind w:firstLine="640" w:firstLineChars="200"/>
        <w:jc w:val="left"/>
        <w:rPr>
          <w:rFonts w:eastAsia="仿宋_GB2312"/>
          <w:color w:val="auto"/>
          <w:sz w:val="32"/>
          <w:szCs w:val="32"/>
        </w:rPr>
      </w:pPr>
      <w:r>
        <w:rPr>
          <w:rFonts w:hint="eastAsia" w:eastAsia="仿宋_GB2312"/>
          <w:color w:val="auto"/>
          <w:sz w:val="32"/>
          <w:szCs w:val="32"/>
        </w:rPr>
        <w:t>项目完成指标包括数量指标：①资助参保人数，5756人；②资助参保金额：205.1万元；③资助标准：重残450元/人·年，一般残疾300元/人·年。质量指标：残疾人参保率，100%。时效指标：参保资金上解时间，在规定时间内按时上解。</w:t>
      </w:r>
    </w:p>
    <w:p>
      <w:pPr>
        <w:spacing w:line="360" w:lineRule="auto"/>
        <w:ind w:firstLine="640"/>
        <w:rPr>
          <w:rFonts w:eastAsia="仿宋_GB2312"/>
          <w:color w:val="auto"/>
          <w:sz w:val="32"/>
          <w:szCs w:val="32"/>
        </w:rPr>
      </w:pPr>
      <w:r>
        <w:rPr>
          <w:rFonts w:eastAsia="仿宋_GB2312"/>
          <w:color w:val="auto"/>
          <w:sz w:val="32"/>
          <w:szCs w:val="32"/>
        </w:rPr>
        <w:t>项目效益</w:t>
      </w:r>
      <w:r>
        <w:rPr>
          <w:rFonts w:hint="eastAsia" w:eastAsia="仿宋_GB2312"/>
          <w:color w:val="auto"/>
          <w:sz w:val="32"/>
          <w:szCs w:val="32"/>
        </w:rPr>
        <w:t>指标包括社会效益指标：持续保障残疾人参加城乡居民医疗保险。可持续影响指标：①保障城乡医保基金运行，成效明显；②持续保障残疾人正常享受医疗待遇。</w:t>
      </w:r>
    </w:p>
    <w:p>
      <w:pPr>
        <w:spacing w:line="360" w:lineRule="auto"/>
        <w:ind w:firstLine="640" w:firstLineChars="200"/>
        <w:rPr>
          <w:color w:val="auto"/>
          <w:lang w:val="zh-CN"/>
        </w:rPr>
      </w:pPr>
      <w:r>
        <w:rPr>
          <w:rFonts w:eastAsia="仿宋_GB2312"/>
          <w:color w:val="auto"/>
          <w:sz w:val="32"/>
          <w:szCs w:val="32"/>
        </w:rPr>
        <w:t>满意度指标</w:t>
      </w:r>
      <w:r>
        <w:rPr>
          <w:rFonts w:hint="eastAsia" w:eastAsia="仿宋_GB2312"/>
          <w:color w:val="auto"/>
          <w:sz w:val="32"/>
          <w:szCs w:val="32"/>
        </w:rPr>
        <w:t>包括：①政策知晓率，95%；②工作满意度，99%。</w:t>
      </w:r>
    </w:p>
    <w:p>
      <w:pPr>
        <w:numPr>
          <w:ilvl w:val="0"/>
          <w:numId w:val="14"/>
        </w:numPr>
        <w:adjustRightInd w:val="0"/>
        <w:snapToGrid w:val="0"/>
        <w:spacing w:line="360" w:lineRule="auto"/>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分析评价申报内容是否与实际相符，申报目标是否合理可行。</w:t>
      </w:r>
    </w:p>
    <w:p>
      <w:pPr>
        <w:pStyle w:val="2"/>
        <w:spacing w:before="93" w:line="360" w:lineRule="auto"/>
        <w:ind w:left="720"/>
        <w:rPr>
          <w:color w:val="auto"/>
          <w:lang w:val="zh-CN"/>
        </w:rPr>
      </w:pPr>
      <w:r>
        <w:rPr>
          <w:rFonts w:ascii="Times New Roman"/>
          <w:color w:val="auto"/>
          <w:sz w:val="32"/>
          <w:szCs w:val="32"/>
        </w:rPr>
        <w:t>申报内容与实际相符，申报目标合理可行。</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adjustRightInd w:val="0"/>
        <w:snapToGrid w:val="0"/>
        <w:spacing w:line="360" w:lineRule="auto"/>
        <w:ind w:firstLine="720"/>
        <w:rPr>
          <w:rFonts w:ascii="仿宋_GB2312" w:hAnsi="宋体" w:eastAsia="仿宋_GB2312"/>
          <w:color w:val="auto"/>
          <w:sz w:val="32"/>
          <w:szCs w:val="32"/>
          <w:lang w:val="zh-CN"/>
        </w:rPr>
      </w:pPr>
      <w:r>
        <w:rPr>
          <w:rFonts w:hint="eastAsia" w:eastAsia="仿宋_GB2312"/>
          <w:color w:val="auto"/>
          <w:sz w:val="32"/>
          <w:szCs w:val="32"/>
        </w:rPr>
        <w:t>本项目采取自评的方式，由项目负责人结合评价内容，做到有计划，有安排，扎实开展自评工作。按照项目支出绩效评价指标体系，对项目内容、实施情况、社会效益等开展自评工作。</w:t>
      </w:r>
    </w:p>
    <w:p>
      <w:pPr>
        <w:adjustRightInd w:val="0"/>
        <w:snapToGrid w:val="0"/>
        <w:spacing w:line="360" w:lineRule="auto"/>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utoSpaceDE w:val="0"/>
        <w:autoSpaceDN w:val="0"/>
        <w:adjustRightIn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根据盐财资行〔2021〕222号关于下达城乡残疾人医疗保险资助金的通知下达资金。</w:t>
      </w:r>
    </w:p>
    <w:p>
      <w:pPr>
        <w:adjustRightInd w:val="0"/>
        <w:snapToGrid w:val="0"/>
        <w:spacing w:line="360" w:lineRule="auto"/>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w:t>
      </w:r>
    </w:p>
    <w:p>
      <w:pPr>
        <w:autoSpaceDE w:val="0"/>
        <w:autoSpaceDN w:val="0"/>
        <w:adjustRightInd w:val="0"/>
        <w:spacing w:line="360" w:lineRule="auto"/>
        <w:ind w:firstLine="640" w:firstLineChars="200"/>
        <w:jc w:val="left"/>
        <w:rPr>
          <w:rFonts w:ascii="楷体_GB2312" w:hAnsi="宋体" w:eastAsia="楷体_GB2312"/>
          <w:color w:val="auto"/>
          <w:sz w:val="32"/>
          <w:szCs w:val="32"/>
          <w:lang w:val="zh-CN"/>
        </w:rPr>
      </w:pPr>
      <w:r>
        <w:rPr>
          <w:rFonts w:hint="eastAsia" w:ascii="楷体_GB2312" w:hAnsi="宋体" w:eastAsia="楷体_GB2312"/>
          <w:color w:val="auto"/>
          <w:sz w:val="32"/>
          <w:szCs w:val="32"/>
          <w:lang w:val="zh-CN"/>
        </w:rPr>
        <w:t>1．资金计划。</w:t>
      </w:r>
    </w:p>
    <w:p>
      <w:pPr>
        <w:autoSpaceDE w:val="0"/>
        <w:autoSpaceDN w:val="0"/>
        <w:adjustRightInd w:val="0"/>
        <w:spacing w:line="360" w:lineRule="auto"/>
        <w:ind w:firstLine="640" w:firstLineChars="200"/>
        <w:jc w:val="left"/>
        <w:rPr>
          <w:rFonts w:ascii="仿宋_GB2312" w:hAnsi="宋体" w:eastAsia="仿宋_GB2312"/>
          <w:color w:val="auto"/>
          <w:sz w:val="32"/>
          <w:szCs w:val="32"/>
          <w:lang w:val="zh-CN"/>
        </w:rPr>
      </w:pPr>
      <w:r>
        <w:rPr>
          <w:rFonts w:hint="eastAsia" w:eastAsia="仿宋_GB2312"/>
          <w:color w:val="auto"/>
          <w:kern w:val="0"/>
          <w:sz w:val="32"/>
          <w:szCs w:val="32"/>
        </w:rPr>
        <w:t>用于资助我县残疾人参加城乡居民医疗保险。</w:t>
      </w:r>
    </w:p>
    <w:p>
      <w:pPr>
        <w:numPr>
          <w:ilvl w:val="0"/>
          <w:numId w:val="15"/>
        </w:numPr>
        <w:adjustRightInd w:val="0"/>
        <w:snapToGrid w:val="0"/>
        <w:spacing w:line="360" w:lineRule="auto"/>
        <w:ind w:firstLine="720"/>
        <w:rPr>
          <w:rFonts w:ascii="楷体_GB2312" w:hAnsi="宋体" w:eastAsia="楷体_GB2312"/>
          <w:color w:val="auto"/>
          <w:sz w:val="32"/>
          <w:szCs w:val="32"/>
          <w:lang w:val="zh-CN"/>
        </w:rPr>
      </w:pPr>
      <w:r>
        <w:rPr>
          <w:rFonts w:hint="eastAsia" w:ascii="楷体_GB2312" w:hAnsi="宋体" w:eastAsia="楷体_GB2312"/>
          <w:color w:val="auto"/>
          <w:sz w:val="32"/>
          <w:szCs w:val="32"/>
          <w:lang w:val="zh-CN"/>
        </w:rPr>
        <w:t>资金到位。</w:t>
      </w:r>
    </w:p>
    <w:p>
      <w:pPr>
        <w:autoSpaceDE w:val="0"/>
        <w:autoSpaceDN w:val="0"/>
        <w:adjustRightInd w:val="0"/>
        <w:spacing w:line="360" w:lineRule="auto"/>
        <w:ind w:firstLine="640" w:firstLineChars="200"/>
        <w:jc w:val="left"/>
        <w:rPr>
          <w:color w:val="auto"/>
          <w:lang w:val="zh-CN"/>
        </w:rPr>
      </w:pPr>
      <w:r>
        <w:rPr>
          <w:rFonts w:hint="eastAsia" w:eastAsia="仿宋_GB2312"/>
          <w:color w:val="auto"/>
          <w:kern w:val="0"/>
          <w:sz w:val="32"/>
          <w:szCs w:val="32"/>
        </w:rPr>
        <w:t>已到位</w:t>
      </w:r>
      <w:r>
        <w:rPr>
          <w:rFonts w:eastAsia="仿宋_GB2312"/>
          <w:color w:val="auto"/>
          <w:kern w:val="0"/>
          <w:sz w:val="32"/>
          <w:szCs w:val="32"/>
        </w:rPr>
        <w:t>县</w:t>
      </w:r>
      <w:r>
        <w:rPr>
          <w:rFonts w:hint="eastAsia" w:eastAsia="仿宋_GB2312"/>
          <w:color w:val="auto"/>
          <w:kern w:val="0"/>
          <w:sz w:val="32"/>
          <w:szCs w:val="32"/>
        </w:rPr>
        <w:t>级</w:t>
      </w:r>
      <w:r>
        <w:rPr>
          <w:rFonts w:eastAsia="仿宋_GB2312"/>
          <w:color w:val="auto"/>
          <w:kern w:val="0"/>
          <w:sz w:val="32"/>
          <w:szCs w:val="32"/>
        </w:rPr>
        <w:t>财政资金</w:t>
      </w:r>
      <w:r>
        <w:rPr>
          <w:rFonts w:hint="eastAsia" w:eastAsia="仿宋_GB2312"/>
          <w:color w:val="auto"/>
          <w:kern w:val="0"/>
          <w:sz w:val="32"/>
          <w:szCs w:val="32"/>
        </w:rPr>
        <w:t>205.1万元</w:t>
      </w:r>
      <w:r>
        <w:rPr>
          <w:rFonts w:eastAsia="仿宋_GB2312"/>
          <w:color w:val="auto"/>
          <w:kern w:val="0"/>
          <w:sz w:val="32"/>
          <w:szCs w:val="32"/>
        </w:rPr>
        <w:t>。</w:t>
      </w:r>
    </w:p>
    <w:p>
      <w:pPr>
        <w:numPr>
          <w:ilvl w:val="0"/>
          <w:numId w:val="15"/>
        </w:numPr>
        <w:adjustRightInd w:val="0"/>
        <w:snapToGrid w:val="0"/>
        <w:spacing w:line="360" w:lineRule="auto"/>
        <w:ind w:firstLine="720"/>
        <w:rPr>
          <w:rFonts w:ascii="楷体_GB2312" w:hAnsi="宋体" w:eastAsia="楷体_GB2312"/>
          <w:color w:val="auto"/>
          <w:sz w:val="32"/>
          <w:szCs w:val="32"/>
          <w:lang w:val="zh-CN"/>
        </w:rPr>
      </w:pPr>
      <w:r>
        <w:rPr>
          <w:rFonts w:hint="eastAsia" w:ascii="楷体_GB2312" w:hAnsi="宋体" w:eastAsia="楷体_GB2312"/>
          <w:color w:val="auto"/>
          <w:sz w:val="32"/>
          <w:szCs w:val="32"/>
          <w:lang w:val="zh-CN"/>
        </w:rPr>
        <w:t>资金使用。</w:t>
      </w:r>
    </w:p>
    <w:p>
      <w:pPr>
        <w:autoSpaceDE w:val="0"/>
        <w:autoSpaceDN w:val="0"/>
        <w:adjustRightInd w:val="0"/>
        <w:spacing w:line="360" w:lineRule="auto"/>
        <w:ind w:firstLine="640" w:firstLineChars="200"/>
        <w:jc w:val="left"/>
        <w:rPr>
          <w:color w:val="auto"/>
          <w:lang w:val="zh-CN"/>
        </w:rPr>
      </w:pPr>
      <w:r>
        <w:rPr>
          <w:rFonts w:hint="eastAsia" w:eastAsia="仿宋_GB2312"/>
          <w:color w:val="auto"/>
          <w:kern w:val="0"/>
          <w:sz w:val="32"/>
          <w:szCs w:val="32"/>
        </w:rPr>
        <w:t>已及时上解至市级统筹使用</w:t>
      </w:r>
      <w:r>
        <w:rPr>
          <w:rFonts w:eastAsia="仿宋_GB2312"/>
          <w:color w:val="auto"/>
          <w:kern w:val="0"/>
          <w:sz w:val="32"/>
          <w:szCs w:val="32"/>
        </w:rPr>
        <w:t>。</w:t>
      </w:r>
    </w:p>
    <w:p>
      <w:pPr>
        <w:adjustRightInd w:val="0"/>
        <w:snapToGrid w:val="0"/>
        <w:spacing w:line="360" w:lineRule="auto"/>
        <w:ind w:left="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（三）项目财务管理情况。</w:t>
      </w:r>
    </w:p>
    <w:p>
      <w:pPr>
        <w:adjustRightInd w:val="0"/>
        <w:snapToGrid w:val="0"/>
        <w:spacing w:line="360" w:lineRule="auto"/>
        <w:ind w:firstLine="720"/>
        <w:rPr>
          <w:rFonts w:eastAsia="仿宋_GB2312"/>
          <w:color w:val="auto"/>
          <w:kern w:val="0"/>
          <w:sz w:val="32"/>
          <w:szCs w:val="32"/>
        </w:rPr>
      </w:pPr>
      <w:r>
        <w:rPr>
          <w:rFonts w:hint="eastAsia" w:eastAsia="仿宋_GB2312"/>
          <w:color w:val="auto"/>
          <w:kern w:val="0"/>
          <w:sz w:val="32"/>
          <w:szCs w:val="32"/>
        </w:rPr>
        <w:t>我单位</w:t>
      </w:r>
      <w:r>
        <w:rPr>
          <w:rFonts w:eastAsia="仿宋_GB2312"/>
          <w:color w:val="auto"/>
          <w:kern w:val="0"/>
          <w:sz w:val="32"/>
          <w:szCs w:val="32"/>
        </w:rPr>
        <w:t>财务管理制度健全，严格执行财务管理制度，账务处理及时，会计核算规范。</w:t>
      </w:r>
    </w:p>
    <w:p>
      <w:pPr>
        <w:adjustRightInd w:val="0"/>
        <w:snapToGrid w:val="0"/>
        <w:spacing w:line="360" w:lineRule="auto"/>
        <w:ind w:firstLine="720"/>
        <w:rPr>
          <w:rFonts w:ascii="黑体" w:hAnsi="宋体" w:eastAsia="黑体"/>
          <w:color w:val="auto"/>
          <w:sz w:val="32"/>
          <w:szCs w:val="32"/>
        </w:rPr>
      </w:pPr>
      <w:r>
        <w:rPr>
          <w:rFonts w:hint="eastAsia" w:ascii="黑体" w:hAnsi="宋体" w:eastAsia="黑体"/>
          <w:color w:val="auto"/>
          <w:sz w:val="32"/>
          <w:szCs w:val="32"/>
        </w:rPr>
        <w:t>三、项目实施及管理情况</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（一）项目组织架构及实施流程。</w:t>
      </w:r>
    </w:p>
    <w:p>
      <w:pPr>
        <w:pStyle w:val="2"/>
        <w:spacing w:before="93" w:line="360" w:lineRule="auto"/>
        <w:ind w:firstLine="640" w:firstLineChars="200"/>
        <w:rPr>
          <w:color w:val="auto"/>
          <w:lang w:val="zh-CN"/>
        </w:rPr>
      </w:pPr>
      <w:r>
        <w:rPr>
          <w:rFonts w:hint="eastAsia" w:ascii="Times New Roman"/>
          <w:color w:val="auto"/>
          <w:sz w:val="32"/>
          <w:szCs w:val="32"/>
        </w:rPr>
        <w:t>县医疗保障局负责组织资助县内残疾人参保，县医疗保障事务中心负责项目具体实施，县残联负责提供残疾人资助参保名单。</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（二）项目管理情况。</w:t>
      </w:r>
    </w:p>
    <w:p>
      <w:pPr>
        <w:autoSpaceDE w:val="0"/>
        <w:autoSpaceDN w:val="0"/>
        <w:adjustRightInd w:val="0"/>
        <w:spacing w:line="360" w:lineRule="auto"/>
        <w:ind w:firstLine="640" w:firstLineChars="200"/>
        <w:jc w:val="left"/>
        <w:rPr>
          <w:color w:val="auto"/>
          <w:lang w:val="zh-CN"/>
        </w:rPr>
      </w:pPr>
      <w:r>
        <w:rPr>
          <w:rFonts w:hint="eastAsia" w:eastAsia="仿宋_GB2312"/>
          <w:color w:val="auto"/>
          <w:kern w:val="0"/>
          <w:sz w:val="32"/>
          <w:szCs w:val="32"/>
        </w:rPr>
        <w:t>项目实施过程中，</w:t>
      </w:r>
      <w:r>
        <w:rPr>
          <w:rFonts w:eastAsia="仿宋_GB2312"/>
          <w:color w:val="auto"/>
          <w:kern w:val="0"/>
          <w:sz w:val="32"/>
          <w:szCs w:val="32"/>
        </w:rPr>
        <w:t>各项目实施单位</w:t>
      </w:r>
      <w:r>
        <w:rPr>
          <w:rFonts w:hint="eastAsia" w:eastAsia="仿宋_GB2312"/>
          <w:color w:val="auto"/>
          <w:kern w:val="0"/>
          <w:sz w:val="32"/>
          <w:szCs w:val="32"/>
        </w:rPr>
        <w:t>严格</w:t>
      </w:r>
      <w:r>
        <w:rPr>
          <w:rFonts w:eastAsia="仿宋_GB2312"/>
          <w:color w:val="auto"/>
          <w:kern w:val="0"/>
          <w:sz w:val="32"/>
          <w:szCs w:val="32"/>
        </w:rPr>
        <w:t>执行相关法律法规及项目管理制度。</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（三）项目监管情况。</w:t>
      </w:r>
    </w:p>
    <w:p>
      <w:pPr>
        <w:autoSpaceDE w:val="0"/>
        <w:autoSpaceDN w:val="0"/>
        <w:adjustRightIn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为加强项目管理</w:t>
      </w:r>
      <w:r>
        <w:rPr>
          <w:rFonts w:hint="eastAsia" w:eastAsia="仿宋_GB2312"/>
          <w:color w:val="auto"/>
          <w:kern w:val="0"/>
          <w:sz w:val="32"/>
          <w:szCs w:val="32"/>
        </w:rPr>
        <w:t>，在项目实施期间，制定了专项资金管理工作制度，明确了资金付款流程，统一了资金申请手续，做到了层层审核、层层负责、层层把关。</w:t>
      </w:r>
    </w:p>
    <w:p>
      <w:pPr>
        <w:pStyle w:val="2"/>
        <w:spacing w:before="93" w:line="360" w:lineRule="auto"/>
        <w:rPr>
          <w:color w:val="auto"/>
          <w:lang w:val="zh-CN"/>
        </w:rPr>
      </w:pPr>
    </w:p>
    <w:p>
      <w:pPr>
        <w:adjustRightInd w:val="0"/>
        <w:snapToGrid w:val="0"/>
        <w:spacing w:line="360" w:lineRule="auto"/>
        <w:ind w:firstLine="720"/>
        <w:rPr>
          <w:rFonts w:ascii="仿宋_GB2312" w:hAnsi="宋体" w:eastAsia="仿宋_GB2312"/>
          <w:color w:val="auto"/>
          <w:sz w:val="32"/>
          <w:szCs w:val="32"/>
          <w:lang w:val="zh-CN"/>
        </w:rPr>
      </w:pPr>
      <w:r>
        <w:rPr>
          <w:rFonts w:hint="eastAsia" w:ascii="黑体" w:hAnsi="宋体" w:eastAsia="黑体"/>
          <w:color w:val="auto"/>
          <w:sz w:val="32"/>
          <w:szCs w:val="32"/>
        </w:rPr>
        <w:t>四、项目绩效情况</w:t>
      </w:r>
      <w:r>
        <w:rPr>
          <w:rFonts w:hint="eastAsia" w:ascii="仿宋_GB2312" w:hAnsi="宋体" w:eastAsia="仿宋_GB2312"/>
          <w:color w:val="auto"/>
          <w:sz w:val="32"/>
          <w:szCs w:val="32"/>
          <w:lang w:val="zh-CN"/>
        </w:rPr>
        <w:tab/>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adjustRightInd w:val="0"/>
        <w:snapToGrid w:val="0"/>
        <w:spacing w:line="360" w:lineRule="auto"/>
        <w:ind w:firstLine="720"/>
        <w:rPr>
          <w:rFonts w:ascii="楷体_GB2312" w:hAnsi="宋体" w:eastAsia="楷体_GB2312"/>
          <w:b/>
          <w:color w:val="auto"/>
          <w:sz w:val="32"/>
          <w:szCs w:val="32"/>
          <w:lang w:val="zh-CN"/>
        </w:rPr>
      </w:pPr>
      <w:r>
        <w:rPr>
          <w:rFonts w:eastAsia="仿宋_GB2312"/>
          <w:color w:val="auto"/>
          <w:kern w:val="0"/>
          <w:sz w:val="32"/>
          <w:szCs w:val="32"/>
        </w:rPr>
        <w:t>项目</w:t>
      </w:r>
      <w:r>
        <w:rPr>
          <w:rFonts w:hint="eastAsia" w:eastAsia="仿宋_GB2312"/>
          <w:color w:val="auto"/>
          <w:kern w:val="0"/>
          <w:sz w:val="32"/>
          <w:szCs w:val="32"/>
        </w:rPr>
        <w:t>完成资助县内5756名残疾人参加2021年城乡居民医疗保险，其中按照一档（300元/人）资助一般残疾3595人，按照二档（450元/人）资助重度残疾2161人</w:t>
      </w:r>
      <w:r>
        <w:rPr>
          <w:rFonts w:eastAsia="仿宋_GB2312"/>
          <w:color w:val="auto"/>
          <w:kern w:val="0"/>
          <w:sz w:val="32"/>
          <w:szCs w:val="32"/>
        </w:rPr>
        <w:t>。</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autoSpaceDE w:val="0"/>
        <w:autoSpaceDN w:val="0"/>
        <w:adjustRightIn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项目</w:t>
      </w:r>
      <w:r>
        <w:rPr>
          <w:rFonts w:hint="eastAsia" w:eastAsia="仿宋_GB2312"/>
          <w:color w:val="auto"/>
          <w:kern w:val="0"/>
          <w:sz w:val="32"/>
          <w:szCs w:val="32"/>
        </w:rPr>
        <w:t>保障了县内残疾人正常享受医保待遇</w:t>
      </w:r>
      <w:r>
        <w:rPr>
          <w:rFonts w:eastAsia="仿宋_GB2312"/>
          <w:color w:val="auto"/>
          <w:kern w:val="0"/>
          <w:sz w:val="32"/>
          <w:szCs w:val="32"/>
        </w:rPr>
        <w:t>，</w:t>
      </w:r>
      <w:r>
        <w:rPr>
          <w:rFonts w:hint="eastAsia" w:eastAsia="仿宋_GB2312"/>
          <w:color w:val="auto"/>
          <w:kern w:val="0"/>
          <w:sz w:val="32"/>
          <w:szCs w:val="32"/>
        </w:rPr>
        <w:t>有效提高我县居民参保率，有力保障了城乡医保基金稳定运行，群众满意度达99%</w:t>
      </w:r>
      <w:r>
        <w:rPr>
          <w:rFonts w:eastAsia="仿宋_GB2312"/>
          <w:color w:val="auto"/>
          <w:kern w:val="0"/>
          <w:sz w:val="32"/>
          <w:szCs w:val="32"/>
        </w:rPr>
        <w:t>。</w:t>
      </w:r>
    </w:p>
    <w:p>
      <w:pPr>
        <w:adjustRightInd w:val="0"/>
        <w:snapToGrid w:val="0"/>
        <w:spacing w:line="360" w:lineRule="auto"/>
        <w:ind w:firstLine="720"/>
        <w:rPr>
          <w:rFonts w:ascii="黑体" w:hAnsi="宋体" w:eastAsia="黑体"/>
          <w:color w:val="auto"/>
          <w:sz w:val="32"/>
          <w:szCs w:val="32"/>
        </w:rPr>
      </w:pPr>
      <w:r>
        <w:rPr>
          <w:rFonts w:hint="eastAsia" w:ascii="黑体" w:hAnsi="宋体" w:eastAsia="黑体"/>
          <w:color w:val="auto"/>
          <w:sz w:val="32"/>
          <w:szCs w:val="32"/>
        </w:rPr>
        <w:t>五、评价结论及建议</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（一）评价结论。</w:t>
      </w:r>
    </w:p>
    <w:p>
      <w:pPr>
        <w:spacing w:line="360" w:lineRule="auto"/>
        <w:ind w:firstLine="640" w:firstLineChars="200"/>
        <w:rPr>
          <w:rFonts w:eastAsia="仿宋_GB2312"/>
          <w:color w:val="auto"/>
          <w:sz w:val="32"/>
          <w:szCs w:val="32"/>
        </w:rPr>
      </w:pPr>
      <w:r>
        <w:rPr>
          <w:rFonts w:hint="eastAsia" w:eastAsia="仿宋_GB2312"/>
          <w:color w:val="auto"/>
          <w:kern w:val="0"/>
          <w:sz w:val="32"/>
          <w:szCs w:val="32"/>
        </w:rPr>
        <w:t>该项目是残疾人正常享受医保待遇的重要举措，</w:t>
      </w:r>
      <w:r>
        <w:rPr>
          <w:rFonts w:hint="eastAsia" w:eastAsia="仿宋_GB2312"/>
          <w:color w:val="auto"/>
          <w:sz w:val="32"/>
          <w:szCs w:val="32"/>
        </w:rPr>
        <w:t>保障其享受医疗待遇，对照项目绩效指标，都</w:t>
      </w:r>
      <w:r>
        <w:rPr>
          <w:rFonts w:hint="eastAsia" w:eastAsia="仿宋_GB2312"/>
          <w:color w:val="auto"/>
          <w:sz w:val="32"/>
          <w:szCs w:val="32"/>
          <w:lang w:eastAsia="zh-CN"/>
        </w:rPr>
        <w:t>很好地完成</w:t>
      </w:r>
      <w:r>
        <w:rPr>
          <w:rFonts w:hint="eastAsia" w:eastAsia="仿宋_GB2312"/>
          <w:color w:val="auto"/>
          <w:sz w:val="32"/>
          <w:szCs w:val="32"/>
        </w:rPr>
        <w:t>了各项绩效指标。</w:t>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（二）存在的问题。</w:t>
      </w:r>
    </w:p>
    <w:p>
      <w:pPr>
        <w:adjustRightInd w:val="0"/>
        <w:snapToGrid w:val="0"/>
        <w:spacing w:line="360" w:lineRule="auto"/>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无。</w:t>
      </w:r>
      <w:r>
        <w:rPr>
          <w:rFonts w:hint="eastAsia" w:ascii="仿宋_GB2312" w:hAnsi="宋体" w:eastAsia="仿宋_GB2312"/>
          <w:color w:val="auto"/>
          <w:sz w:val="32"/>
          <w:szCs w:val="32"/>
          <w:lang w:val="zh-CN"/>
        </w:rPr>
        <w:tab/>
      </w:r>
    </w:p>
    <w:p>
      <w:pPr>
        <w:adjustRightInd w:val="0"/>
        <w:snapToGrid w:val="0"/>
        <w:spacing w:line="360" w:lineRule="auto"/>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（三）相关建议。</w:t>
      </w:r>
    </w:p>
    <w:p>
      <w:pPr>
        <w:adjustRightInd w:val="0"/>
        <w:snapToGrid w:val="0"/>
        <w:spacing w:line="360" w:lineRule="auto"/>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无。</w:t>
      </w:r>
    </w:p>
    <w:p>
      <w:pPr>
        <w:pStyle w:val="2"/>
        <w:spacing w:before="93" w:line="360" w:lineRule="auto"/>
        <w:rPr>
          <w:color w:val="auto"/>
          <w:lang w:val="zh-CN"/>
        </w:rPr>
      </w:pPr>
    </w:p>
    <w:p>
      <w:pPr>
        <w:pStyle w:val="2"/>
        <w:spacing w:before="93" w:line="360" w:lineRule="auto"/>
        <w:rPr>
          <w:color w:val="auto"/>
          <w:lang w:val="zh-C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spacing w:line="360" w:lineRule="auto"/>
              <w:jc w:val="center"/>
              <w:textAlignment w:val="center"/>
              <w:rPr>
                <w:rFonts w:ascii="宋体" w:hAnsi="宋体" w:cs="宋体"/>
                <w:b/>
                <w:color w:val="auto"/>
                <w:sz w:val="32"/>
                <w:szCs w:val="32"/>
              </w:rPr>
            </w:pPr>
            <w:r>
              <w:rPr>
                <w:rFonts w:hint="eastAsia" w:ascii="宋体" w:hAnsi="宋体" w:cs="宋体"/>
                <w:b/>
                <w:color w:val="auto"/>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pPr>
              <w:widowControl/>
              <w:spacing w:line="360" w:lineRule="auto"/>
              <w:jc w:val="center"/>
              <w:textAlignment w:val="center"/>
              <w:rPr>
                <w:rFonts w:ascii="宋体" w:hAnsi="宋体" w:cs="宋体"/>
                <w:b/>
                <w:color w:val="auto"/>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518001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盐边县医疗保障局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项目预算</w:t>
            </w:r>
          </w:p>
          <w:p>
            <w:pPr>
              <w:widowControl/>
              <w:spacing w:line="360" w:lineRule="auto"/>
              <w:jc w:val="center"/>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执行情况</w:t>
            </w:r>
          </w:p>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205.1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205.1</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其中：</w:t>
            </w:r>
          </w:p>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205.1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其中：</w:t>
            </w:r>
          </w:p>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205.1</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年度总体目标</w:t>
            </w:r>
          </w:p>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top"/>
              <w:rPr>
                <w:rFonts w:ascii="宋体" w:hAnsi="宋体" w:cs="宋体"/>
                <w:color w:val="auto"/>
                <w:sz w:val="24"/>
              </w:rPr>
            </w:pPr>
            <w:r>
              <w:rPr>
                <w:rFonts w:hint="eastAsia" w:ascii="宋体" w:hAnsi="宋体" w:cs="宋体"/>
                <w:color w:val="auto"/>
                <w:sz w:val="24"/>
              </w:rPr>
              <w:t>资助县内残疾人参加城乡居民医疗保险，享受城乡居民医疗保险待遇，减轻医疗负担。</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top"/>
              <w:rPr>
                <w:rFonts w:ascii="宋体" w:hAnsi="宋体" w:cs="宋体"/>
                <w:color w:val="auto"/>
                <w:sz w:val="24"/>
              </w:rPr>
            </w:pPr>
            <w:r>
              <w:rPr>
                <w:rFonts w:hint="eastAsia" w:ascii="宋体" w:hAnsi="宋体" w:cs="宋体"/>
                <w:color w:val="auto"/>
                <w:sz w:val="24"/>
              </w:rPr>
              <w:t>资助了县内5756名残疾人参加城乡居民医疗保险，保障其医疗待遇。</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一级</w:t>
            </w:r>
          </w:p>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二级</w:t>
            </w:r>
          </w:p>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三级</w:t>
            </w:r>
          </w:p>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完成</w:t>
            </w:r>
          </w:p>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资助参保人数（名）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根据实际人数资助</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5756</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continue"/>
            <w:tcBorders>
              <w:left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资助参保金额（万元）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根据人数及标准计算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205.1</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continue"/>
            <w:tcBorders>
              <w:left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资助标准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根据当年标准资助</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重残450元/人·年，一般残疾300元/人·年</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残疾人参保率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参保资金上解时间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在规定时间内上解</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按时上解</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效益</w:t>
            </w:r>
          </w:p>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保障残疾人参加城乡居民医疗保险</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持续保障</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持续保障</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保障城乡医保基金运行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成效明显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成效明显</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保障残疾人正常享受医疗待遇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持续保障</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持续保障</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满意</w:t>
            </w:r>
          </w:p>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满意度</w:t>
            </w:r>
          </w:p>
          <w:p>
            <w:pPr>
              <w:widowControl/>
              <w:spacing w:line="360" w:lineRule="auto"/>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≥90%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100%</w:t>
            </w:r>
          </w:p>
        </w:tc>
      </w:tr>
      <w:tr>
        <w:tblPrEx>
          <w:tblCellMar>
            <w:top w:w="0" w:type="dxa"/>
            <w:left w:w="108" w:type="dxa"/>
            <w:bottom w:w="0" w:type="dxa"/>
            <w:right w:w="108" w:type="dxa"/>
          </w:tblCellMar>
        </w:tblPrEx>
        <w:trPr>
          <w:gridAfter w:val="1"/>
          <w:wAfter w:w="236" w:type="dxa"/>
          <w:trHeight w:val="530" w:hRule="atLeast"/>
        </w:trPr>
        <w:tc>
          <w:tcPr>
            <w:tcW w:w="1976" w:type="dxa"/>
            <w:tcBorders>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满意度</w:t>
            </w:r>
          </w:p>
          <w:p>
            <w:pPr>
              <w:widowControl/>
              <w:spacing w:line="360" w:lineRule="auto"/>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≥95%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99%</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100%</w:t>
            </w:r>
          </w:p>
        </w:tc>
      </w:tr>
    </w:tbl>
    <w:p>
      <w:pPr>
        <w:widowControl/>
        <w:spacing w:line="360" w:lineRule="auto"/>
        <w:jc w:val="left"/>
        <w:rPr>
          <w:rStyle w:val="25"/>
          <w:rFonts w:ascii="黑体" w:hAnsi="黑体" w:eastAsia="黑体"/>
          <w:b w:val="0"/>
          <w:color w:val="auto"/>
        </w:rPr>
      </w:pPr>
      <w:r>
        <w:rPr>
          <w:rStyle w:val="25"/>
          <w:rFonts w:ascii="黑体" w:hAnsi="黑体" w:eastAsia="黑体"/>
          <w:b w:val="0"/>
          <w:color w:val="auto"/>
        </w:rPr>
        <w:br w:type="page"/>
      </w:r>
    </w:p>
    <w:p>
      <w:pPr>
        <w:spacing w:line="360" w:lineRule="auto"/>
        <w:jc w:val="center"/>
        <w:outlineLvl w:val="0"/>
        <w:rPr>
          <w:rFonts w:ascii="仿宋" w:hAnsi="仿宋" w:eastAsia="仿宋"/>
          <w:color w:val="auto"/>
        </w:rPr>
      </w:pPr>
      <w:bookmarkStart w:id="64" w:name="_Toc15396618"/>
      <w:r>
        <w:rPr>
          <w:rFonts w:hint="eastAsia" w:ascii="黑体" w:hAnsi="黑体" w:eastAsia="黑体"/>
          <w:color w:val="auto"/>
          <w:sz w:val="44"/>
          <w:szCs w:val="44"/>
        </w:rPr>
        <w:t>第</w:t>
      </w:r>
      <w:r>
        <w:rPr>
          <w:rStyle w:val="25"/>
          <w:rFonts w:hint="eastAsia" w:ascii="黑体" w:hAnsi="黑体" w:eastAsia="黑体"/>
          <w:b w:val="0"/>
          <w:color w:val="auto"/>
        </w:rPr>
        <w:t>五部分 附表</w:t>
      </w:r>
      <w:bookmarkEnd w:id="62"/>
      <w:bookmarkEnd w:id="64"/>
      <w:bookmarkStart w:id="65" w:name="_Toc15396619"/>
    </w:p>
    <w:p>
      <w:pPr>
        <w:pStyle w:val="4"/>
        <w:spacing w:line="360" w:lineRule="auto"/>
        <w:rPr>
          <w:rFonts w:ascii="仿宋" w:hAnsi="仿宋" w:eastAsia="仿宋"/>
          <w:color w:val="auto"/>
        </w:rPr>
      </w:pPr>
      <w:r>
        <w:rPr>
          <w:rFonts w:hint="eastAsia" w:ascii="仿宋" w:hAnsi="仿宋" w:eastAsia="仿宋"/>
          <w:b w:val="0"/>
          <w:color w:val="auto"/>
        </w:rPr>
        <w:t>一、收</w:t>
      </w:r>
      <w:r>
        <w:rPr>
          <w:rStyle w:val="26"/>
          <w:rFonts w:hint="eastAsia" w:ascii="仿宋" w:hAnsi="仿宋" w:eastAsia="仿宋"/>
          <w:b w:val="0"/>
          <w:bCs w:val="0"/>
          <w:color w:val="auto"/>
        </w:rPr>
        <w:t>入支出决算总表</w:t>
      </w:r>
      <w:bookmarkEnd w:id="65"/>
    </w:p>
    <w:p>
      <w:pPr>
        <w:pStyle w:val="4"/>
        <w:spacing w:line="360" w:lineRule="auto"/>
        <w:rPr>
          <w:rFonts w:ascii="仿宋" w:hAnsi="仿宋" w:eastAsia="仿宋"/>
          <w:color w:val="auto"/>
        </w:rPr>
      </w:pPr>
      <w:bookmarkStart w:id="66" w:name="_Toc15396620"/>
      <w:r>
        <w:rPr>
          <w:rFonts w:hint="eastAsia" w:ascii="仿宋" w:hAnsi="仿宋" w:eastAsia="仿宋"/>
          <w:b w:val="0"/>
          <w:color w:val="auto"/>
        </w:rPr>
        <w:t>二、收</w:t>
      </w:r>
      <w:r>
        <w:rPr>
          <w:rStyle w:val="26"/>
          <w:rFonts w:hint="eastAsia" w:ascii="仿宋" w:hAnsi="仿宋" w:eastAsia="仿宋"/>
          <w:b w:val="0"/>
          <w:bCs w:val="0"/>
          <w:color w:val="auto"/>
        </w:rPr>
        <w:t>入决算表</w:t>
      </w:r>
      <w:bookmarkEnd w:id="66"/>
    </w:p>
    <w:p>
      <w:pPr>
        <w:pStyle w:val="4"/>
        <w:spacing w:line="360" w:lineRule="auto"/>
        <w:rPr>
          <w:rFonts w:ascii="仿宋" w:hAnsi="仿宋" w:eastAsia="仿宋"/>
          <w:color w:val="auto"/>
        </w:rPr>
      </w:pPr>
      <w:bookmarkStart w:id="67" w:name="_Toc15396621"/>
      <w:r>
        <w:rPr>
          <w:rStyle w:val="26"/>
          <w:rFonts w:hint="eastAsia" w:ascii="仿宋" w:hAnsi="仿宋" w:eastAsia="仿宋"/>
          <w:b w:val="0"/>
          <w:bCs w:val="0"/>
          <w:color w:val="auto"/>
        </w:rPr>
        <w:t>三、</w:t>
      </w:r>
      <w:r>
        <w:rPr>
          <w:rFonts w:hint="eastAsia" w:ascii="仿宋" w:hAnsi="仿宋" w:eastAsia="仿宋"/>
          <w:b w:val="0"/>
          <w:color w:val="auto"/>
        </w:rPr>
        <w:t>支</w:t>
      </w:r>
      <w:r>
        <w:rPr>
          <w:rStyle w:val="26"/>
          <w:rFonts w:hint="eastAsia" w:ascii="仿宋" w:hAnsi="仿宋" w:eastAsia="仿宋"/>
          <w:b w:val="0"/>
          <w:bCs w:val="0"/>
          <w:color w:val="auto"/>
        </w:rPr>
        <w:t>出决算表</w:t>
      </w:r>
      <w:bookmarkEnd w:id="67"/>
    </w:p>
    <w:p>
      <w:pPr>
        <w:pStyle w:val="4"/>
        <w:spacing w:line="360" w:lineRule="auto"/>
        <w:rPr>
          <w:rFonts w:ascii="仿宋" w:hAnsi="仿宋" w:eastAsia="仿宋"/>
          <w:b w:val="0"/>
          <w:color w:val="auto"/>
        </w:rPr>
      </w:pPr>
      <w:bookmarkStart w:id="68" w:name="_Toc15396622"/>
      <w:r>
        <w:rPr>
          <w:rStyle w:val="26"/>
          <w:rFonts w:hint="eastAsia" w:ascii="仿宋" w:hAnsi="仿宋" w:eastAsia="仿宋"/>
          <w:b w:val="0"/>
          <w:bCs w:val="0"/>
          <w:color w:val="auto"/>
        </w:rPr>
        <w:t>四、</w:t>
      </w:r>
      <w:r>
        <w:rPr>
          <w:rFonts w:hint="eastAsia" w:ascii="仿宋" w:hAnsi="仿宋" w:eastAsia="仿宋"/>
          <w:b w:val="0"/>
          <w:color w:val="auto"/>
        </w:rPr>
        <w:t>财</w:t>
      </w:r>
      <w:r>
        <w:rPr>
          <w:rStyle w:val="26"/>
          <w:rFonts w:hint="eastAsia" w:ascii="仿宋" w:hAnsi="仿宋" w:eastAsia="仿宋"/>
          <w:b w:val="0"/>
          <w:bCs w:val="0"/>
          <w:color w:val="auto"/>
        </w:rPr>
        <w:t>政拨款收入支出决算总表</w:t>
      </w:r>
      <w:bookmarkEnd w:id="68"/>
    </w:p>
    <w:p>
      <w:pPr>
        <w:pStyle w:val="4"/>
        <w:spacing w:line="360" w:lineRule="auto"/>
        <w:rPr>
          <w:rStyle w:val="26"/>
          <w:rFonts w:ascii="仿宋" w:hAnsi="仿宋" w:eastAsia="仿宋"/>
          <w:b w:val="0"/>
          <w:bCs w:val="0"/>
          <w:color w:val="auto"/>
        </w:rPr>
      </w:pPr>
      <w:bookmarkStart w:id="69" w:name="_Toc15396623"/>
      <w:r>
        <w:rPr>
          <w:rStyle w:val="26"/>
          <w:rFonts w:hint="eastAsia" w:ascii="仿宋" w:hAnsi="仿宋" w:eastAsia="仿宋"/>
          <w:b w:val="0"/>
          <w:bCs w:val="0"/>
          <w:color w:val="auto"/>
        </w:rPr>
        <w:t>五、</w:t>
      </w:r>
      <w:r>
        <w:rPr>
          <w:rFonts w:hint="eastAsia" w:ascii="仿宋" w:hAnsi="仿宋" w:eastAsia="仿宋"/>
          <w:b w:val="0"/>
          <w:color w:val="auto"/>
        </w:rPr>
        <w:t>财</w:t>
      </w:r>
      <w:r>
        <w:rPr>
          <w:rStyle w:val="26"/>
          <w:rFonts w:hint="eastAsia" w:ascii="仿宋" w:hAnsi="仿宋" w:eastAsia="仿宋"/>
          <w:b w:val="0"/>
          <w:bCs w:val="0"/>
          <w:color w:val="auto"/>
        </w:rPr>
        <w:t>政拨款支出决算明细表</w:t>
      </w:r>
      <w:bookmarkEnd w:id="69"/>
      <w:bookmarkStart w:id="70" w:name="_Toc15396624"/>
    </w:p>
    <w:p>
      <w:pPr>
        <w:pStyle w:val="4"/>
        <w:spacing w:line="360" w:lineRule="auto"/>
        <w:rPr>
          <w:rFonts w:ascii="仿宋" w:hAnsi="仿宋" w:eastAsia="仿宋"/>
          <w:color w:val="auto"/>
        </w:rPr>
      </w:pPr>
      <w:r>
        <w:rPr>
          <w:rStyle w:val="26"/>
          <w:rFonts w:hint="eastAsia" w:ascii="仿宋" w:hAnsi="仿宋" w:eastAsia="仿宋"/>
          <w:b w:val="0"/>
          <w:bCs w:val="0"/>
          <w:color w:val="auto"/>
        </w:rPr>
        <w:t>六、</w:t>
      </w:r>
      <w:r>
        <w:rPr>
          <w:rFonts w:hint="eastAsia" w:ascii="仿宋" w:hAnsi="仿宋" w:eastAsia="仿宋"/>
          <w:b w:val="0"/>
          <w:color w:val="auto"/>
        </w:rPr>
        <w:t>一</w:t>
      </w:r>
      <w:r>
        <w:rPr>
          <w:rStyle w:val="26"/>
          <w:rFonts w:hint="eastAsia" w:ascii="仿宋" w:hAnsi="仿宋" w:eastAsia="仿宋"/>
          <w:b w:val="0"/>
          <w:bCs w:val="0"/>
          <w:color w:val="auto"/>
        </w:rPr>
        <w:t>般公共预算财政拨款支出决算表</w:t>
      </w:r>
      <w:bookmarkEnd w:id="70"/>
    </w:p>
    <w:p>
      <w:pPr>
        <w:pStyle w:val="4"/>
        <w:spacing w:line="360" w:lineRule="auto"/>
        <w:rPr>
          <w:rFonts w:ascii="仿宋" w:hAnsi="仿宋" w:eastAsia="仿宋"/>
          <w:color w:val="auto"/>
        </w:rPr>
      </w:pPr>
      <w:bookmarkStart w:id="71" w:name="_Toc15396625"/>
      <w:r>
        <w:rPr>
          <w:rStyle w:val="26"/>
          <w:rFonts w:hint="eastAsia" w:ascii="仿宋" w:hAnsi="仿宋" w:eastAsia="仿宋"/>
          <w:b w:val="0"/>
          <w:bCs w:val="0"/>
          <w:color w:val="auto"/>
        </w:rPr>
        <w:t>七、</w:t>
      </w:r>
      <w:r>
        <w:rPr>
          <w:rFonts w:hint="eastAsia" w:ascii="仿宋" w:hAnsi="仿宋" w:eastAsia="仿宋"/>
          <w:b w:val="0"/>
          <w:color w:val="auto"/>
        </w:rPr>
        <w:t>一</w:t>
      </w:r>
      <w:r>
        <w:rPr>
          <w:rStyle w:val="26"/>
          <w:rFonts w:hint="eastAsia" w:ascii="仿宋" w:hAnsi="仿宋" w:eastAsia="仿宋"/>
          <w:b w:val="0"/>
          <w:bCs w:val="0"/>
          <w:color w:val="auto"/>
        </w:rPr>
        <w:t>般公共预算财政拨款支出决算明细表</w:t>
      </w:r>
      <w:bookmarkEnd w:id="71"/>
    </w:p>
    <w:p>
      <w:pPr>
        <w:pStyle w:val="4"/>
        <w:spacing w:line="360" w:lineRule="auto"/>
        <w:rPr>
          <w:rFonts w:ascii="仿宋" w:hAnsi="仿宋" w:eastAsia="仿宋"/>
          <w:color w:val="auto"/>
        </w:rPr>
      </w:pPr>
      <w:bookmarkStart w:id="72" w:name="_Toc15396626"/>
      <w:r>
        <w:rPr>
          <w:rStyle w:val="26"/>
          <w:rFonts w:hint="eastAsia" w:ascii="仿宋" w:hAnsi="仿宋" w:eastAsia="仿宋"/>
          <w:b w:val="0"/>
          <w:bCs w:val="0"/>
          <w:color w:val="auto"/>
        </w:rPr>
        <w:t>八、</w:t>
      </w:r>
      <w:r>
        <w:rPr>
          <w:rFonts w:hint="eastAsia" w:ascii="仿宋" w:hAnsi="仿宋" w:eastAsia="仿宋"/>
          <w:b w:val="0"/>
          <w:color w:val="auto"/>
        </w:rPr>
        <w:t>一</w:t>
      </w:r>
      <w:r>
        <w:rPr>
          <w:rStyle w:val="26"/>
          <w:rFonts w:hint="eastAsia" w:ascii="仿宋" w:hAnsi="仿宋" w:eastAsia="仿宋"/>
          <w:b w:val="0"/>
          <w:bCs w:val="0"/>
          <w:color w:val="auto"/>
        </w:rPr>
        <w:t>般公共预算财政拨款基本支出决算表</w:t>
      </w:r>
      <w:bookmarkEnd w:id="72"/>
    </w:p>
    <w:p>
      <w:pPr>
        <w:pStyle w:val="4"/>
        <w:spacing w:line="360" w:lineRule="auto"/>
        <w:rPr>
          <w:rFonts w:ascii="仿宋" w:hAnsi="仿宋" w:eastAsia="仿宋"/>
          <w:color w:val="auto"/>
        </w:rPr>
      </w:pPr>
      <w:bookmarkStart w:id="73" w:name="_Toc15396627"/>
      <w:r>
        <w:rPr>
          <w:rStyle w:val="26"/>
          <w:rFonts w:hint="eastAsia" w:ascii="仿宋" w:hAnsi="仿宋" w:eastAsia="仿宋"/>
          <w:b w:val="0"/>
          <w:bCs w:val="0"/>
          <w:color w:val="auto"/>
        </w:rPr>
        <w:t>九、</w:t>
      </w:r>
      <w:r>
        <w:rPr>
          <w:rFonts w:hint="eastAsia" w:ascii="仿宋" w:hAnsi="仿宋" w:eastAsia="仿宋"/>
          <w:b w:val="0"/>
          <w:color w:val="auto"/>
        </w:rPr>
        <w:t>一</w:t>
      </w:r>
      <w:r>
        <w:rPr>
          <w:rStyle w:val="26"/>
          <w:rFonts w:hint="eastAsia" w:ascii="仿宋" w:hAnsi="仿宋" w:eastAsia="仿宋"/>
          <w:b w:val="0"/>
          <w:bCs w:val="0"/>
          <w:color w:val="auto"/>
        </w:rPr>
        <w:t>般公共预算财政拨款项目支出决算表</w:t>
      </w:r>
      <w:bookmarkEnd w:id="73"/>
    </w:p>
    <w:p>
      <w:pPr>
        <w:pStyle w:val="4"/>
        <w:spacing w:line="360" w:lineRule="auto"/>
        <w:rPr>
          <w:rFonts w:ascii="仿宋" w:hAnsi="仿宋" w:eastAsia="仿宋"/>
          <w:color w:val="auto"/>
        </w:rPr>
      </w:pPr>
      <w:bookmarkStart w:id="74" w:name="_Toc15396628"/>
      <w:r>
        <w:rPr>
          <w:rStyle w:val="26"/>
          <w:rFonts w:hint="eastAsia" w:ascii="仿宋" w:hAnsi="仿宋" w:eastAsia="仿宋"/>
          <w:b w:val="0"/>
          <w:bCs w:val="0"/>
          <w:color w:val="auto"/>
        </w:rPr>
        <w:t>十、</w:t>
      </w:r>
      <w:r>
        <w:rPr>
          <w:rFonts w:hint="eastAsia" w:ascii="仿宋" w:hAnsi="仿宋" w:eastAsia="仿宋"/>
          <w:b w:val="0"/>
          <w:color w:val="auto"/>
        </w:rPr>
        <w:t>一</w:t>
      </w:r>
      <w:r>
        <w:rPr>
          <w:rStyle w:val="26"/>
          <w:rFonts w:hint="eastAsia" w:ascii="仿宋" w:hAnsi="仿宋" w:eastAsia="仿宋"/>
          <w:b w:val="0"/>
          <w:bCs w:val="0"/>
          <w:color w:val="auto"/>
        </w:rPr>
        <w:t>般公共预算财政拨款“三公”经费支出决算表</w:t>
      </w:r>
      <w:bookmarkEnd w:id="74"/>
    </w:p>
    <w:p>
      <w:pPr>
        <w:pStyle w:val="4"/>
        <w:spacing w:line="360" w:lineRule="auto"/>
        <w:rPr>
          <w:rFonts w:ascii="仿宋" w:hAnsi="仿宋" w:eastAsia="仿宋"/>
          <w:color w:val="auto"/>
        </w:rPr>
      </w:pPr>
      <w:bookmarkStart w:id="75" w:name="_Toc15396629"/>
      <w:r>
        <w:rPr>
          <w:rStyle w:val="26"/>
          <w:rFonts w:hint="eastAsia" w:ascii="仿宋" w:hAnsi="仿宋" w:eastAsia="仿宋"/>
          <w:b w:val="0"/>
          <w:bCs w:val="0"/>
          <w:color w:val="auto"/>
        </w:rPr>
        <w:t>十一、</w:t>
      </w:r>
      <w:r>
        <w:rPr>
          <w:rFonts w:hint="eastAsia" w:ascii="仿宋" w:hAnsi="仿宋" w:eastAsia="仿宋"/>
          <w:b w:val="0"/>
          <w:color w:val="auto"/>
        </w:rPr>
        <w:t>政</w:t>
      </w:r>
      <w:r>
        <w:rPr>
          <w:rStyle w:val="26"/>
          <w:rFonts w:hint="eastAsia" w:ascii="仿宋" w:hAnsi="仿宋" w:eastAsia="仿宋"/>
          <w:b w:val="0"/>
          <w:bCs w:val="0"/>
          <w:color w:val="auto"/>
        </w:rPr>
        <w:t>府性基金预算财政拨款收入支出决算表</w:t>
      </w:r>
      <w:bookmarkEnd w:id="75"/>
    </w:p>
    <w:p>
      <w:pPr>
        <w:pStyle w:val="4"/>
        <w:spacing w:line="360" w:lineRule="auto"/>
        <w:rPr>
          <w:rFonts w:ascii="仿宋" w:hAnsi="仿宋" w:eastAsia="仿宋"/>
          <w:color w:val="auto"/>
        </w:rPr>
      </w:pPr>
      <w:bookmarkStart w:id="76" w:name="_Toc15396630"/>
      <w:r>
        <w:rPr>
          <w:rStyle w:val="26"/>
          <w:rFonts w:hint="eastAsia" w:ascii="仿宋" w:hAnsi="仿宋" w:eastAsia="仿宋"/>
          <w:b w:val="0"/>
          <w:bCs w:val="0"/>
          <w:color w:val="auto"/>
        </w:rPr>
        <w:t>十二、</w:t>
      </w:r>
      <w:r>
        <w:rPr>
          <w:rFonts w:hint="eastAsia" w:ascii="仿宋" w:hAnsi="仿宋" w:eastAsia="仿宋"/>
          <w:b w:val="0"/>
          <w:color w:val="auto"/>
        </w:rPr>
        <w:t>政</w:t>
      </w:r>
      <w:r>
        <w:rPr>
          <w:rStyle w:val="26"/>
          <w:rFonts w:hint="eastAsia" w:ascii="仿宋" w:hAnsi="仿宋" w:eastAsia="仿宋"/>
          <w:b w:val="0"/>
          <w:bCs w:val="0"/>
          <w:color w:val="auto"/>
        </w:rPr>
        <w:t>府性基金预算财政拨款“三公”经费支出决算表</w:t>
      </w:r>
      <w:bookmarkEnd w:id="76"/>
    </w:p>
    <w:p>
      <w:pPr>
        <w:pStyle w:val="4"/>
        <w:spacing w:line="360" w:lineRule="auto"/>
        <w:rPr>
          <w:rStyle w:val="26"/>
          <w:rFonts w:ascii="仿宋" w:hAnsi="仿宋" w:eastAsia="仿宋"/>
          <w:b w:val="0"/>
          <w:bCs w:val="0"/>
          <w:color w:val="auto"/>
        </w:rPr>
      </w:pPr>
      <w:bookmarkStart w:id="77" w:name="_Toc15396631"/>
      <w:r>
        <w:rPr>
          <w:rStyle w:val="26"/>
          <w:rFonts w:hint="eastAsia" w:ascii="仿宋" w:hAnsi="仿宋" w:eastAsia="仿宋"/>
          <w:b w:val="0"/>
          <w:bCs w:val="0"/>
          <w:color w:val="auto"/>
        </w:rPr>
        <w:t>十三、</w:t>
      </w:r>
      <w:r>
        <w:rPr>
          <w:rFonts w:hint="eastAsia" w:ascii="仿宋" w:hAnsi="仿宋" w:eastAsia="仿宋"/>
          <w:b w:val="0"/>
          <w:color w:val="auto"/>
        </w:rPr>
        <w:t>国</w:t>
      </w:r>
      <w:r>
        <w:rPr>
          <w:rStyle w:val="26"/>
          <w:rFonts w:hint="eastAsia" w:ascii="仿宋" w:hAnsi="仿宋" w:eastAsia="仿宋"/>
          <w:b w:val="0"/>
          <w:bCs w:val="0"/>
          <w:color w:val="auto"/>
        </w:rPr>
        <w:t>有资本经营预算财政拨款收入支出决算表</w:t>
      </w:r>
      <w:bookmarkEnd w:id="77"/>
    </w:p>
    <w:p>
      <w:pPr>
        <w:spacing w:line="360" w:lineRule="auto"/>
        <w:rPr>
          <w:rFonts w:eastAsia="仿宋"/>
          <w:color w:val="auto"/>
        </w:rPr>
      </w:pPr>
      <w:r>
        <w:rPr>
          <w:rStyle w:val="26"/>
          <w:rFonts w:hint="eastAsia" w:ascii="仿宋" w:hAnsi="仿宋" w:eastAsia="仿宋"/>
          <w:b w:val="0"/>
          <w:bCs w:val="0"/>
          <w:color w:val="auto"/>
        </w:rPr>
        <w:t>十四、国有资本经营预算财政拨款支出决算表</w:t>
      </w:r>
    </w:p>
    <w:sectPr>
      <w:footerReference r:id="rId7" w:type="first"/>
      <w:footerReference r:id="rId6"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994781956"/>
                          </w:sdtPr>
                          <w:sdtContent>
                            <w:p>
                              <w:pPr>
                                <w:pStyle w:val="9"/>
                                <w:jc w:val="center"/>
                              </w:pPr>
                              <w:r>
                                <w:fldChar w:fldCharType="begin"/>
                              </w:r>
                              <w:r>
                                <w:instrText xml:space="preserve">PAGE   \* MERGEFORMAT</w:instrText>
                              </w:r>
                              <w:r>
                                <w:fldChar w:fldCharType="separate"/>
                              </w:r>
                              <w:r>
                                <w:rPr>
                                  <w:lang w:val="zh-CN"/>
                                </w:rPr>
                                <w:t>42</w:t>
                              </w:r>
                              <w:r>
                                <w:fldChar w:fldCharType="end"/>
                              </w:r>
                            </w:p>
                          </w:sdtContent>
                        </w:sdt>
                        <w:p>
                          <w:pPr>
                            <w:pStyle w:val="2"/>
                            <w:spacing w:before="72"/>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aTb8g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UBy74xYHfvn+7fLj1+XnV/I6&#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DGk2/IAQAAmQMAAA4AAAAAAAAAAQAgAAAAHgEAAGRycy9lMm9Eb2Mu&#10;eG1sUEsFBgAAAAAGAAYAWQEAAFgFAAAAAA==&#10;">
              <v:fill on="f" focussize="0,0"/>
              <v:stroke on="f"/>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42</w:t>
                        </w:r>
                        <w:r>
                          <w:fldChar w:fldCharType="end"/>
                        </w:r>
                      </w:p>
                    </w:sdtContent>
                  </w:sdt>
                  <w:p>
                    <w:pPr>
                      <w:pStyle w:val="2"/>
                      <w:spacing w:before="72"/>
                    </w:pP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j7PA8kBAACZ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Ps8DyQEAAJkDAAAOAAAAAAAAAAEAIAAAAB4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ADE7A"/>
    <w:multiLevelType w:val="singleLevel"/>
    <w:tmpl w:val="949ADE7A"/>
    <w:lvl w:ilvl="0" w:tentative="0">
      <w:start w:val="2"/>
      <w:numFmt w:val="decimal"/>
      <w:suff w:val="nothing"/>
      <w:lvlText w:val="%1．"/>
      <w:lvlJc w:val="left"/>
    </w:lvl>
  </w:abstractNum>
  <w:abstractNum w:abstractNumId="1">
    <w:nsid w:val="B357CBDD"/>
    <w:multiLevelType w:val="singleLevel"/>
    <w:tmpl w:val="B357CBDD"/>
    <w:lvl w:ilvl="0" w:tentative="0">
      <w:start w:val="2"/>
      <w:numFmt w:val="decimal"/>
      <w:suff w:val="nothing"/>
      <w:lvlText w:val="%1．"/>
      <w:lvlJc w:val="left"/>
    </w:lvl>
  </w:abstractNum>
  <w:abstractNum w:abstractNumId="2">
    <w:nsid w:val="B54F88CA"/>
    <w:multiLevelType w:val="singleLevel"/>
    <w:tmpl w:val="B54F88CA"/>
    <w:lvl w:ilvl="0" w:tentative="0">
      <w:start w:val="1"/>
      <w:numFmt w:val="chineseCounting"/>
      <w:suff w:val="nothing"/>
      <w:lvlText w:val="（%1）"/>
      <w:lvlJc w:val="left"/>
      <w:rPr>
        <w:rFonts w:hint="eastAsia"/>
      </w:rPr>
    </w:lvl>
  </w:abstractNum>
  <w:abstractNum w:abstractNumId="3">
    <w:nsid w:val="BB2FEA2B"/>
    <w:multiLevelType w:val="singleLevel"/>
    <w:tmpl w:val="BB2FEA2B"/>
    <w:lvl w:ilvl="0" w:tentative="0">
      <w:start w:val="2"/>
      <w:numFmt w:val="decimal"/>
      <w:suff w:val="nothing"/>
      <w:lvlText w:val="%1．"/>
      <w:lvlJc w:val="left"/>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EA93F6D2"/>
    <w:multiLevelType w:val="singleLevel"/>
    <w:tmpl w:val="EA93F6D2"/>
    <w:lvl w:ilvl="0" w:tentative="0">
      <w:start w:val="2"/>
      <w:numFmt w:val="decimal"/>
      <w:suff w:val="nothing"/>
      <w:lvlText w:val="%1．"/>
      <w:lvlJc w:val="left"/>
    </w:lvl>
  </w:abstractNum>
  <w:abstractNum w:abstractNumId="7">
    <w:nsid w:val="04A09559"/>
    <w:multiLevelType w:val="singleLevel"/>
    <w:tmpl w:val="04A09559"/>
    <w:lvl w:ilvl="0" w:tentative="0">
      <w:start w:val="2"/>
      <w:numFmt w:val="decimal"/>
      <w:suff w:val="nothing"/>
      <w:lvlText w:val="%1．"/>
      <w:lvlJc w:val="left"/>
    </w:lvl>
  </w:abstractNum>
  <w:abstractNum w:abstractNumId="8">
    <w:nsid w:val="04FBD7A1"/>
    <w:multiLevelType w:val="singleLevel"/>
    <w:tmpl w:val="04FBD7A1"/>
    <w:lvl w:ilvl="0" w:tentative="0">
      <w:start w:val="2"/>
      <w:numFmt w:val="chineseCounting"/>
      <w:suff w:val="nothing"/>
      <w:lvlText w:val="（%1）"/>
      <w:lvlJc w:val="left"/>
      <w:rPr>
        <w:rFonts w:hint="eastAsia"/>
      </w:rPr>
    </w:lvl>
  </w:abstractNum>
  <w:abstractNum w:abstractNumId="9">
    <w:nsid w:val="0F234E11"/>
    <w:multiLevelType w:val="singleLevel"/>
    <w:tmpl w:val="0F234E11"/>
    <w:lvl w:ilvl="0" w:tentative="0">
      <w:start w:val="2"/>
      <w:numFmt w:val="decimal"/>
      <w:suff w:val="nothing"/>
      <w:lvlText w:val="%1．"/>
      <w:lvlJc w:val="left"/>
    </w:lvl>
  </w:abstractNum>
  <w:abstractNum w:abstractNumId="10">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3E794925"/>
    <w:multiLevelType w:val="singleLevel"/>
    <w:tmpl w:val="3E794925"/>
    <w:lvl w:ilvl="0" w:tentative="0">
      <w:start w:val="3"/>
      <w:numFmt w:val="chineseCounting"/>
      <w:suff w:val="nothing"/>
      <w:lvlText w:val="（%1）"/>
      <w:lvlJc w:val="left"/>
      <w:pPr>
        <w:ind w:left="-10"/>
      </w:pPr>
      <w:rPr>
        <w:rFonts w:hint="eastAsia"/>
      </w:rPr>
    </w:lvl>
  </w:abstractNum>
  <w:abstractNum w:abstractNumId="12">
    <w:nsid w:val="71DC035A"/>
    <w:multiLevelType w:val="singleLevel"/>
    <w:tmpl w:val="71DC035A"/>
    <w:lvl w:ilvl="0" w:tentative="0">
      <w:start w:val="2"/>
      <w:numFmt w:val="decimal"/>
      <w:suff w:val="nothing"/>
      <w:lvlText w:val="%1．"/>
      <w:lvlJc w:val="left"/>
    </w:lvl>
  </w:abstractNum>
  <w:abstractNum w:abstractNumId="13">
    <w:nsid w:val="757D4861"/>
    <w:multiLevelType w:val="singleLevel"/>
    <w:tmpl w:val="757D4861"/>
    <w:lvl w:ilvl="0" w:tentative="0">
      <w:start w:val="2"/>
      <w:numFmt w:val="decimal"/>
      <w:suff w:val="nothing"/>
      <w:lvlText w:val="%1．"/>
      <w:lvlJc w:val="left"/>
    </w:lvl>
  </w:abstractNum>
  <w:abstractNum w:abstractNumId="14">
    <w:nsid w:val="7C57AE9A"/>
    <w:multiLevelType w:val="singleLevel"/>
    <w:tmpl w:val="7C57AE9A"/>
    <w:lvl w:ilvl="0" w:tentative="0">
      <w:start w:val="2"/>
      <w:numFmt w:val="decimal"/>
      <w:suff w:val="nothing"/>
      <w:lvlText w:val="%1．"/>
      <w:lvlJc w:val="left"/>
    </w:lvl>
  </w:abstractNum>
  <w:num w:numId="1">
    <w:abstractNumId w:val="10"/>
  </w:num>
  <w:num w:numId="2">
    <w:abstractNumId w:val="4"/>
  </w:num>
  <w:num w:numId="3">
    <w:abstractNumId w:val="5"/>
  </w:num>
  <w:num w:numId="4">
    <w:abstractNumId w:val="8"/>
  </w:num>
  <w:num w:numId="5">
    <w:abstractNumId w:val="11"/>
  </w:num>
  <w:num w:numId="6">
    <w:abstractNumId w:val="0"/>
  </w:num>
  <w:num w:numId="7">
    <w:abstractNumId w:val="7"/>
  </w:num>
  <w:num w:numId="8">
    <w:abstractNumId w:val="9"/>
  </w:num>
  <w:num w:numId="9">
    <w:abstractNumId w:val="14"/>
  </w:num>
  <w:num w:numId="10">
    <w:abstractNumId w:val="6"/>
  </w:num>
  <w:num w:numId="11">
    <w:abstractNumId w:val="12"/>
  </w:num>
  <w:num w:numId="12">
    <w:abstractNumId w:val="2"/>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NzliNjBlMWE5Njc0Y2M3NGVjMjA4MmMxYWQ5Mz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2F76"/>
    <w:rsid w:val="003E6F55"/>
    <w:rsid w:val="00406254"/>
    <w:rsid w:val="00411F7A"/>
    <w:rsid w:val="004217EC"/>
    <w:rsid w:val="004223DE"/>
    <w:rsid w:val="00434489"/>
    <w:rsid w:val="00437085"/>
    <w:rsid w:val="00443880"/>
    <w:rsid w:val="004464F4"/>
    <w:rsid w:val="00457321"/>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7153"/>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35A3"/>
    <w:rsid w:val="008C4DB1"/>
    <w:rsid w:val="008C4EAF"/>
    <w:rsid w:val="008C5176"/>
    <w:rsid w:val="008C7FD0"/>
    <w:rsid w:val="008E1DE7"/>
    <w:rsid w:val="008E707C"/>
    <w:rsid w:val="00900B08"/>
    <w:rsid w:val="00902155"/>
    <w:rsid w:val="00902FA3"/>
    <w:rsid w:val="009128E6"/>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2E62"/>
    <w:rsid w:val="009B2C43"/>
    <w:rsid w:val="009B4EAE"/>
    <w:rsid w:val="009B7573"/>
    <w:rsid w:val="009C22F4"/>
    <w:rsid w:val="009C2A4B"/>
    <w:rsid w:val="009C2E98"/>
    <w:rsid w:val="009D1B95"/>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B60"/>
    <w:rsid w:val="00AB64C9"/>
    <w:rsid w:val="00AC3C6A"/>
    <w:rsid w:val="00AD0C25"/>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2BD0"/>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C7662"/>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0C223D"/>
    <w:rsid w:val="031C329A"/>
    <w:rsid w:val="045074EF"/>
    <w:rsid w:val="045D2E6A"/>
    <w:rsid w:val="066E0107"/>
    <w:rsid w:val="07996F6E"/>
    <w:rsid w:val="09B55D71"/>
    <w:rsid w:val="0A2032A3"/>
    <w:rsid w:val="0DD57ECE"/>
    <w:rsid w:val="101860EC"/>
    <w:rsid w:val="10C055FF"/>
    <w:rsid w:val="10FD1C16"/>
    <w:rsid w:val="118107EC"/>
    <w:rsid w:val="13897791"/>
    <w:rsid w:val="13D50BC4"/>
    <w:rsid w:val="16BB723D"/>
    <w:rsid w:val="19016D1D"/>
    <w:rsid w:val="1ABA46D4"/>
    <w:rsid w:val="1BE8440E"/>
    <w:rsid w:val="1D155CEE"/>
    <w:rsid w:val="1D38670A"/>
    <w:rsid w:val="23860B96"/>
    <w:rsid w:val="240371BF"/>
    <w:rsid w:val="29342C84"/>
    <w:rsid w:val="29FD04D3"/>
    <w:rsid w:val="2C8A61B5"/>
    <w:rsid w:val="2D0D788C"/>
    <w:rsid w:val="2DDD09AD"/>
    <w:rsid w:val="2DF04E50"/>
    <w:rsid w:val="319F7F4E"/>
    <w:rsid w:val="36AA5135"/>
    <w:rsid w:val="37E16F03"/>
    <w:rsid w:val="3D98207C"/>
    <w:rsid w:val="3EC7548D"/>
    <w:rsid w:val="3FB54AC1"/>
    <w:rsid w:val="41AF2209"/>
    <w:rsid w:val="44E268DA"/>
    <w:rsid w:val="4A627F82"/>
    <w:rsid w:val="4B4F25DA"/>
    <w:rsid w:val="4B9366F7"/>
    <w:rsid w:val="4BE068DB"/>
    <w:rsid w:val="4C4A7526"/>
    <w:rsid w:val="4D577224"/>
    <w:rsid w:val="4EAB630A"/>
    <w:rsid w:val="4ECE2238"/>
    <w:rsid w:val="559B2E20"/>
    <w:rsid w:val="584E40D2"/>
    <w:rsid w:val="5AF92295"/>
    <w:rsid w:val="5CD71FC4"/>
    <w:rsid w:val="637F38AA"/>
    <w:rsid w:val="6796613D"/>
    <w:rsid w:val="6C4A05C8"/>
    <w:rsid w:val="6DB431CB"/>
    <w:rsid w:val="6E7E3605"/>
    <w:rsid w:val="6FF5CC65"/>
    <w:rsid w:val="70BF5715"/>
    <w:rsid w:val="715C0E4B"/>
    <w:rsid w:val="72734D90"/>
    <w:rsid w:val="73AD73D5"/>
    <w:rsid w:val="73B6EB34"/>
    <w:rsid w:val="77866F8C"/>
    <w:rsid w:val="79EE5BA4"/>
    <w:rsid w:val="7A894339"/>
    <w:rsid w:val="7EEF11D3"/>
    <w:rsid w:val="7F8C0EB8"/>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chart" Target="charts/chart4.xml"/><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chart" Target="charts/chart3.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1995.32</c:v>
                </c:pt>
                <c:pt idx="1">
                  <c:v>2156.02</c:v>
                </c:pt>
              </c:numCache>
            </c:numRef>
          </c:val>
        </c:ser>
        <c:dLbls>
          <c:showLegendKey val="0"/>
          <c:showVal val="1"/>
          <c:showCatName val="0"/>
          <c:showSerName val="0"/>
          <c:showPercent val="0"/>
          <c:showBubbleSize val="0"/>
        </c:dLbls>
        <c:gapWidth val="246"/>
        <c:overlap val="-28"/>
        <c:axId val="108955404"/>
        <c:axId val="226558631"/>
      </c:barChart>
      <c:catAx>
        <c:axId val="1089554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6558631"/>
        <c:crosses val="autoZero"/>
        <c:auto val="1"/>
        <c:lblAlgn val="ctr"/>
        <c:lblOffset val="100"/>
        <c:noMultiLvlLbl val="0"/>
      </c:catAx>
      <c:valAx>
        <c:axId val="226558631"/>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89554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534783752238709"/>
                  <c:y val="-0.0014382216058900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87832251923355"/>
                  <c:y val="-0.034948538149522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915847317544881"/>
                  <c:y val="-0.0039405951031101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其他收入</c:v>
                </c:pt>
                <c:pt idx="1">
                  <c:v>一般性公共预算财政拨款收入</c:v>
                </c:pt>
                <c:pt idx="2">
                  <c:v>政府性基金预算财政拨款收入</c:v>
                </c:pt>
              </c:strCache>
            </c:strRef>
          </c:cat>
          <c:val>
            <c:numRef>
              <c:f>Sheet1!$B$2:$B$4</c:f>
              <c:numCache>
                <c:formatCode>General</c:formatCode>
                <c:ptCount val="3"/>
                <c:pt idx="0">
                  <c:v>7</c:v>
                </c:pt>
                <c:pt idx="1">
                  <c:v>2094.51</c:v>
                </c:pt>
                <c:pt idx="2">
                  <c:v>35.4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1995.32</c:v>
                </c:pt>
                <c:pt idx="1">
                  <c:v>2149.02</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2020年</c:v>
                </c:pt>
                <c:pt idx="1">
                  <c:v>2021年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374028059"/>
        <c:axId val="656596196"/>
      </c:barChart>
      <c:catAx>
        <c:axId val="3740280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596196"/>
        <c:crosses val="autoZero"/>
        <c:auto val="1"/>
        <c:lblAlgn val="ctr"/>
        <c:lblOffset val="100"/>
        <c:noMultiLvlLbl val="0"/>
      </c:catAx>
      <c:valAx>
        <c:axId val="65659619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028059"/>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888690415786827"/>
                  <c:y val="0.046640995139530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53404128882509"/>
                  <c:y val="-0.031613929181750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12200513256576"/>
                  <c:y val="0.024424725918756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897081782695723"/>
                  <c:y val="-0.0039406640602475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935150159685936"/>
                  <c:y val="0.011061818397021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社会保障和就业支出</c:v>
                </c:pt>
                <c:pt idx="1">
                  <c:v>卫生健康支出</c:v>
                </c:pt>
                <c:pt idx="2">
                  <c:v>农林水支出</c:v>
                </c:pt>
                <c:pt idx="3">
                  <c:v>住房保障支出</c:v>
                </c:pt>
                <c:pt idx="4">
                  <c:v>其他支出</c:v>
                </c:pt>
              </c:strCache>
            </c:strRef>
          </c:cat>
          <c:val>
            <c:numRef>
              <c:f>Sheet1!$B$2:$B$6</c:f>
              <c:numCache>
                <c:formatCode>General</c:formatCode>
                <c:ptCount val="5"/>
                <c:pt idx="0">
                  <c:v>315.5</c:v>
                </c:pt>
                <c:pt idx="1">
                  <c:v>1439.88</c:v>
                </c:pt>
                <c:pt idx="2">
                  <c:v>328.06</c:v>
                </c:pt>
                <c:pt idx="3">
                  <c:v>24.9</c:v>
                </c:pt>
                <c:pt idx="4">
                  <c:v>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55</Pages>
  <Words>17965</Words>
  <Characters>19288</Characters>
  <Lines>144</Lines>
  <Paragraphs>40</Paragraphs>
  <TotalTime>27</TotalTime>
  <ScaleCrop>false</ScaleCrop>
  <LinksUpToDate>false</LinksUpToDate>
  <CharactersWithSpaces>19384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蘇蘭。</cp:lastModifiedBy>
  <cp:lastPrinted>2022-10-18T03:20:00Z</cp:lastPrinted>
  <dcterms:modified xsi:type="dcterms:W3CDTF">2023-10-24T01:48:25Z</dcterms:modified>
  <dc:title>四川省***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976273F1E56D4D7F874CD6785473E9FB</vt:lpwstr>
  </property>
</Properties>
</file>