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sz w:val="72"/>
          <w:szCs w:val="72"/>
        </w:rPr>
      </w:pPr>
      <w:bookmarkStart w:id="0"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bookmarkEnd w:id="0"/>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1" w:name="_Toc15396597"/>
      <w:bookmarkStart w:id="2" w:name="_Toc15377425"/>
      <w:bookmarkStart w:id="3" w:name="_Toc15377193"/>
      <w:bookmarkStart w:id="4" w:name="_Toc15396475"/>
      <w:bookmarkStart w:id="5" w:name="_Toc15378441"/>
      <w:r>
        <w:rPr>
          <w:rFonts w:hint="eastAsia" w:ascii="方正小标宋简体" w:hAnsi="方正小标宋简体" w:eastAsia="方正小标宋简体" w:cs="方正小标宋简体"/>
          <w:sz w:val="72"/>
          <w:szCs w:val="72"/>
        </w:rPr>
        <w:t>2022年度</w:t>
      </w:r>
      <w:bookmarkEnd w:id="1"/>
      <w:bookmarkEnd w:id="2"/>
      <w:bookmarkEnd w:id="3"/>
      <w:bookmarkEnd w:id="4"/>
      <w:bookmarkEnd w:id="5"/>
    </w:p>
    <w:p>
      <w:pPr>
        <w:adjustRightInd w:val="0"/>
        <w:snapToGrid w:val="0"/>
        <w:spacing w:line="360" w:lineRule="auto"/>
        <w:jc w:val="center"/>
        <w:outlineLvl w:val="0"/>
        <w:rPr>
          <w:rFonts w:hint="eastAsia" w:ascii="方正小标宋简体" w:hAnsi="方正小标宋简体" w:eastAsia="方正小标宋简体" w:cs="方正小标宋简体"/>
          <w:sz w:val="72"/>
          <w:szCs w:val="72"/>
          <w:lang w:eastAsia="zh-CN"/>
        </w:rPr>
      </w:pPr>
      <w:bookmarkStart w:id="6" w:name="_Toc15378442"/>
      <w:bookmarkStart w:id="7" w:name="_Toc15377194"/>
      <w:bookmarkStart w:id="8" w:name="_Toc15377426"/>
      <w:bookmarkStart w:id="9" w:name="_Toc15306268"/>
      <w:bookmarkStart w:id="10" w:name="_Toc15396476"/>
      <w:bookmarkStart w:id="11" w:name="_Toc15396598"/>
      <w:r>
        <w:rPr>
          <w:rFonts w:hint="eastAsia" w:ascii="方正小标宋简体" w:hAnsi="方正小标宋简体" w:eastAsia="方正小标宋简体" w:cs="方正小标宋简体"/>
          <w:sz w:val="72"/>
          <w:szCs w:val="72"/>
          <w:lang w:eastAsia="zh-CN"/>
        </w:rPr>
        <w:t>盐边县温泉彝族乡卫生院</w:t>
      </w:r>
      <w:r>
        <w:rPr>
          <w:rFonts w:hint="eastAsia" w:ascii="方正小标宋简体" w:hAnsi="方正小标宋简体" w:eastAsia="方正小标宋简体" w:cs="方正小标宋简体"/>
          <w:sz w:val="72"/>
          <w:szCs w:val="72"/>
        </w:rPr>
        <w:t>单位决算</w:t>
      </w:r>
      <w:bookmarkEnd w:id="6"/>
      <w:bookmarkEnd w:id="7"/>
      <w:bookmarkEnd w:id="8"/>
      <w:bookmarkEnd w:id="9"/>
      <w:bookmarkEnd w:id="10"/>
      <w:bookmarkEnd w:id="11"/>
    </w:p>
    <w:p>
      <w:pPr>
        <w:pStyle w:val="2"/>
        <w:rPr>
          <w:rFonts w:hint="default"/>
          <w:lang w:val="en-US" w:eastAsia="zh-CN"/>
        </w:rPr>
      </w:pPr>
      <w:r>
        <w:rPr>
          <w:rFonts w:hint="eastAsia" w:ascii="方正小标宋简体" w:hAnsi="方正小标宋简体" w:eastAsia="方正小标宋简体" w:cs="方正小标宋简体"/>
          <w:sz w:val="72"/>
          <w:szCs w:val="72"/>
          <w:lang w:val="en-US" w:eastAsia="zh-CN"/>
        </w:rPr>
        <w:t xml:space="preserve">       </w:t>
      </w:r>
    </w:p>
    <w:p>
      <w:pPr>
        <w:pStyle w:val="3"/>
        <w:bidi w:val="0"/>
        <w:jc w:val="center"/>
        <w:rPr>
          <w:rFonts w:hint="eastAsia" w:ascii="方正小标宋简体" w:hAnsi="方正小标宋简体" w:eastAsia="方正小标宋简体" w:cs="方正小标宋简体"/>
          <w:sz w:val="44"/>
          <w:szCs w:val="44"/>
        </w:rPr>
      </w:pPr>
      <w:r>
        <w:rPr>
          <w:rFonts w:ascii="方正小标宋简体" w:hAnsi="宋体" w:eastAsia="方正小标宋简体"/>
          <w:sz w:val="36"/>
          <w:szCs w:val="36"/>
        </w:rPr>
        <w:br w:type="page"/>
      </w:r>
      <w:bookmarkStart w:id="12" w:name="_Toc32001"/>
      <w:bookmarkStart w:id="13" w:name="_Toc15396599"/>
      <w:bookmarkStart w:id="14" w:name="_Toc15377196"/>
      <w:r>
        <w:rPr>
          <w:rFonts w:hint="eastAsia" w:ascii="方正小标宋简体" w:hAnsi="方正小标宋简体" w:eastAsia="方正小标宋简体" w:cs="方正小标宋简体"/>
          <w:sz w:val="44"/>
          <w:szCs w:val="44"/>
        </w:rPr>
        <w:t>目录</w:t>
      </w:r>
      <w:bookmarkEnd w:id="12"/>
    </w:p>
    <w:p>
      <w:pPr>
        <w:pStyle w:val="13"/>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公开时间：2023年</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26</w:t>
      </w:r>
      <w:r>
        <w:rPr>
          <w:rFonts w:hint="default" w:ascii="Times New Roman" w:hAnsi="Times New Roman" w:eastAsia="仿宋_GB2312" w:cs="Times New Roman"/>
          <w:sz w:val="32"/>
          <w:szCs w:val="32"/>
        </w:rPr>
        <w:t>日</w:t>
      </w:r>
    </w:p>
    <w:p/>
    <w:p>
      <w:pPr>
        <w:pStyle w:val="13"/>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第一部分单位概况</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一、主要职责</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二、机构设置</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p>
    <w:p>
      <w:pPr>
        <w:pStyle w:val="13"/>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第二部分 2022年度单位决算情况说明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2</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一、收入支出决算总体情况说明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2</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二、收入决算情况说明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2</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三、支出决算情况说明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3</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四、财政拨款收入支出决算总体情况说明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4</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五、一般公共预算财政拨款支出决算情况说明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4</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六、一般公共预算财政拨款基本支出决算情况说明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7</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七、财政拨款“三公”经费支出决算情况说明</w:t>
      </w:r>
      <w:r>
        <w:rPr>
          <w:rFonts w:hint="default" w:ascii="Times New Roman" w:hAnsi="Times New Roman" w:eastAsia="仿宋_GB2312" w:cs="Times New Roman"/>
          <w:sz w:val="32"/>
          <w:szCs w:val="32"/>
        </w:rPr>
        <w:ptab w:relativeTo="margin" w:alignment="right" w:leader="dot"/>
      </w:r>
      <w:r>
        <w:rPr>
          <w:rFonts w:hint="eastAsia" w:eastAsia="仿宋_GB2312" w:cs="Times New Roman"/>
          <w:sz w:val="32"/>
          <w:szCs w:val="32"/>
          <w:lang w:val="en-US" w:eastAsia="zh-CN"/>
        </w:rPr>
        <w:t>7</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八、政府性基金预算支出决算情况说明</w:t>
      </w:r>
      <w:r>
        <w:rPr>
          <w:rFonts w:hint="default" w:ascii="Times New Roman" w:hAnsi="Times New Roman" w:eastAsia="仿宋_GB2312" w:cs="Times New Roman"/>
          <w:sz w:val="32"/>
          <w:szCs w:val="32"/>
        </w:rPr>
        <w:ptab w:relativeTo="margin" w:alignment="right" w:leader="dot"/>
      </w:r>
      <w:r>
        <w:rPr>
          <w:rFonts w:hint="eastAsia" w:eastAsia="仿宋_GB2312" w:cs="Times New Roman"/>
          <w:sz w:val="32"/>
          <w:szCs w:val="32"/>
          <w:lang w:val="en-US" w:eastAsia="zh-CN"/>
        </w:rPr>
        <w:t>8</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九、国有资本经营预算支出决算情况说明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9</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十、其他重要事项的情况说明</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9</w:t>
      </w:r>
    </w:p>
    <w:p>
      <w:pPr>
        <w:pStyle w:val="13"/>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第三部分名词解释</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0</w:t>
      </w:r>
    </w:p>
    <w:p>
      <w:pPr>
        <w:pStyle w:val="13"/>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第四部分附件</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3</w:t>
      </w:r>
    </w:p>
    <w:p>
      <w:pPr>
        <w:pStyle w:val="13"/>
        <w:keepNext w:val="0"/>
        <w:keepLines w:val="0"/>
        <w:pageBreakBefore w:val="0"/>
        <w:widowControl w:val="0"/>
        <w:kinsoku/>
        <w:wordWrap/>
        <w:overflowPunct/>
        <w:topLinePunct w:val="0"/>
        <w:autoSpaceDE/>
        <w:autoSpaceDN/>
        <w:bidi w:val="0"/>
        <w:adjustRightInd w:val="0"/>
        <w:snapToGrid w:val="0"/>
        <w:spacing w:before="0"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b/>
          <w:bCs/>
          <w:sz w:val="32"/>
          <w:szCs w:val="32"/>
        </w:rPr>
        <w:t>第五部分附表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lang w:val="en-US" w:eastAsia="zh-CN"/>
        </w:rPr>
        <w:t>4</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一、收入支出决算总表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5</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二、收入决算表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6</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三、支出决算表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7</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四、财政拨款收入支出决算总表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1</w:t>
      </w:r>
      <w:r>
        <w:rPr>
          <w:rFonts w:hint="eastAsia" w:eastAsia="仿宋_GB2312" w:cs="Times New Roman"/>
          <w:sz w:val="32"/>
          <w:szCs w:val="32"/>
          <w:lang w:val="en-US" w:eastAsia="zh-CN"/>
        </w:rPr>
        <w:t>8</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五、财政拨款支出决算明细表</w:t>
      </w:r>
      <w:r>
        <w:rPr>
          <w:rFonts w:hint="default" w:ascii="Times New Roman" w:hAnsi="Times New Roman" w:eastAsia="仿宋_GB2312" w:cs="Times New Roman"/>
          <w:sz w:val="32"/>
          <w:szCs w:val="32"/>
        </w:rPr>
        <w:ptab w:relativeTo="margin" w:alignment="right" w:leader="dot"/>
      </w:r>
      <w:r>
        <w:rPr>
          <w:rFonts w:hint="eastAsia" w:eastAsia="仿宋_GB2312" w:cs="Times New Roman"/>
          <w:sz w:val="32"/>
          <w:szCs w:val="32"/>
          <w:lang w:val="en-US" w:eastAsia="zh-CN"/>
        </w:rPr>
        <w:t>19</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六、一般公共预算财政拨款支出决算表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2</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七、一般公共预算财政拨款支出决算明细表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2</w:t>
      </w:r>
      <w:r>
        <w:rPr>
          <w:rFonts w:hint="eastAsia" w:eastAsia="仿宋_GB2312" w:cs="Times New Roman"/>
          <w:sz w:val="32"/>
          <w:szCs w:val="32"/>
          <w:lang w:val="en-US" w:eastAsia="zh-CN"/>
        </w:rPr>
        <w:t>3</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八、一般公共预算财政拨款基本支出决算明细表</w:t>
      </w:r>
      <w:r>
        <w:rPr>
          <w:rFonts w:hint="default" w:ascii="Times New Roman" w:hAnsi="Times New Roman" w:eastAsia="仿宋_GB2312" w:cs="Times New Roman"/>
          <w:sz w:val="32"/>
          <w:szCs w:val="32"/>
        </w:rPr>
        <w:ptab w:relativeTo="margin" w:alignment="right" w:leader="dot"/>
      </w:r>
      <w:r>
        <w:rPr>
          <w:rFonts w:hint="eastAsia" w:eastAsia="仿宋_GB2312" w:cs="Times New Roman"/>
          <w:sz w:val="32"/>
          <w:szCs w:val="32"/>
          <w:lang w:val="en-US" w:eastAsia="zh-CN"/>
        </w:rPr>
        <w:t>39</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九、一般公共预算财政拨款项目支出决算表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0</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十、政府性基金预算财政拨款收入支出决算表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1</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十一、国有资本经营预算财政拨款收入支出决算表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2</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十二、国有资本经营预算财政拨款支出决算表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仿宋_GB2312" w:cs="Times New Roman"/>
          <w:sz w:val="32"/>
          <w:szCs w:val="32"/>
          <w:lang w:val="en-US" w:eastAsia="zh-CN"/>
        </w:rPr>
        <w:t>4</w:t>
      </w:r>
      <w:r>
        <w:rPr>
          <w:rFonts w:hint="eastAsia" w:eastAsia="仿宋_GB2312" w:cs="Times New Roman"/>
          <w:sz w:val="32"/>
          <w:szCs w:val="32"/>
          <w:lang w:val="en-US" w:eastAsia="zh-CN"/>
        </w:rPr>
        <w:t>3</w:t>
      </w:r>
    </w:p>
    <w:p>
      <w:pPr>
        <w:pStyle w:val="14"/>
        <w:keepNext w:val="0"/>
        <w:keepLines w:val="0"/>
        <w:pageBreakBefore w:val="0"/>
        <w:widowControl w:val="0"/>
        <w:kinsoku/>
        <w:wordWrap/>
        <w:overflowPunct/>
        <w:topLinePunct w:val="0"/>
        <w:autoSpaceDE/>
        <w:autoSpaceDN/>
        <w:bidi w:val="0"/>
        <w:adjustRightInd w:val="0"/>
        <w:snapToGrid w:val="0"/>
        <w:spacing w:line="560" w:lineRule="exact"/>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仿宋_GB2312" w:cs="Times New Roman"/>
          <w:sz w:val="32"/>
          <w:szCs w:val="32"/>
        </w:rPr>
        <w:t>十三、财政拨款“三公”经费支出决算表</w:t>
      </w:r>
      <w:r>
        <w:rPr>
          <w:rFonts w:hint="default" w:ascii="Times New Roman" w:hAnsi="Times New Roman" w:eastAsia="仿宋_GB2312" w:cs="Times New Roman"/>
          <w:sz w:val="32"/>
          <w:szCs w:val="32"/>
        </w:rPr>
        <w:ptab w:relativeTo="margin" w:alignment="right" w:leader="dot"/>
      </w:r>
      <w:r>
        <w:rPr>
          <w:rFonts w:hint="default" w:ascii="Times New Roman" w:hAnsi="Times New Roman" w:eastAsia="黑体" w:cs="Times New Roman"/>
          <w:sz w:val="32"/>
          <w:szCs w:val="32"/>
          <w:lang w:val="en-US" w:eastAsia="zh-CN"/>
        </w:rPr>
        <w:t>4</w:t>
      </w:r>
      <w:r>
        <w:rPr>
          <w:rFonts w:hint="eastAsia" w:eastAsia="黑体" w:cs="Times New Roman"/>
          <w:sz w:val="32"/>
          <w:szCs w:val="32"/>
          <w:lang w:val="en-US" w:eastAsia="zh-CN"/>
        </w:rPr>
        <w:t>4</w:t>
      </w:r>
    </w:p>
    <w:p>
      <w:pPr>
        <w:pStyle w:val="3"/>
        <w:jc w:val="center"/>
        <w:rPr>
          <w:rFonts w:hint="eastAsia" w:ascii="黑体" w:hAnsi="黑体" w:eastAsia="黑体"/>
          <w:b w:val="0"/>
        </w:rPr>
        <w:sectPr>
          <w:footerReference r:id="rId3" w:type="default"/>
          <w:pgSz w:w="11906" w:h="16838"/>
          <w:pgMar w:top="1440" w:right="1800" w:bottom="1440" w:left="1800" w:header="851" w:footer="992" w:gutter="0"/>
          <w:pgNumType w:start="1"/>
          <w:cols w:space="425" w:num="1"/>
          <w:docGrid w:type="lines" w:linePitch="312" w:charSpace="0"/>
        </w:sectPr>
      </w:pPr>
    </w:p>
    <w:p>
      <w:pPr>
        <w:pStyle w:val="3"/>
        <w:jc w:val="center"/>
        <w:rPr>
          <w:rStyle w:val="28"/>
          <w:rFonts w:ascii="黑体" w:hAnsi="黑体" w:eastAsia="黑体"/>
          <w:b/>
          <w:bCs w:val="0"/>
        </w:rPr>
      </w:pPr>
      <w:r>
        <w:rPr>
          <w:rFonts w:hint="eastAsia" w:ascii="黑体" w:hAnsi="黑体" w:eastAsia="黑体"/>
          <w:b w:val="0"/>
        </w:rPr>
        <w:t>第一部分 单位</w:t>
      </w:r>
      <w:r>
        <w:rPr>
          <w:rStyle w:val="28"/>
          <w:rFonts w:hint="eastAsia" w:ascii="黑体" w:hAnsi="黑体" w:eastAsia="黑体"/>
          <w:b w:val="0"/>
          <w:bCs w:val="0"/>
        </w:rPr>
        <w:t>概况</w:t>
      </w:r>
      <w:bookmarkEnd w:id="13"/>
      <w:bookmarkEnd w:id="14"/>
    </w:p>
    <w:p>
      <w:pPr>
        <w:widowControl/>
        <w:jc w:val="left"/>
        <w:rPr>
          <w:rFonts w:ascii="黑体" w:eastAsia="黑体"/>
          <w:sz w:val="32"/>
          <w:szCs w:val="32"/>
        </w:rPr>
      </w:pPr>
    </w:p>
    <w:p>
      <w:pPr>
        <w:numPr>
          <w:ilvl w:val="0"/>
          <w:numId w:val="1"/>
        </w:numPr>
        <w:spacing w:line="360" w:lineRule="auto"/>
        <w:ind w:firstLine="640" w:firstLineChars="200"/>
        <w:jc w:val="both"/>
        <w:rPr>
          <w:rStyle w:val="29"/>
          <w:rFonts w:hint="eastAsia" w:ascii="黑体" w:hAnsi="黑体" w:eastAsia="黑体"/>
          <w:b w:val="0"/>
          <w:bCs w:val="0"/>
          <w:lang w:eastAsia="zh-CN"/>
        </w:rPr>
      </w:pPr>
      <w:bookmarkStart w:id="15" w:name="_Toc15396600"/>
      <w:bookmarkStart w:id="16" w:name="_Toc15377197"/>
      <w:r>
        <w:rPr>
          <w:rStyle w:val="29"/>
          <w:rFonts w:hint="eastAsia" w:ascii="黑体" w:hAnsi="黑体" w:eastAsia="黑体"/>
          <w:b w:val="0"/>
          <w:bCs w:val="0"/>
          <w:lang w:eastAsia="zh-CN"/>
        </w:rPr>
        <w:t>主要职责</w:t>
      </w:r>
    </w:p>
    <w:p>
      <w:pPr>
        <w:pStyle w:val="4"/>
        <w:keepNext/>
        <w:keepLines/>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b w:val="0"/>
          <w:bCs w:val="0"/>
          <w:color w:val="000000" w:themeColor="text1"/>
          <w:sz w:val="32"/>
          <w:szCs w:val="32"/>
          <w:highlight w:val="none"/>
          <w14:textFill>
            <w14:solidFill>
              <w14:schemeClr w14:val="tx1"/>
            </w14:solidFill>
          </w14:textFill>
        </w:rPr>
        <w:t>盐边县温泉彝族乡卫生院属于财政拨款事业单位</w:t>
      </w:r>
      <w:r>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t>,负责</w:t>
      </w:r>
      <w:r>
        <w:rPr>
          <w:rFonts w:hint="eastAsia" w:ascii="仿宋" w:hAnsi="仿宋" w:eastAsia="仿宋" w:cs="仿宋"/>
          <w:b w:val="0"/>
          <w:bCs w:val="0"/>
          <w:color w:val="000000" w:themeColor="text1"/>
          <w:sz w:val="32"/>
          <w:szCs w:val="32"/>
          <w:highlight w:val="none"/>
          <w14:textFill>
            <w14:solidFill>
              <w14:schemeClr w14:val="tx1"/>
            </w14:solidFill>
          </w14:textFill>
        </w:rPr>
        <w:t>盐边县温泉彝族乡本辖区内围产保健、妇女保健、儿童保健等妇幼保健任务和妇女儿童常见病防治任务；承担计划生育宣传教育、技术服务、优生指导、药具发放、信息咨询、随访服务、生殖保健等公共服务职能；落实妇幼重大公共卫生服务项目和基本公共卫生服务项目，配合做好孕前优生健康检查项目等任务；负责对村医生及计生服务人员提供业务培训指导。</w:t>
      </w:r>
    </w:p>
    <w:p>
      <w:pPr>
        <w:snapToGrid w:val="0"/>
        <w:spacing w:line="360" w:lineRule="auto"/>
        <w:ind w:firstLine="640" w:firstLineChars="200"/>
        <w:rPr>
          <w:rStyle w:val="29"/>
          <w:rFonts w:hint="eastAsia" w:ascii="黑体" w:hAnsi="黑体" w:eastAsia="黑体"/>
          <w:b w:val="0"/>
          <w:bCs w:val="0"/>
          <w:lang w:eastAsia="zh-CN"/>
        </w:rPr>
      </w:pPr>
      <w:r>
        <w:rPr>
          <w:rStyle w:val="29"/>
          <w:rFonts w:hint="eastAsia" w:ascii="黑体" w:hAnsi="黑体" w:eastAsia="黑体"/>
          <w:b w:val="0"/>
          <w:bCs w:val="0"/>
          <w:lang w:eastAsia="zh-CN"/>
        </w:rPr>
        <w:t>二、机构设置</w:t>
      </w:r>
    </w:p>
    <w:p>
      <w:pPr>
        <w:numPr>
          <w:ilvl w:val="0"/>
          <w:numId w:val="0"/>
        </w:numPr>
        <w:snapToGrid w:val="0"/>
        <w:spacing w:line="360" w:lineRule="auto"/>
        <w:ind w:firstLine="640" w:firstLineChars="200"/>
        <w:jc w:val="both"/>
        <w:rPr>
          <w:rFonts w:hint="eastAsia" w:ascii="仿宋" w:hAnsi="仿宋" w:eastAsia="仿宋" w:cs="仿宋"/>
          <w:sz w:val="32"/>
          <w:szCs w:val="32"/>
        </w:rPr>
      </w:pPr>
      <w:r>
        <w:rPr>
          <w:rFonts w:hint="eastAsia" w:ascii="仿宋" w:hAnsi="仿宋" w:eastAsia="仿宋" w:cs="仿宋"/>
          <w:sz w:val="32"/>
          <w:szCs w:val="32"/>
        </w:rPr>
        <w:t>设有内科、外科、妇儿科、治疗室、观察室</w:t>
      </w:r>
      <w:r>
        <w:rPr>
          <w:rFonts w:hint="eastAsia" w:ascii="仿宋" w:hAnsi="仿宋" w:eastAsia="仿宋" w:cs="仿宋"/>
          <w:sz w:val="32"/>
          <w:szCs w:val="32"/>
          <w:lang w:eastAsia="zh-CN"/>
        </w:rPr>
        <w:t>、公共卫生科、预防接种室、保健室、办公室、财务室</w:t>
      </w:r>
      <w:r>
        <w:rPr>
          <w:rFonts w:hint="eastAsia" w:ascii="仿宋" w:hAnsi="仿宋" w:eastAsia="仿宋" w:cs="仿宋"/>
          <w:sz w:val="32"/>
          <w:szCs w:val="32"/>
        </w:rPr>
        <w:t>等</w:t>
      </w:r>
      <w:r>
        <w:rPr>
          <w:rFonts w:hint="eastAsia" w:ascii="仿宋" w:hAnsi="仿宋" w:eastAsia="仿宋" w:cs="仿宋"/>
          <w:sz w:val="32"/>
          <w:szCs w:val="32"/>
          <w:lang w:eastAsia="zh-CN"/>
        </w:rPr>
        <w:t>专业科室及综合管理</w:t>
      </w:r>
      <w:r>
        <w:rPr>
          <w:rFonts w:hint="eastAsia" w:ascii="仿宋" w:hAnsi="仿宋" w:eastAsia="仿宋" w:cs="仿宋"/>
          <w:sz w:val="32"/>
          <w:szCs w:val="32"/>
        </w:rPr>
        <w:t>业务科室，设置病床7张</w:t>
      </w:r>
      <w:r>
        <w:rPr>
          <w:rFonts w:hint="eastAsia" w:ascii="仿宋" w:hAnsi="仿宋" w:eastAsia="仿宋" w:cs="仿宋"/>
          <w:sz w:val="32"/>
          <w:szCs w:val="32"/>
          <w:lang w:eastAsia="zh-CN"/>
        </w:rPr>
        <w:t>，</w:t>
      </w:r>
      <w:r>
        <w:rPr>
          <w:rFonts w:hint="eastAsia" w:ascii="仿宋" w:hAnsi="仿宋" w:eastAsia="仿宋" w:cs="仿宋"/>
          <w:sz w:val="32"/>
          <w:szCs w:val="32"/>
        </w:rPr>
        <w:t>本年机构无变化情况。</w:t>
      </w:r>
    </w:p>
    <w:bookmarkEnd w:id="15"/>
    <w:bookmarkEnd w:id="16"/>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2"/>
        <w:rPr>
          <w:rFonts w:hint="eastAsia" w:ascii="仿宋" w:hAnsi="仿宋" w:eastAsia="仿宋" w:cs="仿宋"/>
          <w:sz w:val="32"/>
          <w:szCs w:val="32"/>
        </w:rPr>
      </w:pPr>
    </w:p>
    <w:p>
      <w:pPr>
        <w:pStyle w:val="3"/>
        <w:ind w:right="440"/>
        <w:jc w:val="center"/>
        <w:rPr>
          <w:rStyle w:val="28"/>
          <w:rFonts w:ascii="黑体" w:hAnsi="黑体" w:eastAsia="黑体"/>
          <w:b w:val="0"/>
          <w:bCs/>
        </w:rPr>
      </w:pPr>
      <w:bookmarkStart w:id="17" w:name="_Toc15396602"/>
      <w:bookmarkStart w:id="18" w:name="_Toc15377204"/>
      <w:r>
        <w:rPr>
          <w:rFonts w:hint="eastAsia" w:ascii="黑体" w:hAnsi="黑体" w:eastAsia="黑体"/>
          <w:b w:val="0"/>
        </w:rPr>
        <w:t>第二部分 202</w:t>
      </w:r>
      <w:r>
        <w:rPr>
          <w:rFonts w:hint="eastAsia" w:ascii="黑体" w:hAnsi="黑体" w:eastAsia="黑体"/>
          <w:b w:val="0"/>
          <w:lang w:val="en-US" w:eastAsia="zh-CN"/>
        </w:rPr>
        <w:t>2</w:t>
      </w:r>
      <w:r>
        <w:rPr>
          <w:rFonts w:hint="eastAsia" w:ascii="黑体" w:hAnsi="黑体" w:eastAsia="黑体"/>
          <w:b w:val="0"/>
        </w:rPr>
        <w:t>年度</w:t>
      </w:r>
      <w:r>
        <w:rPr>
          <w:rStyle w:val="28"/>
          <w:rFonts w:hint="eastAsia" w:ascii="黑体" w:hAnsi="黑体" w:eastAsia="黑体"/>
          <w:b w:val="0"/>
          <w:bCs/>
        </w:rPr>
        <w:t>单位决算情况说明</w:t>
      </w:r>
      <w:bookmarkEnd w:id="17"/>
      <w:bookmarkEnd w:id="18"/>
    </w:p>
    <w:p/>
    <w:p>
      <w:pPr>
        <w:pStyle w:val="27"/>
        <w:numPr>
          <w:ilvl w:val="0"/>
          <w:numId w:val="2"/>
        </w:numPr>
        <w:spacing w:line="600" w:lineRule="exact"/>
        <w:ind w:firstLineChars="0"/>
        <w:outlineLvl w:val="1"/>
        <w:rPr>
          <w:rStyle w:val="29"/>
          <w:rFonts w:ascii="黑体" w:hAnsi="黑体" w:eastAsia="黑体"/>
          <w:b w:val="0"/>
        </w:rPr>
      </w:pPr>
      <w:bookmarkStart w:id="19" w:name="_Toc15377205"/>
      <w:bookmarkStart w:id="20" w:name="_Toc15396603"/>
      <w:r>
        <w:rPr>
          <w:rFonts w:hint="eastAsia" w:ascii="黑体" w:hAnsi="黑体" w:eastAsia="黑体"/>
          <w:sz w:val="32"/>
          <w:szCs w:val="32"/>
        </w:rPr>
        <w:t>收</w:t>
      </w:r>
      <w:r>
        <w:rPr>
          <w:rStyle w:val="29"/>
          <w:rFonts w:hint="eastAsia" w:ascii="黑体" w:hAnsi="黑体" w:eastAsia="黑体"/>
          <w:b w:val="0"/>
        </w:rPr>
        <w:t>入支出决算总体情况说明</w:t>
      </w:r>
      <w:bookmarkEnd w:id="19"/>
      <w:bookmarkEnd w:id="20"/>
    </w:p>
    <w:p>
      <w:pPr>
        <w:spacing w:line="600" w:lineRule="exact"/>
        <w:ind w:firstLine="640" w:firstLineChars="200"/>
        <w:rPr>
          <w:rFonts w:hint="eastAsia" w:ascii="仿宋_GB2312" w:hAnsi="仿宋_GB2312" w:eastAsia="仿宋_GB2312"/>
          <w:sz w:val="32"/>
          <w:szCs w:val="32"/>
        </w:rPr>
      </w:pPr>
      <w:r>
        <w:rPr>
          <w:rFonts w:hint="eastAsia" w:ascii="仿宋" w:hAnsi="仿宋" w:eastAsia="仿宋"/>
          <w:sz w:val="32"/>
          <w:szCs w:val="32"/>
        </w:rPr>
        <w:t>202</w:t>
      </w:r>
      <w:r>
        <w:rPr>
          <w:rFonts w:hint="eastAsia" w:ascii="仿宋" w:hAnsi="仿宋" w:eastAsia="仿宋"/>
          <w:sz w:val="32"/>
          <w:szCs w:val="32"/>
          <w:lang w:val="en-US" w:eastAsia="zh-CN"/>
        </w:rPr>
        <w:t>2</w:t>
      </w:r>
      <w:r>
        <w:rPr>
          <w:rFonts w:hint="eastAsia" w:ascii="仿宋" w:hAnsi="仿宋" w:eastAsia="仿宋"/>
          <w:sz w:val="32"/>
          <w:szCs w:val="32"/>
        </w:rPr>
        <w:t>年</w:t>
      </w:r>
      <w:r>
        <w:rPr>
          <w:rFonts w:hint="eastAsia" w:ascii="仿宋" w:hAnsi="仿宋" w:eastAsia="仿宋"/>
          <w:sz w:val="32"/>
          <w:szCs w:val="32"/>
          <w:lang w:val="en-US" w:eastAsia="zh-CN"/>
        </w:rPr>
        <w:t>度收入总计199.92</w:t>
      </w:r>
      <w:r>
        <w:rPr>
          <w:rFonts w:hint="eastAsia" w:ascii="仿宋" w:hAnsi="仿宋" w:eastAsia="仿宋"/>
          <w:sz w:val="32"/>
          <w:szCs w:val="32"/>
        </w:rPr>
        <w:t>万元</w:t>
      </w:r>
      <w:r>
        <w:rPr>
          <w:rFonts w:hint="eastAsia" w:ascii="仿宋" w:hAnsi="仿宋" w:eastAsia="仿宋"/>
          <w:sz w:val="32"/>
          <w:szCs w:val="32"/>
          <w:lang w:eastAsia="zh-CN"/>
        </w:rPr>
        <w:t>，</w:t>
      </w:r>
      <w:r>
        <w:rPr>
          <w:rFonts w:hint="eastAsia" w:ascii="仿宋" w:hAnsi="仿宋" w:eastAsia="仿宋"/>
          <w:sz w:val="32"/>
          <w:szCs w:val="32"/>
          <w:lang w:val="en-US" w:eastAsia="zh-CN"/>
        </w:rPr>
        <w:t>支出总计199.92万元；</w:t>
      </w:r>
      <w:r>
        <w:rPr>
          <w:rFonts w:hint="eastAsia" w:ascii="仿宋" w:hAnsi="仿宋" w:eastAsia="仿宋"/>
          <w:sz w:val="32"/>
          <w:szCs w:val="32"/>
        </w:rPr>
        <w:t>与202</w:t>
      </w:r>
      <w:r>
        <w:rPr>
          <w:rFonts w:hint="eastAsia" w:ascii="仿宋" w:hAnsi="仿宋" w:eastAsia="仿宋"/>
          <w:sz w:val="32"/>
          <w:szCs w:val="32"/>
          <w:lang w:val="en-US" w:eastAsia="zh-CN"/>
        </w:rPr>
        <w:t>1</w:t>
      </w:r>
      <w:r>
        <w:rPr>
          <w:rFonts w:hint="eastAsia" w:ascii="仿宋" w:hAnsi="仿宋" w:eastAsia="仿宋"/>
          <w:sz w:val="32"/>
          <w:szCs w:val="32"/>
        </w:rPr>
        <w:t>年相比，</w:t>
      </w:r>
      <w:r>
        <w:rPr>
          <w:rFonts w:hint="default" w:ascii="Times New Roman" w:hAnsi="Times New Roman" w:eastAsia="仿宋_GB2312" w:cs="Times New Roman"/>
          <w:sz w:val="32"/>
          <w:szCs w:val="32"/>
        </w:rPr>
        <w:t>收</w:t>
      </w:r>
      <w:r>
        <w:rPr>
          <w:rFonts w:hint="default" w:ascii="Times New Roman" w:hAnsi="Times New Roman" w:eastAsia="仿宋_GB2312" w:cs="Times New Roman"/>
          <w:sz w:val="32"/>
          <w:szCs w:val="32"/>
          <w:lang w:eastAsia="zh-CN"/>
        </w:rPr>
        <w:t>入</w:t>
      </w:r>
      <w:r>
        <w:rPr>
          <w:rFonts w:hint="eastAsia" w:eastAsia="仿宋_GB2312" w:cs="Times New Roman"/>
          <w:sz w:val="32"/>
          <w:szCs w:val="32"/>
          <w:lang w:eastAsia="zh-CN"/>
        </w:rPr>
        <w:t>、</w:t>
      </w:r>
      <w:r>
        <w:rPr>
          <w:rFonts w:hint="default" w:ascii="Times New Roman" w:hAnsi="Times New Roman" w:eastAsia="仿宋_GB2312" w:cs="Times New Roman"/>
          <w:sz w:val="32"/>
          <w:szCs w:val="32"/>
          <w:lang w:eastAsia="zh-CN"/>
        </w:rPr>
        <w:t>支出</w:t>
      </w:r>
      <w:r>
        <w:rPr>
          <w:rFonts w:hint="eastAsia" w:eastAsia="仿宋_GB2312" w:cs="Times New Roman"/>
          <w:sz w:val="32"/>
          <w:szCs w:val="32"/>
          <w:lang w:val="en-US" w:eastAsia="zh-CN"/>
        </w:rPr>
        <w:t>总计减少32.66</w:t>
      </w:r>
      <w:r>
        <w:rPr>
          <w:rFonts w:hint="default" w:ascii="Times New Roman" w:hAnsi="Times New Roman" w:eastAsia="仿宋_GB2312" w:cs="Times New Roman"/>
          <w:sz w:val="32"/>
          <w:szCs w:val="32"/>
        </w:rPr>
        <w:t>万元，</w:t>
      </w:r>
      <w:r>
        <w:rPr>
          <w:rFonts w:hint="eastAsia" w:eastAsia="仿宋_GB2312" w:cs="Times New Roman"/>
          <w:sz w:val="32"/>
          <w:szCs w:val="32"/>
          <w:lang w:val="en-US" w:eastAsia="zh-CN"/>
        </w:rPr>
        <w:t>下降14.04</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w:t>
      </w:r>
      <w:r>
        <w:rPr>
          <w:rFonts w:hint="eastAsia" w:ascii="仿宋" w:hAnsi="仿宋" w:eastAsia="仿宋"/>
          <w:sz w:val="32"/>
          <w:szCs w:val="32"/>
        </w:rPr>
        <w:t>主要变动原因是</w:t>
      </w:r>
      <w:r>
        <w:rPr>
          <w:rFonts w:hint="eastAsia" w:ascii="仿宋_GB2312" w:hAnsi="仿宋_GB2312" w:eastAsia="仿宋_GB2312"/>
          <w:sz w:val="32"/>
          <w:szCs w:val="32"/>
          <w:lang w:eastAsia="zh-CN"/>
        </w:rPr>
        <w:t>基本</w:t>
      </w:r>
      <w:r>
        <w:rPr>
          <w:rFonts w:hint="eastAsia" w:ascii="仿宋_GB2312" w:hAnsi="仿宋_GB2312" w:eastAsia="仿宋_GB2312"/>
          <w:sz w:val="32"/>
          <w:szCs w:val="32"/>
        </w:rPr>
        <w:t>医疗收入减少</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医院各类开支减少</w:t>
      </w:r>
      <w:r>
        <w:rPr>
          <w:rFonts w:hint="eastAsia" w:ascii="仿宋_GB2312" w:hAnsi="仿宋_GB2312" w:eastAsia="仿宋_GB2312"/>
          <w:sz w:val="32"/>
          <w:szCs w:val="32"/>
          <w:lang w:eastAsia="zh-CN"/>
        </w:rPr>
        <w:t>，</w:t>
      </w:r>
      <w:r>
        <w:rPr>
          <w:rFonts w:hint="eastAsia" w:ascii="仿宋_GB2312" w:hAnsi="仿宋_GB2312" w:eastAsia="仿宋_GB2312"/>
          <w:sz w:val="32"/>
          <w:szCs w:val="32"/>
          <w:lang w:val="en-US" w:eastAsia="zh-CN"/>
        </w:rPr>
        <w:t>收入支出随之减少</w:t>
      </w:r>
      <w:r>
        <w:rPr>
          <w:rFonts w:hint="eastAsia" w:ascii="仿宋_GB2312" w:hAnsi="仿宋_GB2312" w:eastAsia="仿宋_GB2312"/>
          <w:sz w:val="32"/>
          <w:szCs w:val="32"/>
        </w:rPr>
        <w:t>。</w:t>
      </w:r>
    </w:p>
    <w:p>
      <w:pPr>
        <w:pStyle w:val="2"/>
        <w:rPr>
          <w:rFonts w:hint="eastAsia" w:ascii="仿宋" w:hAnsi="仿宋" w:eastAsia="仿宋"/>
          <w:sz w:val="32"/>
          <w:szCs w:val="32"/>
        </w:rPr>
      </w:pPr>
      <w:r>
        <w:rPr>
          <w:rFonts w:hint="default" w:ascii="仿宋_GB2312" w:hAnsi="Times New Roman" w:eastAsia="仿宋_GB2312" w:cs="Times New Roman"/>
          <w:kern w:val="0"/>
          <w:sz w:val="30"/>
          <w:szCs w:val="24"/>
          <w:lang w:val="en-US" w:eastAsia="zh-CN" w:bidi="ar-SA"/>
        </w:rPr>
        <w:object>
          <v:shape id="_x0000_i1025" o:spt="75" type="#_x0000_t75" style="height:208.5pt;width:431.8pt;" o:ole="t" filled="f" o:preferrelative="t" stroked="f" coordsize="21600,21600">
            <v:path/>
            <v:fill on="f" focussize="0,0"/>
            <v:stroke on="f"/>
            <v:imagedata r:id="rId10" blacklevel="0f" o:title=""/>
            <o:lock v:ext="edit" aspectratio="t"/>
            <w10:wrap type="none"/>
            <w10:anchorlock/>
          </v:shape>
          <o:OLEObject Type="Embed" ProgID="Excel.Chart.8" ShapeID="_x0000_i1025" DrawAspect="Content" ObjectID="_1468075725" r:id="rId9">
            <o:LockedField>false</o:LockedField>
          </o:OLEObject>
        </w:object>
      </w:r>
      <w:r>
        <w:rPr>
          <w:rFonts w:hint="eastAsia" w:cs="Times New Roman"/>
          <w:kern w:val="0"/>
          <w:sz w:val="30"/>
          <w:szCs w:val="24"/>
          <w:lang w:val="en-US" w:eastAsia="zh-CN" w:bidi="ar-SA"/>
        </w:rPr>
        <w:t xml:space="preserve">         </w:t>
      </w: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Pr>
        <w:pStyle w:val="27"/>
        <w:numPr>
          <w:ilvl w:val="0"/>
          <w:numId w:val="2"/>
        </w:numPr>
        <w:spacing w:line="600" w:lineRule="exact"/>
        <w:ind w:firstLineChars="0"/>
        <w:outlineLvl w:val="1"/>
        <w:rPr>
          <w:rStyle w:val="29"/>
          <w:rFonts w:ascii="黑体" w:hAnsi="黑体" w:eastAsia="黑体"/>
          <w:b w:val="0"/>
        </w:rPr>
      </w:pPr>
      <w:bookmarkStart w:id="21" w:name="_Toc15396604"/>
      <w:bookmarkStart w:id="22" w:name="_Toc15377206"/>
      <w:r>
        <w:rPr>
          <w:rFonts w:hint="eastAsia" w:ascii="黑体" w:hAnsi="黑体" w:eastAsia="黑体"/>
          <w:sz w:val="32"/>
          <w:szCs w:val="32"/>
        </w:rPr>
        <w:t>收</w:t>
      </w:r>
      <w:r>
        <w:rPr>
          <w:rStyle w:val="29"/>
          <w:rFonts w:hint="eastAsia" w:ascii="黑体" w:hAnsi="黑体" w:eastAsia="黑体"/>
          <w:b w:val="0"/>
        </w:rPr>
        <w:t>入决算情况说明</w:t>
      </w:r>
      <w:bookmarkEnd w:id="21"/>
      <w:bookmarkEnd w:id="22"/>
    </w:p>
    <w:p>
      <w:pPr>
        <w:spacing w:line="600" w:lineRule="exact"/>
        <w:ind w:firstLine="640" w:firstLineChars="200"/>
        <w:outlineLvl w:val="1"/>
        <w:rPr>
          <w:rFonts w:hint="eastAsia"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年本年收入合计</w:t>
      </w:r>
      <w:r>
        <w:rPr>
          <w:rFonts w:hint="eastAsia" w:ascii="仿宋" w:hAnsi="仿宋" w:eastAsia="仿宋"/>
          <w:sz w:val="32"/>
          <w:szCs w:val="32"/>
          <w:lang w:val="en-US" w:eastAsia="zh-CN"/>
        </w:rPr>
        <w:t>179.86</w:t>
      </w:r>
      <w:r>
        <w:rPr>
          <w:rFonts w:hint="eastAsia" w:ascii="仿宋" w:hAnsi="仿宋" w:eastAsia="仿宋"/>
          <w:sz w:val="32"/>
          <w:szCs w:val="32"/>
        </w:rPr>
        <w:t>万元，其中：一般公共预算财政拨款收入</w:t>
      </w:r>
      <w:r>
        <w:rPr>
          <w:rFonts w:hint="eastAsia" w:ascii="仿宋" w:hAnsi="仿宋" w:eastAsia="仿宋"/>
          <w:sz w:val="32"/>
          <w:szCs w:val="32"/>
          <w:lang w:val="en-US" w:eastAsia="zh-CN"/>
        </w:rPr>
        <w:t>164.98</w:t>
      </w:r>
      <w:r>
        <w:rPr>
          <w:rFonts w:hint="eastAsia" w:ascii="仿宋" w:hAnsi="仿宋" w:eastAsia="仿宋"/>
          <w:sz w:val="32"/>
          <w:szCs w:val="32"/>
        </w:rPr>
        <w:t>万元，占</w:t>
      </w:r>
      <w:r>
        <w:rPr>
          <w:rFonts w:hint="eastAsia" w:ascii="仿宋" w:hAnsi="仿宋" w:eastAsia="仿宋"/>
          <w:sz w:val="32"/>
          <w:szCs w:val="32"/>
          <w:lang w:val="en-US" w:eastAsia="zh-CN"/>
        </w:rPr>
        <w:t>91.73</w:t>
      </w:r>
      <w:r>
        <w:rPr>
          <w:rFonts w:ascii="仿宋" w:hAnsi="仿宋" w:eastAsia="仿宋"/>
          <w:sz w:val="32"/>
          <w:szCs w:val="32"/>
        </w:rPr>
        <w:t>%</w:t>
      </w:r>
      <w:r>
        <w:rPr>
          <w:rFonts w:hint="eastAsia" w:ascii="仿宋" w:hAnsi="仿宋" w:eastAsia="仿宋"/>
          <w:sz w:val="32"/>
          <w:szCs w:val="32"/>
        </w:rPr>
        <w:t>；政府性基金预算财政拨款收入</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；国有资本经营预算财政拨款收入</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；上级补助收入</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；事业收入</w:t>
      </w:r>
      <w:r>
        <w:rPr>
          <w:rFonts w:hint="eastAsia" w:ascii="仿宋" w:hAnsi="仿宋" w:eastAsia="仿宋"/>
          <w:sz w:val="32"/>
          <w:szCs w:val="32"/>
          <w:lang w:val="en-US" w:eastAsia="zh-CN"/>
        </w:rPr>
        <w:t>12.85</w:t>
      </w:r>
      <w:r>
        <w:rPr>
          <w:rFonts w:hint="eastAsia" w:ascii="仿宋" w:hAnsi="仿宋" w:eastAsia="仿宋"/>
          <w:sz w:val="32"/>
          <w:szCs w:val="32"/>
        </w:rPr>
        <w:t>万元，占</w:t>
      </w:r>
      <w:r>
        <w:rPr>
          <w:rFonts w:hint="eastAsia" w:ascii="仿宋" w:hAnsi="仿宋" w:eastAsia="仿宋"/>
          <w:sz w:val="32"/>
          <w:szCs w:val="32"/>
          <w:lang w:val="en-US" w:eastAsia="zh-CN"/>
        </w:rPr>
        <w:t>7.14</w:t>
      </w:r>
      <w:r>
        <w:rPr>
          <w:rFonts w:ascii="仿宋" w:hAnsi="仿宋" w:eastAsia="仿宋"/>
          <w:sz w:val="32"/>
          <w:szCs w:val="32"/>
        </w:rPr>
        <w:t>%</w:t>
      </w:r>
      <w:r>
        <w:rPr>
          <w:rFonts w:hint="eastAsia" w:ascii="仿宋" w:hAnsi="仿宋" w:eastAsia="仿宋"/>
          <w:sz w:val="32"/>
          <w:szCs w:val="32"/>
        </w:rPr>
        <w:t>；经营收入</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；附属单位上缴收入</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；其他收入</w:t>
      </w:r>
      <w:r>
        <w:rPr>
          <w:rFonts w:hint="eastAsia" w:ascii="仿宋" w:hAnsi="仿宋" w:eastAsia="仿宋"/>
          <w:sz w:val="32"/>
          <w:szCs w:val="32"/>
          <w:lang w:val="en-US" w:eastAsia="zh-CN"/>
        </w:rPr>
        <w:t>2.04</w:t>
      </w:r>
      <w:r>
        <w:rPr>
          <w:rFonts w:hint="eastAsia" w:ascii="仿宋" w:hAnsi="仿宋" w:eastAsia="仿宋"/>
          <w:sz w:val="32"/>
          <w:szCs w:val="32"/>
        </w:rPr>
        <w:t>万元，占</w:t>
      </w:r>
      <w:r>
        <w:rPr>
          <w:rFonts w:hint="eastAsia" w:ascii="仿宋" w:hAnsi="仿宋" w:eastAsia="仿宋"/>
          <w:sz w:val="32"/>
          <w:szCs w:val="32"/>
          <w:lang w:val="en-US" w:eastAsia="zh-CN"/>
        </w:rPr>
        <w:t>1.13</w:t>
      </w:r>
      <w:r>
        <w:rPr>
          <w:rFonts w:ascii="仿宋" w:hAnsi="仿宋" w:eastAsia="仿宋"/>
          <w:sz w:val="32"/>
          <w:szCs w:val="32"/>
        </w:rPr>
        <w:t>%</w:t>
      </w:r>
      <w:r>
        <w:rPr>
          <w:rFonts w:hint="eastAsia" w:ascii="仿宋" w:hAnsi="仿宋" w:eastAsia="仿宋"/>
          <w:sz w:val="32"/>
          <w:szCs w:val="32"/>
        </w:rPr>
        <w:t>。</w:t>
      </w:r>
    </w:p>
    <w:p>
      <w:pPr>
        <w:pStyle w:val="2"/>
        <w:rPr>
          <w:rFonts w:ascii="仿宋_GB2312" w:eastAsia="仿宋_GB2312"/>
          <w:sz w:val="32"/>
          <w:szCs w:val="32"/>
        </w:rPr>
      </w:pPr>
      <w:r>
        <w:rPr>
          <w:rFonts w:hint="eastAsia" w:ascii="仿宋" w:hAnsi="仿宋" w:eastAsia="仿宋" w:cs="Times New Roman"/>
          <w:kern w:val="0"/>
          <w:sz w:val="32"/>
          <w:szCs w:val="32"/>
          <w:lang w:val="en-US" w:eastAsia="zh-CN" w:bidi="ar-SA"/>
        </w:rPr>
        <w:object>
          <v:shape id="_x0000_i1026" o:spt="75" type="#_x0000_t75" style="height:203.75pt;width:442.45pt;" o:ole="t" filled="f" o:preferrelative="t" stroked="f" coordsize="21600,21600">
            <v:path/>
            <v:fill on="f" focussize="0,0"/>
            <v:stroke on="f"/>
            <v:imagedata r:id="rId12" blacklevel="0f" o:title=""/>
            <o:lock v:ext="edit" aspectratio="t"/>
            <w10:wrap type="none"/>
            <w10:anchorlock/>
          </v:shape>
          <o:OLEObject Type="Embed" ProgID="Excel.Chart.8" ShapeID="_x0000_i1026" DrawAspect="Content" ObjectID="_1468075726" r:id="rId11">
            <o:LockedField>false</o:LockedField>
          </o:OLEObject>
        </w:object>
      </w:r>
      <w:r>
        <w:rPr>
          <w:rFonts w:hint="eastAsia" w:ascii="仿宋" w:hAnsi="仿宋" w:eastAsia="仿宋" w:cs="Times New Roman"/>
          <w:kern w:val="0"/>
          <w:sz w:val="32"/>
          <w:szCs w:val="32"/>
          <w:lang w:val="en-US" w:eastAsia="zh-CN" w:bidi="ar-SA"/>
        </w:rPr>
        <w:t xml:space="preserve">          </w:t>
      </w:r>
      <w:r>
        <w:rPr>
          <w:rFonts w:hint="eastAsia" w:ascii="仿宋" w:hAnsi="仿宋" w:eastAsia="仿宋"/>
          <w:sz w:val="32"/>
          <w:szCs w:val="32"/>
        </w:rPr>
        <w:t>（图2：收入决算结构图）（饼状图）</w:t>
      </w:r>
    </w:p>
    <w:p>
      <w:pPr>
        <w:pStyle w:val="27"/>
        <w:numPr>
          <w:ilvl w:val="0"/>
          <w:numId w:val="2"/>
        </w:numPr>
        <w:spacing w:line="600" w:lineRule="exact"/>
        <w:ind w:firstLineChars="0"/>
        <w:outlineLvl w:val="1"/>
        <w:rPr>
          <w:rStyle w:val="29"/>
          <w:rFonts w:ascii="黑体" w:hAnsi="黑体" w:eastAsia="黑体"/>
          <w:b w:val="0"/>
        </w:rPr>
      </w:pPr>
      <w:bookmarkStart w:id="23" w:name="_Toc15396605"/>
      <w:bookmarkStart w:id="24" w:name="_Toc15377207"/>
      <w:r>
        <w:rPr>
          <w:rFonts w:hint="eastAsia" w:ascii="黑体" w:hAnsi="黑体" w:eastAsia="黑体"/>
          <w:sz w:val="32"/>
          <w:szCs w:val="32"/>
        </w:rPr>
        <w:t>支</w:t>
      </w:r>
      <w:r>
        <w:rPr>
          <w:rStyle w:val="29"/>
          <w:rFonts w:hint="eastAsia" w:ascii="黑体" w:hAnsi="黑体" w:eastAsia="黑体"/>
          <w:b w:val="0"/>
        </w:rPr>
        <w:t>出决算情况说明</w:t>
      </w:r>
      <w:bookmarkEnd w:id="23"/>
      <w:bookmarkEnd w:id="24"/>
    </w:p>
    <w:p>
      <w:pPr>
        <w:spacing w:line="600" w:lineRule="exact"/>
        <w:ind w:firstLine="640" w:firstLineChars="200"/>
        <w:outlineLvl w:val="1"/>
        <w:rPr>
          <w:rFonts w:hint="eastAsia"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年本年支出合计</w:t>
      </w:r>
      <w:r>
        <w:rPr>
          <w:rFonts w:hint="eastAsia" w:ascii="仿宋" w:hAnsi="仿宋" w:eastAsia="仿宋"/>
          <w:sz w:val="32"/>
          <w:szCs w:val="32"/>
          <w:lang w:val="en-US" w:eastAsia="zh-CN"/>
        </w:rPr>
        <w:t>187.03</w:t>
      </w:r>
      <w:r>
        <w:rPr>
          <w:rFonts w:hint="eastAsia" w:ascii="仿宋" w:hAnsi="仿宋" w:eastAsia="仿宋"/>
          <w:sz w:val="32"/>
          <w:szCs w:val="32"/>
        </w:rPr>
        <w:t>万元，其中：基本支出</w:t>
      </w:r>
      <w:r>
        <w:rPr>
          <w:rFonts w:hint="eastAsia" w:ascii="仿宋" w:hAnsi="仿宋" w:eastAsia="仿宋"/>
          <w:sz w:val="32"/>
          <w:szCs w:val="32"/>
          <w:lang w:val="en-US" w:eastAsia="zh-CN"/>
        </w:rPr>
        <w:t>85.59</w:t>
      </w:r>
      <w:r>
        <w:rPr>
          <w:rFonts w:hint="eastAsia" w:ascii="仿宋" w:hAnsi="仿宋" w:eastAsia="仿宋"/>
          <w:sz w:val="32"/>
          <w:szCs w:val="32"/>
        </w:rPr>
        <w:t>万元，占</w:t>
      </w:r>
      <w:r>
        <w:rPr>
          <w:rFonts w:hint="eastAsia" w:ascii="仿宋" w:hAnsi="仿宋" w:eastAsia="仿宋"/>
          <w:sz w:val="32"/>
          <w:szCs w:val="32"/>
          <w:lang w:val="en-US" w:eastAsia="zh-CN"/>
        </w:rPr>
        <w:t>45.76</w:t>
      </w:r>
      <w:r>
        <w:rPr>
          <w:rFonts w:ascii="仿宋" w:hAnsi="仿宋" w:eastAsia="仿宋"/>
          <w:sz w:val="32"/>
          <w:szCs w:val="32"/>
        </w:rPr>
        <w:t>%</w:t>
      </w:r>
      <w:r>
        <w:rPr>
          <w:rFonts w:hint="eastAsia" w:ascii="仿宋" w:hAnsi="仿宋" w:eastAsia="仿宋"/>
          <w:sz w:val="32"/>
          <w:szCs w:val="32"/>
        </w:rPr>
        <w:t>；项目支出</w:t>
      </w:r>
      <w:r>
        <w:rPr>
          <w:rFonts w:hint="eastAsia" w:ascii="仿宋" w:hAnsi="仿宋" w:eastAsia="仿宋"/>
          <w:sz w:val="32"/>
          <w:szCs w:val="32"/>
          <w:lang w:val="en-US" w:eastAsia="zh-CN"/>
        </w:rPr>
        <w:t>101.44</w:t>
      </w:r>
      <w:r>
        <w:rPr>
          <w:rFonts w:hint="eastAsia" w:ascii="仿宋" w:hAnsi="仿宋" w:eastAsia="仿宋"/>
          <w:sz w:val="32"/>
          <w:szCs w:val="32"/>
        </w:rPr>
        <w:t>万元，占</w:t>
      </w:r>
      <w:r>
        <w:rPr>
          <w:rFonts w:hint="eastAsia" w:ascii="仿宋" w:hAnsi="仿宋" w:eastAsia="仿宋"/>
          <w:sz w:val="32"/>
          <w:szCs w:val="32"/>
          <w:lang w:val="en-US" w:eastAsia="zh-CN"/>
        </w:rPr>
        <w:t>54.24</w:t>
      </w:r>
      <w:r>
        <w:rPr>
          <w:rFonts w:ascii="仿宋" w:hAnsi="仿宋" w:eastAsia="仿宋"/>
          <w:sz w:val="32"/>
          <w:szCs w:val="32"/>
        </w:rPr>
        <w:t>%</w:t>
      </w:r>
      <w:r>
        <w:rPr>
          <w:rFonts w:hint="eastAsia" w:ascii="仿宋" w:hAnsi="仿宋" w:eastAsia="仿宋"/>
          <w:sz w:val="32"/>
          <w:szCs w:val="32"/>
        </w:rPr>
        <w:t>；上缴上级支出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；经营支出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；对附属单位补助支出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p>
    <w:p>
      <w:pPr>
        <w:pStyle w:val="2"/>
      </w:pPr>
      <w:r>
        <w:rPr>
          <w:rFonts w:hint="eastAsia" w:ascii="仿宋" w:hAnsi="仿宋" w:eastAsia="仿宋" w:cs="Times New Roman"/>
          <w:kern w:val="0"/>
          <w:sz w:val="32"/>
          <w:szCs w:val="32"/>
          <w:shd w:val="pct10" w:color="auto" w:fill="FFFFFF"/>
          <w:lang w:val="en-US" w:eastAsia="zh-CN" w:bidi="ar-SA"/>
        </w:rPr>
        <w:object>
          <v:shape id="_x0000_i1027" o:spt="75" type="#_x0000_t75" style="height:210.75pt;width:417.8pt;" o:ole="t" filled="f" o:preferrelative="t" stroked="f" coordsize="21600,21600">
            <v:path/>
            <v:fill on="f" focussize="0,0"/>
            <v:stroke on="f"/>
            <v:imagedata r:id="rId14" blacklevel="0f" o:title=""/>
            <o:lock v:ext="edit" aspectratio="t"/>
            <w10:wrap type="none"/>
            <w10:anchorlock/>
          </v:shape>
          <o:OLEObject Type="Embed" ProgID="Excel.Chart.8" ShapeID="_x0000_i1027" DrawAspect="Content" ObjectID="_1468075727" r:id="rId13">
            <o:LockedField>false</o:LockedField>
          </o:OLEObject>
        </w:object>
      </w:r>
    </w:p>
    <w:p>
      <w:pPr>
        <w:spacing w:line="600" w:lineRule="exact"/>
        <w:ind w:firstLine="1280" w:firstLineChars="400"/>
        <w:rPr>
          <w:rFonts w:ascii="仿宋_GB2312" w:eastAsia="仿宋_GB2312"/>
          <w:sz w:val="32"/>
          <w:szCs w:val="32"/>
        </w:rPr>
      </w:pPr>
      <w:r>
        <w:rPr>
          <w:rFonts w:hint="eastAsia" w:ascii="仿宋" w:hAnsi="仿宋" w:eastAsia="仿宋"/>
          <w:sz w:val="32"/>
          <w:szCs w:val="32"/>
        </w:rPr>
        <w:t>（图3：支出决算结构图）（饼状图）</w:t>
      </w:r>
    </w:p>
    <w:p>
      <w:pPr>
        <w:spacing w:line="600" w:lineRule="exact"/>
        <w:ind w:firstLine="640" w:firstLineChars="200"/>
        <w:outlineLvl w:val="1"/>
        <w:rPr>
          <w:rStyle w:val="29"/>
          <w:rFonts w:ascii="黑体" w:hAnsi="黑体" w:eastAsia="黑体"/>
          <w:b w:val="0"/>
        </w:rPr>
      </w:pPr>
      <w:bookmarkStart w:id="25" w:name="_Toc15396606"/>
      <w:bookmarkStart w:id="26" w:name="_Toc15377208"/>
      <w:r>
        <w:rPr>
          <w:rFonts w:hint="eastAsia" w:ascii="黑体" w:hAnsi="黑体" w:eastAsia="黑体"/>
          <w:sz w:val="32"/>
          <w:szCs w:val="32"/>
        </w:rPr>
        <w:t>四、财</w:t>
      </w:r>
      <w:r>
        <w:rPr>
          <w:rStyle w:val="29"/>
          <w:rFonts w:hint="eastAsia" w:ascii="黑体" w:hAnsi="黑体" w:eastAsia="黑体"/>
          <w:b w:val="0"/>
        </w:rPr>
        <w:t>政拨款收入支出决算总体情况说明</w:t>
      </w:r>
      <w:bookmarkEnd w:id="25"/>
      <w:bookmarkEnd w:id="26"/>
    </w:p>
    <w:p>
      <w:pPr>
        <w:spacing w:line="600" w:lineRule="exact"/>
        <w:ind w:firstLine="640" w:firstLineChars="200"/>
        <w:rPr>
          <w:rFonts w:hint="eastAsia" w:ascii="仿宋_GB2312" w:hAnsi="仿宋_GB2312" w:eastAsia="仿宋_GB2312"/>
          <w:sz w:val="32"/>
          <w:szCs w:val="32"/>
          <w:lang w:eastAsia="zh-CN"/>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年财政拨款收</w:t>
      </w:r>
      <w:r>
        <w:rPr>
          <w:rFonts w:hint="eastAsia" w:ascii="仿宋" w:hAnsi="仿宋" w:eastAsia="仿宋"/>
          <w:sz w:val="32"/>
          <w:szCs w:val="32"/>
          <w:lang w:val="en-US" w:eastAsia="zh-CN"/>
        </w:rPr>
        <w:t>入</w:t>
      </w:r>
      <w:r>
        <w:rPr>
          <w:rFonts w:hint="eastAsia" w:ascii="仿宋" w:hAnsi="仿宋" w:eastAsia="仿宋"/>
          <w:sz w:val="32"/>
          <w:szCs w:val="32"/>
        </w:rPr>
        <w:t>总计</w:t>
      </w:r>
      <w:r>
        <w:rPr>
          <w:rFonts w:hint="eastAsia" w:ascii="仿宋" w:hAnsi="仿宋" w:eastAsia="仿宋"/>
          <w:sz w:val="32"/>
          <w:szCs w:val="32"/>
          <w:lang w:val="en-US" w:eastAsia="zh-CN"/>
        </w:rPr>
        <w:t>164.98</w:t>
      </w:r>
      <w:r>
        <w:rPr>
          <w:rFonts w:hint="eastAsia" w:ascii="仿宋" w:hAnsi="仿宋" w:eastAsia="仿宋"/>
          <w:sz w:val="32"/>
          <w:szCs w:val="32"/>
        </w:rPr>
        <w:t>万元</w:t>
      </w:r>
      <w:r>
        <w:rPr>
          <w:rFonts w:hint="eastAsia" w:ascii="仿宋" w:hAnsi="仿宋" w:eastAsia="仿宋"/>
          <w:sz w:val="32"/>
          <w:szCs w:val="32"/>
          <w:lang w:eastAsia="zh-CN"/>
        </w:rPr>
        <w:t>，</w:t>
      </w:r>
      <w:r>
        <w:rPr>
          <w:rFonts w:hint="eastAsia" w:ascii="仿宋" w:hAnsi="仿宋" w:eastAsia="仿宋"/>
          <w:sz w:val="32"/>
          <w:szCs w:val="32"/>
          <w:lang w:val="en-US" w:eastAsia="zh-CN"/>
        </w:rPr>
        <w:t>支出总计164.98万元</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1</w:t>
      </w:r>
      <w:r>
        <w:rPr>
          <w:rFonts w:hint="eastAsia" w:ascii="仿宋" w:hAnsi="仿宋" w:eastAsia="仿宋"/>
          <w:sz w:val="32"/>
          <w:szCs w:val="32"/>
        </w:rPr>
        <w:t>年相比，财政拨款收、支总计减少</w:t>
      </w:r>
      <w:r>
        <w:rPr>
          <w:rFonts w:hint="eastAsia" w:ascii="仿宋" w:hAnsi="仿宋" w:eastAsia="仿宋"/>
          <w:sz w:val="32"/>
          <w:szCs w:val="32"/>
          <w:lang w:val="en-US" w:eastAsia="zh-CN"/>
        </w:rPr>
        <w:t>13.13</w:t>
      </w:r>
      <w:r>
        <w:rPr>
          <w:rFonts w:hint="eastAsia" w:ascii="仿宋" w:hAnsi="仿宋" w:eastAsia="仿宋"/>
          <w:sz w:val="32"/>
          <w:szCs w:val="32"/>
        </w:rPr>
        <w:t>万元，下降</w:t>
      </w:r>
      <w:r>
        <w:rPr>
          <w:rFonts w:hint="eastAsia" w:ascii="仿宋" w:hAnsi="仿宋" w:eastAsia="仿宋"/>
          <w:sz w:val="32"/>
          <w:szCs w:val="32"/>
          <w:lang w:val="en-US" w:eastAsia="zh-CN"/>
        </w:rPr>
        <w:t>7.37</w:t>
      </w:r>
      <w:r>
        <w:rPr>
          <w:rFonts w:ascii="仿宋" w:hAnsi="仿宋" w:eastAsia="仿宋"/>
          <w:sz w:val="32"/>
          <w:szCs w:val="32"/>
        </w:rPr>
        <w:t>%</w:t>
      </w:r>
      <w:r>
        <w:rPr>
          <w:rFonts w:hint="eastAsia" w:ascii="仿宋" w:hAnsi="仿宋" w:eastAsia="仿宋"/>
          <w:sz w:val="32"/>
          <w:szCs w:val="32"/>
        </w:rPr>
        <w:t>。主要变动原因是</w:t>
      </w:r>
      <w:r>
        <w:rPr>
          <w:rFonts w:hint="eastAsia" w:ascii="仿宋" w:hAnsi="仿宋" w:eastAsia="仿宋"/>
          <w:sz w:val="32"/>
          <w:szCs w:val="32"/>
          <w:lang w:val="en-US" w:eastAsia="zh-CN"/>
        </w:rPr>
        <w:t>基本医疗进药量减少，</w:t>
      </w:r>
      <w:r>
        <w:rPr>
          <w:rFonts w:hint="eastAsia" w:ascii="仿宋" w:hAnsi="仿宋" w:eastAsia="仿宋"/>
          <w:sz w:val="32"/>
          <w:szCs w:val="32"/>
          <w:lang w:eastAsia="zh-CN"/>
        </w:rPr>
        <w:t>基本药物财政补助减少，</w:t>
      </w:r>
      <w:r>
        <w:rPr>
          <w:rFonts w:hint="eastAsia" w:ascii="仿宋_GB2312" w:hAnsi="仿宋_GB2312" w:eastAsia="仿宋_GB2312"/>
          <w:sz w:val="32"/>
          <w:szCs w:val="32"/>
          <w:lang w:eastAsia="zh-CN"/>
        </w:rPr>
        <w:t>财政拨款收入随之减少。</w:t>
      </w:r>
    </w:p>
    <w:p>
      <w:pPr>
        <w:pStyle w:val="2"/>
        <w:rPr>
          <w:rFonts w:hint="eastAsia"/>
          <w:lang w:eastAsia="zh-CN"/>
        </w:rPr>
      </w:pPr>
      <w:r>
        <w:rPr>
          <w:rFonts w:hint="eastAsia"/>
          <w:lang w:eastAsia="zh-CN"/>
        </w:rPr>
        <w:drawing>
          <wp:inline distT="0" distB="0" distL="114300" distR="114300">
            <wp:extent cx="5295265" cy="2552700"/>
            <wp:effectExtent l="0" t="0" r="0" b="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5"/>
                    <a:stretch>
                      <a:fillRect/>
                    </a:stretch>
                  </pic:blipFill>
                  <pic:spPr>
                    <a:xfrm>
                      <a:off x="0" y="0"/>
                      <a:ext cx="5295265" cy="2552700"/>
                    </a:xfrm>
                    <a:prstGeom prst="rect">
                      <a:avLst/>
                    </a:prstGeom>
                  </pic:spPr>
                </pic:pic>
              </a:graphicData>
            </a:graphic>
          </wp:inline>
        </w:drawing>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仿宋" w:hAnsi="仿宋" w:eastAsia="仿宋"/>
          <w:sz w:val="32"/>
          <w:szCs w:val="32"/>
        </w:rPr>
      </w:pPr>
      <w:r>
        <w:rPr>
          <w:rFonts w:hint="eastAsia" w:ascii="仿宋" w:hAnsi="仿宋" w:eastAsia="仿宋"/>
          <w:sz w:val="32"/>
          <w:szCs w:val="32"/>
        </w:rPr>
        <w:t>（图4：财政拨款收、支决算总计变动情况）（柱状图）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Style w:val="29"/>
          <w:rFonts w:ascii="黑体" w:hAnsi="黑体" w:eastAsia="黑体"/>
          <w:b w:val="0"/>
        </w:rPr>
      </w:pPr>
      <w:bookmarkStart w:id="27" w:name="_Toc15377209"/>
      <w:bookmarkStart w:id="28" w:name="_Toc15396607"/>
      <w:r>
        <w:rPr>
          <w:rFonts w:hint="eastAsia" w:ascii="黑体" w:hAnsi="黑体" w:eastAsia="黑体"/>
          <w:sz w:val="32"/>
          <w:szCs w:val="32"/>
        </w:rPr>
        <w:t>五、</w:t>
      </w:r>
      <w:r>
        <w:rPr>
          <w:rFonts w:hint="eastAsia" w:ascii="黑体" w:hAnsi="黑体" w:eastAsia="黑体"/>
          <w:b/>
          <w:sz w:val="32"/>
          <w:szCs w:val="32"/>
        </w:rPr>
        <w:t>一</w:t>
      </w:r>
      <w:r>
        <w:rPr>
          <w:rStyle w:val="29"/>
          <w:rFonts w:hint="eastAsia" w:ascii="黑体" w:hAnsi="黑体" w:eastAsia="黑体"/>
          <w:b w:val="0"/>
        </w:rPr>
        <w:t>般公共预算财政拨款支出决算情况说明</w:t>
      </w:r>
      <w:bookmarkEnd w:id="27"/>
      <w:bookmarkEnd w:id="2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ascii="仿宋" w:hAnsi="仿宋" w:eastAsia="仿宋"/>
          <w:b/>
          <w:sz w:val="32"/>
          <w:szCs w:val="32"/>
        </w:rPr>
      </w:pPr>
      <w:bookmarkStart w:id="29" w:name="_Toc15377210"/>
      <w:r>
        <w:rPr>
          <w:rFonts w:hint="eastAsia" w:ascii="仿宋" w:hAnsi="仿宋" w:eastAsia="仿宋"/>
          <w:b/>
          <w:sz w:val="32"/>
          <w:szCs w:val="32"/>
        </w:rPr>
        <w:t>（一）一般公共预算财政拨款支出决算总体情况</w:t>
      </w:r>
      <w:bookmarkEnd w:id="2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年一般公共预算财政拨款支出</w:t>
      </w:r>
      <w:r>
        <w:rPr>
          <w:rFonts w:hint="eastAsia" w:ascii="仿宋" w:hAnsi="仿宋" w:eastAsia="仿宋"/>
          <w:sz w:val="32"/>
          <w:szCs w:val="32"/>
          <w:lang w:val="en-US" w:eastAsia="zh-CN"/>
        </w:rPr>
        <w:t>164.98</w:t>
      </w:r>
      <w:r>
        <w:rPr>
          <w:rFonts w:hint="eastAsia" w:ascii="仿宋" w:hAnsi="仿宋" w:eastAsia="仿宋"/>
          <w:sz w:val="32"/>
          <w:szCs w:val="32"/>
        </w:rPr>
        <w:t>万元，占本年支出合计的</w:t>
      </w:r>
      <w:r>
        <w:rPr>
          <w:rFonts w:hint="eastAsia" w:ascii="仿宋" w:hAnsi="仿宋" w:eastAsia="仿宋"/>
          <w:sz w:val="32"/>
          <w:szCs w:val="32"/>
          <w:lang w:val="en-US" w:eastAsia="zh-CN"/>
        </w:rPr>
        <w:t>92.63</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1</w:t>
      </w:r>
      <w:r>
        <w:rPr>
          <w:rFonts w:hint="eastAsia" w:ascii="仿宋" w:hAnsi="仿宋" w:eastAsia="仿宋"/>
          <w:sz w:val="32"/>
          <w:szCs w:val="32"/>
        </w:rPr>
        <w:t>年相比，一般公共预算财政拨款支出减少</w:t>
      </w:r>
      <w:r>
        <w:rPr>
          <w:rFonts w:hint="eastAsia" w:ascii="仿宋" w:hAnsi="仿宋" w:eastAsia="仿宋"/>
          <w:sz w:val="32"/>
          <w:szCs w:val="32"/>
          <w:lang w:val="en-US" w:eastAsia="zh-CN"/>
        </w:rPr>
        <w:t>13.13</w:t>
      </w:r>
      <w:r>
        <w:rPr>
          <w:rFonts w:hint="eastAsia" w:ascii="仿宋" w:hAnsi="仿宋" w:eastAsia="仿宋"/>
          <w:sz w:val="32"/>
          <w:szCs w:val="32"/>
        </w:rPr>
        <w:t>万元，下降</w:t>
      </w:r>
      <w:r>
        <w:rPr>
          <w:rFonts w:hint="eastAsia" w:ascii="仿宋" w:hAnsi="仿宋" w:eastAsia="仿宋"/>
          <w:sz w:val="32"/>
          <w:szCs w:val="32"/>
          <w:lang w:val="en-US" w:eastAsia="zh-CN"/>
        </w:rPr>
        <w:t>7.37</w:t>
      </w:r>
      <w:r>
        <w:rPr>
          <w:rFonts w:ascii="仿宋" w:hAnsi="仿宋" w:eastAsia="仿宋"/>
          <w:sz w:val="32"/>
          <w:szCs w:val="32"/>
        </w:rPr>
        <w:t>%</w:t>
      </w:r>
      <w:r>
        <w:rPr>
          <w:rFonts w:hint="eastAsia" w:ascii="仿宋" w:hAnsi="仿宋" w:eastAsia="仿宋"/>
          <w:sz w:val="32"/>
          <w:szCs w:val="32"/>
        </w:rPr>
        <w:t>。主要变动原因是主要变动原因是</w:t>
      </w:r>
      <w:r>
        <w:rPr>
          <w:rFonts w:hint="eastAsia" w:ascii="仿宋" w:hAnsi="仿宋" w:eastAsia="仿宋"/>
          <w:sz w:val="32"/>
          <w:szCs w:val="32"/>
          <w:lang w:eastAsia="zh-CN"/>
        </w:rPr>
        <w:t>基本药物财政补助减少，</w:t>
      </w:r>
      <w:r>
        <w:rPr>
          <w:rFonts w:hint="eastAsia" w:ascii="仿宋_GB2312" w:hAnsi="仿宋_GB2312" w:eastAsia="仿宋_GB2312"/>
          <w:sz w:val="32"/>
          <w:szCs w:val="32"/>
          <w:lang w:eastAsia="zh-CN"/>
        </w:rPr>
        <w:t>财政拨款收入随之减少。</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b/>
          <w:sz w:val="28"/>
          <w:szCs w:val="28"/>
        </w:rPr>
      </w:pPr>
      <w:r>
        <w:rPr>
          <w:rFonts w:hint="eastAsia" w:ascii="仿宋" w:hAnsi="仿宋" w:eastAsia="仿宋" w:cs="Times New Roman"/>
          <w:kern w:val="0"/>
          <w:sz w:val="32"/>
          <w:szCs w:val="32"/>
          <w:lang w:val="en-US" w:eastAsia="zh-CN" w:bidi="ar-SA"/>
        </w:rPr>
        <w:pict>
          <v:shape id="_x0000_s1037" o:spid="_x0000_s1037" o:spt="75" type="#_x0000_t75" style="position:absolute;left:0pt;margin-left:7.35pt;margin-top:15.15pt;height:200.5pt;width:414.7pt;mso-wrap-distance-bottom:0pt;mso-wrap-distance-left:9pt;mso-wrap-distance-right:9pt;mso-wrap-distance-top:0pt;z-index:251660288;mso-width-relative:page;mso-height-relative:page;" o:ole="t" filled="f" o:preferrelative="t" stroked="f" coordsize="21600,21600">
            <v:path/>
            <v:fill on="f" focussize="0,0"/>
            <v:stroke on="f"/>
            <v:imagedata r:id="rId17" blacklevel="0f" o:title=""/>
            <o:lock v:ext="edit" aspectratio="t"/>
            <w10:wrap type="square"/>
          </v:shape>
          <o:OLEObject Type="Embed" ProgID="Excel.Chart.8" ShapeID="_x0000_s1037" DrawAspect="Content" ObjectID="_1468075728" r:id="rId16">
            <o:LockedField>false</o:LockedField>
          </o:OLEObject>
        </w:pict>
      </w:r>
      <w:bookmarkStart w:id="30" w:name="_Toc15377211"/>
      <w:r>
        <w:rPr>
          <w:rFonts w:hint="eastAsia" w:ascii="Times New Roman" w:hAnsi="Times New Roman" w:eastAsia="仿宋_GB2312" w:cs="Times New Roman"/>
          <w:sz w:val="28"/>
          <w:szCs w:val="28"/>
        </w:rPr>
        <w:t>（图5：一般公共预算财政拨款支出决算变动情况）（柱状图）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2"/>
        <w:rPr>
          <w:rFonts w:ascii="仿宋" w:hAnsi="仿宋" w:eastAsia="仿宋"/>
          <w:b/>
          <w:sz w:val="32"/>
          <w:szCs w:val="32"/>
        </w:rPr>
      </w:pPr>
      <w:r>
        <w:rPr>
          <w:rFonts w:hint="eastAsia" w:ascii="仿宋" w:hAnsi="仿宋" w:eastAsia="仿宋"/>
          <w:b/>
          <w:sz w:val="32"/>
          <w:szCs w:val="32"/>
        </w:rPr>
        <w:t>（二）一般公共预算财政拨款支出决算结构情况</w:t>
      </w:r>
      <w:bookmarkEnd w:id="30"/>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年一般公共预算财政拨款支出</w:t>
      </w:r>
      <w:r>
        <w:rPr>
          <w:rFonts w:hint="eastAsia" w:ascii="仿宋" w:hAnsi="仿宋" w:eastAsia="仿宋"/>
          <w:sz w:val="32"/>
          <w:szCs w:val="32"/>
          <w:lang w:val="en-US" w:eastAsia="zh-CN"/>
        </w:rPr>
        <w:t>164.98</w:t>
      </w:r>
      <w:r>
        <w:rPr>
          <w:rFonts w:hint="eastAsia" w:ascii="仿宋" w:hAnsi="仿宋" w:eastAsia="仿宋"/>
          <w:sz w:val="32"/>
          <w:szCs w:val="32"/>
        </w:rPr>
        <w:t>万元，主要用于以下方面</w:t>
      </w:r>
      <w:r>
        <w:rPr>
          <w:rFonts w:ascii="仿宋" w:hAnsi="仿宋" w:eastAsia="仿宋"/>
          <w:sz w:val="32"/>
          <w:szCs w:val="32"/>
        </w:rPr>
        <w:t>:</w:t>
      </w:r>
      <w:r>
        <w:rPr>
          <w:rFonts w:hint="eastAsia" w:ascii="仿宋" w:hAnsi="仿宋" w:eastAsia="仿宋"/>
          <w:b/>
          <w:sz w:val="32"/>
          <w:szCs w:val="32"/>
        </w:rPr>
        <w:t>教育支出（类）</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科学技术（类）</w:t>
      </w:r>
      <w:r>
        <w:rPr>
          <w:rFonts w:hint="eastAsia" w:ascii="仿宋" w:hAnsi="仿宋" w:eastAsia="仿宋"/>
          <w:sz w:val="32"/>
          <w:szCs w:val="32"/>
        </w:rPr>
        <w:t>支出</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文化旅游体育与传媒（类）支出</w:t>
      </w:r>
      <w:r>
        <w:rPr>
          <w:rFonts w:hint="eastAsia" w:ascii="仿宋" w:hAnsi="仿宋" w:eastAsia="仿宋"/>
          <w:b/>
          <w:bCs/>
          <w:sz w:val="32"/>
          <w:szCs w:val="32"/>
          <w:lang w:val="en-US" w:eastAsia="zh-CN"/>
        </w:rPr>
        <w:t>0</w:t>
      </w:r>
      <w:r>
        <w:rPr>
          <w:rFonts w:hint="eastAsia" w:ascii="仿宋" w:hAnsi="仿宋" w:eastAsia="仿宋"/>
          <w:b/>
          <w:bCs/>
          <w:sz w:val="32"/>
          <w:szCs w:val="32"/>
        </w:rPr>
        <w:t>万元，占</w:t>
      </w:r>
      <w:r>
        <w:rPr>
          <w:rFonts w:hint="eastAsia" w:ascii="仿宋" w:hAnsi="仿宋" w:eastAsia="仿宋"/>
          <w:b/>
          <w:bCs/>
          <w:sz w:val="32"/>
          <w:szCs w:val="32"/>
          <w:lang w:val="en-US" w:eastAsia="zh-CN"/>
        </w:rPr>
        <w:t>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社会保障和就业（类）</w:t>
      </w:r>
      <w:r>
        <w:rPr>
          <w:rFonts w:hint="eastAsia" w:ascii="仿宋" w:hAnsi="仿宋" w:eastAsia="仿宋"/>
          <w:sz w:val="32"/>
          <w:szCs w:val="32"/>
        </w:rPr>
        <w:t>支出</w:t>
      </w:r>
      <w:r>
        <w:rPr>
          <w:rFonts w:hint="eastAsia" w:ascii="仿宋" w:hAnsi="仿宋" w:eastAsia="仿宋"/>
          <w:sz w:val="32"/>
          <w:szCs w:val="32"/>
          <w:lang w:val="en-US" w:eastAsia="zh-CN"/>
        </w:rPr>
        <w:t>7.58</w:t>
      </w:r>
      <w:r>
        <w:rPr>
          <w:rFonts w:hint="eastAsia" w:ascii="仿宋" w:hAnsi="仿宋" w:eastAsia="仿宋"/>
          <w:sz w:val="32"/>
          <w:szCs w:val="32"/>
        </w:rPr>
        <w:t>万元，占</w:t>
      </w:r>
      <w:r>
        <w:rPr>
          <w:rFonts w:hint="eastAsia" w:ascii="仿宋" w:hAnsi="仿宋" w:eastAsia="仿宋"/>
          <w:sz w:val="32"/>
          <w:szCs w:val="32"/>
          <w:lang w:val="en-US" w:eastAsia="zh-CN"/>
        </w:rPr>
        <w:t>4.59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lang w:val="en-US" w:eastAsia="zh-CN"/>
        </w:rPr>
        <w:t>150.43</w:t>
      </w:r>
      <w:r>
        <w:rPr>
          <w:rFonts w:hint="eastAsia" w:ascii="仿宋" w:hAnsi="仿宋" w:eastAsia="仿宋"/>
          <w:sz w:val="32"/>
          <w:szCs w:val="32"/>
        </w:rPr>
        <w:t>万元，占</w:t>
      </w:r>
      <w:r>
        <w:rPr>
          <w:rFonts w:hint="eastAsia" w:ascii="仿宋" w:hAnsi="仿宋" w:eastAsia="仿宋"/>
          <w:sz w:val="32"/>
          <w:szCs w:val="32"/>
          <w:lang w:val="en-US" w:eastAsia="zh-CN"/>
        </w:rPr>
        <w:t>91.18</w:t>
      </w:r>
      <w:r>
        <w:rPr>
          <w:rFonts w:ascii="仿宋" w:hAnsi="仿宋" w:eastAsia="仿宋"/>
          <w:sz w:val="32"/>
          <w:szCs w:val="32"/>
        </w:rPr>
        <w:t>%</w:t>
      </w:r>
      <w:r>
        <w:rPr>
          <w:rFonts w:hint="eastAsia" w:ascii="仿宋" w:hAnsi="仿宋" w:eastAsia="仿宋"/>
          <w:sz w:val="32"/>
          <w:szCs w:val="32"/>
        </w:rPr>
        <w:t>；住房保障支出</w:t>
      </w:r>
      <w:r>
        <w:rPr>
          <w:rFonts w:hint="eastAsia" w:ascii="仿宋" w:hAnsi="仿宋" w:eastAsia="仿宋"/>
          <w:sz w:val="32"/>
          <w:szCs w:val="32"/>
          <w:lang w:val="en-US" w:eastAsia="zh-CN"/>
        </w:rPr>
        <w:t>6.97</w:t>
      </w:r>
      <w:r>
        <w:rPr>
          <w:rFonts w:hint="eastAsia" w:ascii="仿宋" w:hAnsi="仿宋" w:eastAsia="仿宋"/>
          <w:sz w:val="32"/>
          <w:szCs w:val="32"/>
        </w:rPr>
        <w:t>万元，占</w:t>
      </w:r>
      <w:r>
        <w:rPr>
          <w:rFonts w:hint="eastAsia" w:ascii="仿宋" w:hAnsi="仿宋" w:eastAsia="仿宋"/>
          <w:sz w:val="32"/>
          <w:szCs w:val="32"/>
          <w:lang w:val="en-US" w:eastAsia="zh-CN"/>
        </w:rPr>
        <w:t>4.22</w:t>
      </w:r>
      <w:r>
        <w:rPr>
          <w:rFonts w:ascii="仿宋" w:hAnsi="仿宋" w:eastAsia="仿宋"/>
          <w:sz w:val="32"/>
          <w:szCs w:val="32"/>
        </w:rPr>
        <w:t>%</w:t>
      </w:r>
      <w:r>
        <w:rPr>
          <w:rFonts w:hint="eastAsia" w:ascii="仿宋" w:hAnsi="仿宋" w:eastAsia="仿宋"/>
          <w:sz w:val="32"/>
          <w:szCs w:val="32"/>
        </w:rPr>
        <w:t>。</w:t>
      </w:r>
    </w:p>
    <w:p>
      <w:pPr>
        <w:spacing w:line="600" w:lineRule="exact"/>
        <w:ind w:firstLine="560" w:firstLineChars="200"/>
        <w:jc w:val="center"/>
        <w:rPr>
          <w:sz w:val="28"/>
          <w:szCs w:val="28"/>
        </w:rPr>
      </w:pPr>
      <w:r>
        <w:rPr>
          <w:rFonts w:hint="default" w:ascii="Times New Roman" w:hAnsi="Times New Roman" w:eastAsia="仿宋_GB2312" w:cs="Times New Roman"/>
          <w:kern w:val="0"/>
          <w:sz w:val="28"/>
          <w:szCs w:val="28"/>
          <w:lang w:val="en-US" w:eastAsia="zh-CN" w:bidi="ar-SA"/>
        </w:rPr>
        <w:pict>
          <v:shape id="_x0000_s1035" o:spid="_x0000_s1035" o:spt="75" type="#_x0000_t75" style="position:absolute;left:0pt;margin-left:0.8pt;margin-top:5pt;height:221.25pt;width:429.05pt;mso-wrap-distance-bottom:0pt;mso-wrap-distance-left:9pt;mso-wrap-distance-right:9pt;mso-wrap-distance-top:0pt;z-index:251659264;mso-width-relative:page;mso-height-relative:page;" o:ole="t" filled="f" o:preferrelative="t" stroked="f" coordsize="21600,21600">
            <v:path/>
            <v:fill on="f" focussize="0,0"/>
            <v:stroke on="f"/>
            <v:imagedata r:id="rId19" blacklevel="0f" o:title=""/>
            <o:lock v:ext="edit" aspectratio="t"/>
            <w10:wrap type="square"/>
          </v:shape>
          <o:OLEObject Type="Embed" ProgID="Excel.Chart.8" ShapeID="_x0000_s1035" DrawAspect="Content" ObjectID="_1468075729" r:id="rId18">
            <o:LockedField>false</o:LockedField>
          </o:OLEObject>
        </w:pict>
      </w:r>
      <w:r>
        <w:rPr>
          <w:rFonts w:hint="eastAsia" w:ascii="仿宋" w:hAnsi="仿宋" w:eastAsia="仿宋"/>
          <w:sz w:val="28"/>
          <w:szCs w:val="28"/>
        </w:rPr>
        <w:t>（图6：一般公共预算财政拨款支出决算结构）（饼状图）</w:t>
      </w:r>
    </w:p>
    <w:p>
      <w:pPr>
        <w:spacing w:line="600" w:lineRule="exact"/>
        <w:ind w:firstLine="643" w:firstLineChars="200"/>
        <w:outlineLvl w:val="2"/>
        <w:rPr>
          <w:rFonts w:ascii="仿宋" w:hAnsi="仿宋" w:eastAsia="仿宋"/>
          <w:b/>
          <w:sz w:val="32"/>
          <w:szCs w:val="32"/>
        </w:rPr>
      </w:pPr>
      <w:bookmarkStart w:id="31" w:name="_Toc15377212"/>
      <w:r>
        <w:rPr>
          <w:rFonts w:hint="eastAsia" w:ascii="仿宋" w:hAnsi="仿宋" w:eastAsia="仿宋"/>
          <w:b/>
          <w:sz w:val="32"/>
          <w:szCs w:val="32"/>
        </w:rPr>
        <w:t>（三）一般公共预算财政拨款支出决算具体情况</w:t>
      </w:r>
      <w:bookmarkEnd w:id="31"/>
    </w:p>
    <w:p>
      <w:pPr>
        <w:spacing w:line="600" w:lineRule="exact"/>
        <w:ind w:firstLine="643" w:firstLineChars="200"/>
        <w:outlineLvl w:val="2"/>
        <w:rPr>
          <w:rFonts w:ascii="仿宋" w:hAnsi="仿宋" w:eastAsia="仿宋"/>
          <w:sz w:val="32"/>
          <w:szCs w:val="32"/>
        </w:rPr>
      </w:pPr>
      <w:bookmarkStart w:id="32" w:name="_Toc15377444"/>
      <w:bookmarkStart w:id="33" w:name="_Toc15377213"/>
      <w:bookmarkStart w:id="34" w:name="_Toc15378460"/>
      <w:r>
        <w:rPr>
          <w:rFonts w:hint="eastAsia" w:ascii="仿宋" w:hAnsi="仿宋" w:eastAsia="仿宋"/>
          <w:b/>
          <w:sz w:val="32"/>
          <w:szCs w:val="32"/>
        </w:rPr>
        <w:t>202</w:t>
      </w:r>
      <w:r>
        <w:rPr>
          <w:rFonts w:hint="eastAsia" w:ascii="仿宋" w:hAnsi="仿宋" w:eastAsia="仿宋"/>
          <w:b/>
          <w:sz w:val="32"/>
          <w:szCs w:val="32"/>
          <w:lang w:val="en-US" w:eastAsia="zh-CN"/>
        </w:rPr>
        <w:t>2</w:t>
      </w:r>
      <w:r>
        <w:rPr>
          <w:rFonts w:hint="eastAsia" w:ascii="仿宋" w:hAnsi="仿宋" w:eastAsia="仿宋"/>
          <w:b/>
          <w:sz w:val="32"/>
          <w:szCs w:val="32"/>
        </w:rPr>
        <w:t>年一般公共预算支出决算数为</w:t>
      </w:r>
      <w:r>
        <w:rPr>
          <w:rFonts w:hint="eastAsia" w:ascii="仿宋" w:hAnsi="仿宋" w:eastAsia="仿宋"/>
          <w:b/>
          <w:sz w:val="32"/>
          <w:szCs w:val="32"/>
          <w:lang w:val="en-US" w:eastAsia="zh-CN"/>
        </w:rPr>
        <w:t>164.98</w:t>
      </w:r>
      <w:r>
        <w:rPr>
          <w:rFonts w:hint="eastAsia" w:ascii="仿宋" w:hAnsi="仿宋" w:eastAsia="仿宋"/>
          <w:sz w:val="32"/>
          <w:szCs w:val="32"/>
        </w:rPr>
        <w:t>，</w:t>
      </w:r>
      <w:r>
        <w:rPr>
          <w:rStyle w:val="18"/>
          <w:rFonts w:hint="eastAsia" w:ascii="仿宋" w:hAnsi="仿宋" w:eastAsia="仿宋"/>
          <w:bCs/>
          <w:sz w:val="32"/>
          <w:szCs w:val="32"/>
        </w:rPr>
        <w:t>完成预算</w:t>
      </w:r>
      <w:r>
        <w:rPr>
          <w:rStyle w:val="18"/>
          <w:rFonts w:hint="eastAsia" w:ascii="仿宋" w:hAnsi="仿宋" w:eastAsia="仿宋"/>
          <w:bCs/>
          <w:sz w:val="32"/>
          <w:szCs w:val="32"/>
          <w:lang w:val="en-US" w:eastAsia="zh-CN"/>
        </w:rPr>
        <w:t>100</w:t>
      </w:r>
      <w:r>
        <w:rPr>
          <w:rStyle w:val="18"/>
          <w:rFonts w:ascii="仿宋" w:hAnsi="仿宋" w:eastAsia="仿宋"/>
          <w:bCs/>
          <w:sz w:val="32"/>
          <w:szCs w:val="32"/>
        </w:rPr>
        <w:t>%</w:t>
      </w:r>
      <w:r>
        <w:rPr>
          <w:rStyle w:val="18"/>
          <w:rFonts w:hint="eastAsia" w:ascii="仿宋" w:hAnsi="仿宋" w:eastAsia="仿宋"/>
          <w:bCs/>
          <w:sz w:val="32"/>
          <w:szCs w:val="32"/>
        </w:rPr>
        <w:t>。其中：</w:t>
      </w:r>
      <w:bookmarkEnd w:id="32"/>
      <w:bookmarkEnd w:id="33"/>
      <w:bookmarkEnd w:id="34"/>
    </w:p>
    <w:p>
      <w:pPr>
        <w:spacing w:line="600" w:lineRule="exact"/>
        <w:ind w:firstLine="643" w:firstLineChars="200"/>
        <w:rPr>
          <w:rFonts w:hint="eastAsia"/>
          <w:lang w:val="en-US" w:eastAsia="zh-CN"/>
        </w:rPr>
      </w:pPr>
      <w:r>
        <w:rPr>
          <w:rStyle w:val="18"/>
          <w:rFonts w:hint="eastAsia" w:ascii="仿宋" w:hAnsi="仿宋" w:eastAsia="仿宋"/>
          <w:bCs/>
          <w:color w:val="000000"/>
          <w:sz w:val="32"/>
          <w:szCs w:val="32"/>
          <w:lang w:val="en-US" w:eastAsia="zh-CN"/>
        </w:rPr>
        <w:t>1</w:t>
      </w:r>
      <w:r>
        <w:rPr>
          <w:rStyle w:val="18"/>
          <w:rFonts w:ascii="仿宋" w:hAnsi="仿宋" w:eastAsia="仿宋"/>
          <w:bCs/>
          <w:color w:val="000000"/>
          <w:sz w:val="32"/>
          <w:szCs w:val="32"/>
        </w:rPr>
        <w:t>.</w:t>
      </w:r>
      <w:r>
        <w:rPr>
          <w:rStyle w:val="18"/>
          <w:rFonts w:hint="eastAsia" w:ascii="仿宋" w:hAnsi="仿宋" w:eastAsia="仿宋"/>
          <w:bCs/>
          <w:color w:val="000000"/>
          <w:sz w:val="32"/>
          <w:szCs w:val="32"/>
        </w:rPr>
        <w:t>社会保障和就业（类）行政事业单位养老支出（款）机关事业单位基本养老保险缴费支出（项）</w:t>
      </w:r>
      <w:r>
        <w:rPr>
          <w:rStyle w:val="18"/>
          <w:rFonts w:ascii="仿宋" w:hAnsi="仿宋" w:eastAsia="仿宋"/>
          <w:bCs/>
          <w:color w:val="000000"/>
          <w:sz w:val="32"/>
          <w:szCs w:val="32"/>
        </w:rPr>
        <w:t>:</w:t>
      </w:r>
      <w:r>
        <w:rPr>
          <w:rStyle w:val="18"/>
          <w:rFonts w:ascii="仿宋" w:hAnsi="仿宋" w:eastAsia="仿宋"/>
          <w:b w:val="0"/>
          <w:bCs/>
          <w:color w:val="000000"/>
          <w:sz w:val="32"/>
          <w:szCs w:val="32"/>
        </w:rPr>
        <w:t xml:space="preserve"> </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6.86</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lang w:eastAsia="zh-CN"/>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Style w:val="18"/>
          <w:rFonts w:ascii="仿宋" w:hAnsi="仿宋" w:eastAsia="仿宋"/>
          <w:bCs/>
          <w:color w:val="000000"/>
          <w:sz w:val="32"/>
          <w:szCs w:val="32"/>
        </w:rPr>
      </w:pPr>
      <w:r>
        <w:rPr>
          <w:rStyle w:val="18"/>
          <w:rFonts w:hint="eastAsia" w:ascii="仿宋" w:hAnsi="仿宋" w:eastAsia="仿宋"/>
          <w:bCs/>
          <w:color w:val="000000"/>
          <w:sz w:val="32"/>
          <w:szCs w:val="32"/>
          <w:lang w:val="en-US" w:eastAsia="zh-CN"/>
        </w:rPr>
        <w:t>2</w:t>
      </w:r>
      <w:r>
        <w:rPr>
          <w:rStyle w:val="18"/>
          <w:rFonts w:ascii="仿宋" w:hAnsi="仿宋" w:eastAsia="仿宋"/>
          <w:bCs/>
          <w:color w:val="000000"/>
          <w:sz w:val="32"/>
          <w:szCs w:val="32"/>
        </w:rPr>
        <w:t>.</w:t>
      </w:r>
      <w:r>
        <w:rPr>
          <w:rStyle w:val="18"/>
          <w:rFonts w:hint="eastAsia" w:ascii="仿宋" w:hAnsi="仿宋" w:eastAsia="仿宋"/>
          <w:bCs/>
          <w:color w:val="000000"/>
          <w:sz w:val="32"/>
          <w:szCs w:val="32"/>
        </w:rPr>
        <w:t>社会保障和就业（类）</w:t>
      </w:r>
      <w:r>
        <w:rPr>
          <w:rStyle w:val="18"/>
          <w:rFonts w:hint="default" w:ascii="Times New Roman" w:hAnsi="Times New Roman" w:eastAsia="仿宋_GB2312" w:cs="Times New Roman"/>
          <w:b/>
          <w:bCs w:val="0"/>
          <w:sz w:val="32"/>
          <w:szCs w:val="32"/>
        </w:rPr>
        <w:t>抚恤（款）伤残抚恤（项）</w:t>
      </w:r>
      <w:r>
        <w:rPr>
          <w:rStyle w:val="18"/>
          <w:rFonts w:ascii="仿宋" w:hAnsi="仿宋" w:eastAsia="仿宋"/>
          <w:bCs/>
          <w:color w:val="000000"/>
          <w:sz w:val="32"/>
          <w:szCs w:val="32"/>
        </w:rPr>
        <w:t>:</w:t>
      </w:r>
      <w:r>
        <w:rPr>
          <w:rStyle w:val="18"/>
          <w:rFonts w:ascii="仿宋" w:hAnsi="仿宋" w:eastAsia="仿宋"/>
          <w:b w:val="0"/>
          <w:bCs/>
          <w:color w:val="000000"/>
          <w:sz w:val="32"/>
          <w:szCs w:val="32"/>
        </w:rPr>
        <w:t xml:space="preserve"> </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0.72</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lang w:eastAsia="zh-CN"/>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Style w:val="18"/>
          <w:rFonts w:hint="eastAsia" w:ascii="仿宋" w:hAnsi="仿宋" w:eastAsia="仿宋"/>
          <w:b w:val="0"/>
          <w:bCs/>
          <w:color w:val="000000"/>
          <w:sz w:val="32"/>
          <w:szCs w:val="32"/>
          <w:lang w:eastAsia="zh-CN"/>
        </w:rPr>
      </w:pPr>
      <w:r>
        <w:rPr>
          <w:rStyle w:val="18"/>
          <w:rFonts w:hint="eastAsia" w:ascii="仿宋" w:hAnsi="仿宋" w:eastAsia="仿宋"/>
          <w:bCs/>
          <w:color w:val="000000"/>
          <w:sz w:val="32"/>
          <w:szCs w:val="32"/>
          <w:lang w:val="en-US" w:eastAsia="zh-CN"/>
        </w:rPr>
        <w:t>3.</w:t>
      </w:r>
      <w:r>
        <w:rPr>
          <w:rFonts w:hint="eastAsia" w:ascii="仿宋" w:hAnsi="仿宋" w:eastAsia="仿宋"/>
          <w:b/>
          <w:bCs/>
          <w:color w:val="000000" w:themeColor="text1"/>
          <w:sz w:val="32"/>
          <w:szCs w:val="32"/>
          <w14:textFill>
            <w14:solidFill>
              <w14:schemeClr w14:val="tx1"/>
            </w14:solidFill>
          </w14:textFill>
        </w:rPr>
        <w:t>卫生健康</w:t>
      </w:r>
      <w:r>
        <w:rPr>
          <w:rStyle w:val="18"/>
          <w:rFonts w:hint="eastAsia" w:ascii="仿宋" w:hAnsi="仿宋" w:eastAsia="仿宋"/>
          <w:bCs/>
          <w:color w:val="000000"/>
          <w:sz w:val="32"/>
          <w:szCs w:val="32"/>
        </w:rPr>
        <w:t>（类）基层医疗卫生机构（款）乡镇卫生院（项）</w:t>
      </w:r>
      <w:r>
        <w:rPr>
          <w:rStyle w:val="18"/>
          <w:rFonts w:ascii="仿宋" w:hAnsi="仿宋" w:eastAsia="仿宋"/>
          <w:bCs/>
          <w:color w:val="000000"/>
          <w:sz w:val="32"/>
          <w:szCs w:val="32"/>
        </w:rPr>
        <w:t>:</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64.87</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Fonts w:hint="default"/>
          <w:lang w:val="en-US"/>
        </w:rPr>
      </w:pPr>
      <w:r>
        <w:rPr>
          <w:rStyle w:val="18"/>
          <w:rFonts w:hint="eastAsia" w:ascii="仿宋" w:hAnsi="仿宋" w:eastAsia="仿宋"/>
          <w:b/>
          <w:bCs w:val="0"/>
          <w:color w:val="000000"/>
          <w:sz w:val="32"/>
          <w:szCs w:val="32"/>
          <w:lang w:val="en-US" w:eastAsia="zh-CN"/>
        </w:rPr>
        <w:t>4.</w:t>
      </w:r>
      <w:r>
        <w:rPr>
          <w:rFonts w:hint="eastAsia" w:ascii="仿宋" w:hAnsi="仿宋" w:eastAsia="仿宋"/>
          <w:b/>
          <w:bCs/>
          <w:color w:val="000000" w:themeColor="text1"/>
          <w:sz w:val="32"/>
          <w:szCs w:val="32"/>
          <w14:textFill>
            <w14:solidFill>
              <w14:schemeClr w14:val="tx1"/>
            </w14:solidFill>
          </w14:textFill>
        </w:rPr>
        <w:t>卫生健康</w:t>
      </w:r>
      <w:r>
        <w:rPr>
          <w:rStyle w:val="18"/>
          <w:rFonts w:hint="eastAsia" w:ascii="仿宋" w:hAnsi="仿宋" w:eastAsia="仿宋"/>
          <w:bCs/>
          <w:color w:val="000000"/>
          <w:sz w:val="32"/>
          <w:szCs w:val="32"/>
        </w:rPr>
        <w:t>（类）基层医疗卫生机构（款）</w:t>
      </w:r>
      <w:r>
        <w:rPr>
          <w:rStyle w:val="18"/>
          <w:rFonts w:hint="default" w:ascii="Times New Roman" w:hAnsi="Times New Roman" w:eastAsia="仿宋_GB2312" w:cs="Times New Roman"/>
          <w:b/>
          <w:bCs w:val="0"/>
          <w:sz w:val="32"/>
          <w:szCs w:val="32"/>
        </w:rPr>
        <w:t>其他基层医疗卫生机构支出（项）</w:t>
      </w:r>
      <w:r>
        <w:rPr>
          <w:rStyle w:val="18"/>
          <w:rFonts w:hint="eastAsia" w:eastAsia="仿宋_GB2312" w:cs="Times New Roman"/>
          <w:b/>
          <w:bCs w:val="0"/>
          <w:sz w:val="32"/>
          <w:szCs w:val="32"/>
          <w:lang w:val="en-US" w:eastAsia="zh-CN"/>
        </w:rPr>
        <w:t xml:space="preserve">: </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16.49</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Style w:val="18"/>
          <w:rFonts w:hint="eastAsia" w:ascii="仿宋" w:hAnsi="仿宋" w:eastAsia="仿宋"/>
          <w:b w:val="0"/>
          <w:bCs/>
          <w:color w:val="000000"/>
          <w:sz w:val="32"/>
          <w:szCs w:val="32"/>
          <w:lang w:eastAsia="zh-CN"/>
        </w:rPr>
      </w:pPr>
      <w:r>
        <w:rPr>
          <w:rFonts w:hint="eastAsia" w:ascii="仿宋" w:hAnsi="仿宋" w:eastAsia="仿宋"/>
          <w:b/>
          <w:bCs/>
          <w:color w:val="000000" w:themeColor="text1"/>
          <w:sz w:val="32"/>
          <w:szCs w:val="32"/>
          <w:lang w:val="en-US" w:eastAsia="zh-CN"/>
          <w14:textFill>
            <w14:solidFill>
              <w14:schemeClr w14:val="tx1"/>
            </w14:solidFill>
          </w14:textFill>
        </w:rPr>
        <w:t>5.</w:t>
      </w:r>
      <w:r>
        <w:rPr>
          <w:rFonts w:hint="eastAsia" w:ascii="仿宋" w:hAnsi="仿宋" w:eastAsia="仿宋"/>
          <w:b/>
          <w:bCs/>
          <w:color w:val="000000" w:themeColor="text1"/>
          <w:sz w:val="32"/>
          <w:szCs w:val="32"/>
          <w14:textFill>
            <w14:solidFill>
              <w14:schemeClr w14:val="tx1"/>
            </w14:solidFill>
          </w14:textFill>
        </w:rPr>
        <w:t>卫生健康</w:t>
      </w:r>
      <w:r>
        <w:rPr>
          <w:rStyle w:val="18"/>
          <w:rFonts w:hint="eastAsia" w:ascii="仿宋" w:hAnsi="仿宋" w:eastAsia="仿宋"/>
          <w:bCs/>
          <w:color w:val="000000"/>
          <w:sz w:val="32"/>
          <w:szCs w:val="32"/>
        </w:rPr>
        <w:t>（类）</w:t>
      </w:r>
      <w:r>
        <w:rPr>
          <w:rStyle w:val="18"/>
          <w:rFonts w:hint="default" w:ascii="Times New Roman" w:hAnsi="Times New Roman" w:eastAsia="仿宋_GB2312" w:cs="Times New Roman"/>
          <w:b/>
          <w:bCs w:val="0"/>
          <w:sz w:val="32"/>
          <w:szCs w:val="32"/>
        </w:rPr>
        <w:t>公共卫生（款）基本公共卫生服务（项）</w:t>
      </w:r>
      <w:r>
        <w:rPr>
          <w:rStyle w:val="18"/>
          <w:rFonts w:hint="eastAsia" w:eastAsia="仿宋_GB2312" w:cs="Times New Roman"/>
          <w:b/>
          <w:bCs w:val="0"/>
          <w:sz w:val="32"/>
          <w:szCs w:val="32"/>
          <w:lang w:val="en-US" w:eastAsia="zh-CN"/>
        </w:rPr>
        <w:t xml:space="preserve">: </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49.85</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Style w:val="18"/>
          <w:rFonts w:hint="eastAsia" w:ascii="仿宋" w:hAnsi="仿宋" w:eastAsia="仿宋"/>
          <w:b w:val="0"/>
          <w:bCs/>
          <w:color w:val="000000"/>
          <w:sz w:val="32"/>
          <w:szCs w:val="32"/>
          <w:lang w:eastAsia="zh-CN"/>
        </w:rPr>
      </w:pPr>
      <w:r>
        <w:rPr>
          <w:rFonts w:hint="eastAsia" w:ascii="仿宋" w:hAnsi="仿宋" w:eastAsia="仿宋"/>
          <w:b/>
          <w:bCs/>
          <w:color w:val="000000" w:themeColor="text1"/>
          <w:sz w:val="32"/>
          <w:szCs w:val="32"/>
          <w:lang w:val="en-US" w:eastAsia="zh-CN"/>
          <w14:textFill>
            <w14:solidFill>
              <w14:schemeClr w14:val="tx1"/>
            </w14:solidFill>
          </w14:textFill>
        </w:rPr>
        <w:t>6.</w:t>
      </w:r>
      <w:r>
        <w:rPr>
          <w:rFonts w:hint="eastAsia" w:ascii="仿宋" w:hAnsi="仿宋" w:eastAsia="仿宋"/>
          <w:b/>
          <w:bCs/>
          <w:color w:val="000000" w:themeColor="text1"/>
          <w:sz w:val="32"/>
          <w:szCs w:val="32"/>
          <w14:textFill>
            <w14:solidFill>
              <w14:schemeClr w14:val="tx1"/>
            </w14:solidFill>
          </w14:textFill>
        </w:rPr>
        <w:t>卫生健康</w:t>
      </w:r>
      <w:r>
        <w:rPr>
          <w:rStyle w:val="18"/>
          <w:rFonts w:hint="eastAsia" w:ascii="仿宋" w:hAnsi="仿宋" w:eastAsia="仿宋"/>
          <w:bCs/>
          <w:color w:val="000000"/>
          <w:sz w:val="32"/>
          <w:szCs w:val="32"/>
        </w:rPr>
        <w:t>（类）</w:t>
      </w:r>
      <w:r>
        <w:rPr>
          <w:rStyle w:val="18"/>
          <w:rFonts w:hint="default" w:ascii="Times New Roman" w:hAnsi="Times New Roman" w:eastAsia="仿宋_GB2312" w:cs="Times New Roman"/>
          <w:b/>
          <w:bCs w:val="0"/>
          <w:sz w:val="32"/>
          <w:szCs w:val="32"/>
        </w:rPr>
        <w:t>公共卫生（款）重大公共卫生服务（项）</w:t>
      </w:r>
      <w:r>
        <w:rPr>
          <w:rStyle w:val="18"/>
          <w:rFonts w:hint="eastAsia" w:eastAsia="仿宋_GB2312" w:cs="Times New Roman"/>
          <w:b/>
          <w:bCs w:val="0"/>
          <w:sz w:val="32"/>
          <w:szCs w:val="32"/>
          <w:lang w:val="en-US" w:eastAsia="zh-CN"/>
        </w:rPr>
        <w:t>:</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4.41</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Fonts w:hint="default" w:eastAsia="仿宋_GB2312"/>
          <w:lang w:val="en-US" w:eastAsia="zh-CN"/>
        </w:rPr>
      </w:pPr>
      <w:r>
        <w:rPr>
          <w:rFonts w:hint="eastAsia" w:ascii="仿宋" w:hAnsi="仿宋" w:eastAsia="仿宋"/>
          <w:b/>
          <w:bCs/>
          <w:color w:val="000000" w:themeColor="text1"/>
          <w:sz w:val="32"/>
          <w:szCs w:val="32"/>
          <w:lang w:val="en-US" w:eastAsia="zh-CN"/>
          <w14:textFill>
            <w14:solidFill>
              <w14:schemeClr w14:val="tx1"/>
            </w14:solidFill>
          </w14:textFill>
        </w:rPr>
        <w:t>7.</w:t>
      </w:r>
      <w:r>
        <w:rPr>
          <w:rFonts w:hint="eastAsia" w:ascii="仿宋" w:hAnsi="仿宋" w:eastAsia="仿宋"/>
          <w:b/>
          <w:bCs/>
          <w:color w:val="000000" w:themeColor="text1"/>
          <w:sz w:val="32"/>
          <w:szCs w:val="32"/>
          <w14:textFill>
            <w14:solidFill>
              <w14:schemeClr w14:val="tx1"/>
            </w14:solidFill>
          </w14:textFill>
        </w:rPr>
        <w:t>卫生健康</w:t>
      </w:r>
      <w:r>
        <w:rPr>
          <w:rStyle w:val="18"/>
          <w:rFonts w:hint="eastAsia" w:ascii="仿宋" w:hAnsi="仿宋" w:eastAsia="仿宋"/>
          <w:bCs/>
          <w:color w:val="000000"/>
          <w:sz w:val="32"/>
          <w:szCs w:val="32"/>
        </w:rPr>
        <w:t>（类）</w:t>
      </w:r>
      <w:r>
        <w:rPr>
          <w:rStyle w:val="18"/>
          <w:rFonts w:hint="default" w:ascii="Times New Roman" w:hAnsi="Times New Roman" w:eastAsia="仿宋_GB2312" w:cs="Times New Roman"/>
          <w:b/>
          <w:bCs w:val="0"/>
          <w:sz w:val="32"/>
          <w:szCs w:val="32"/>
        </w:rPr>
        <w:t>公共卫生（款）其他公共卫生支出（项）</w:t>
      </w:r>
      <w:r>
        <w:rPr>
          <w:rStyle w:val="18"/>
          <w:rFonts w:hint="eastAsia" w:eastAsia="仿宋_GB2312" w:cs="Times New Roman"/>
          <w:b/>
          <w:bCs w:val="0"/>
          <w:sz w:val="32"/>
          <w:szCs w:val="32"/>
          <w:lang w:val="en-US" w:eastAsia="zh-CN"/>
        </w:rPr>
        <w:t>:</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7.92</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Fonts w:hint="default" w:eastAsia="仿宋_GB2312"/>
          <w:lang w:val="en-US" w:eastAsia="zh-CN"/>
        </w:rPr>
      </w:pPr>
      <w:r>
        <w:rPr>
          <w:rStyle w:val="18"/>
          <w:rFonts w:hint="eastAsia" w:ascii="仿宋" w:hAnsi="仿宋" w:eastAsia="仿宋"/>
          <w:bCs/>
          <w:color w:val="000000"/>
          <w:sz w:val="32"/>
          <w:szCs w:val="32"/>
          <w:lang w:val="en-US" w:eastAsia="zh-CN"/>
        </w:rPr>
        <w:t>8.</w:t>
      </w:r>
      <w:r>
        <w:rPr>
          <w:rFonts w:hint="eastAsia" w:ascii="仿宋" w:hAnsi="仿宋" w:eastAsia="仿宋"/>
          <w:b/>
          <w:bCs/>
          <w:color w:val="000000" w:themeColor="text1"/>
          <w:sz w:val="32"/>
          <w:szCs w:val="32"/>
          <w14:textFill>
            <w14:solidFill>
              <w14:schemeClr w14:val="tx1"/>
            </w14:solidFill>
          </w14:textFill>
        </w:rPr>
        <w:t>卫生健康</w:t>
      </w:r>
      <w:r>
        <w:rPr>
          <w:rStyle w:val="18"/>
          <w:rFonts w:hint="eastAsia" w:ascii="仿宋" w:hAnsi="仿宋" w:eastAsia="仿宋"/>
          <w:bCs/>
          <w:color w:val="000000"/>
          <w:sz w:val="32"/>
          <w:szCs w:val="32"/>
        </w:rPr>
        <w:t>（类）</w:t>
      </w:r>
      <w:r>
        <w:rPr>
          <w:rStyle w:val="18"/>
          <w:rFonts w:hint="default" w:ascii="Times New Roman" w:hAnsi="Times New Roman" w:eastAsia="仿宋_GB2312" w:cs="Times New Roman"/>
          <w:b/>
          <w:bCs w:val="0"/>
          <w:sz w:val="32"/>
          <w:szCs w:val="32"/>
        </w:rPr>
        <w:t>公共卫生（款）行政事业单位医疗（款）事业单位医疗（项）</w:t>
      </w:r>
      <w:r>
        <w:rPr>
          <w:rStyle w:val="18"/>
          <w:rFonts w:hint="eastAsia" w:eastAsia="仿宋_GB2312" w:cs="Times New Roman"/>
          <w:b/>
          <w:bCs w:val="0"/>
          <w:sz w:val="32"/>
          <w:szCs w:val="32"/>
          <w:lang w:val="en-US" w:eastAsia="zh-CN"/>
        </w:rPr>
        <w:t>:</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4.22</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Fonts w:hint="default"/>
          <w:lang w:val="en-US" w:eastAsia="zh-CN"/>
        </w:rPr>
      </w:pPr>
      <w:r>
        <w:rPr>
          <w:rStyle w:val="18"/>
          <w:rFonts w:hint="eastAsia" w:ascii="仿宋" w:hAnsi="仿宋" w:eastAsia="仿宋"/>
          <w:bCs/>
          <w:color w:val="000000"/>
          <w:sz w:val="32"/>
          <w:szCs w:val="32"/>
          <w:lang w:val="en-US" w:eastAsia="zh-CN"/>
        </w:rPr>
        <w:t>9.</w:t>
      </w:r>
      <w:r>
        <w:rPr>
          <w:rFonts w:hint="eastAsia" w:ascii="仿宋" w:hAnsi="仿宋" w:eastAsia="仿宋"/>
          <w:b/>
          <w:bCs/>
          <w:color w:val="000000" w:themeColor="text1"/>
          <w:sz w:val="32"/>
          <w:szCs w:val="32"/>
          <w14:textFill>
            <w14:solidFill>
              <w14:schemeClr w14:val="tx1"/>
            </w14:solidFill>
          </w14:textFill>
        </w:rPr>
        <w:t>卫生健康</w:t>
      </w:r>
      <w:r>
        <w:rPr>
          <w:rStyle w:val="18"/>
          <w:rFonts w:hint="eastAsia" w:ascii="仿宋" w:hAnsi="仿宋" w:eastAsia="仿宋"/>
          <w:bCs/>
          <w:color w:val="000000"/>
          <w:sz w:val="32"/>
          <w:szCs w:val="32"/>
        </w:rPr>
        <w:t>（类）</w:t>
      </w:r>
      <w:r>
        <w:rPr>
          <w:rStyle w:val="18"/>
          <w:rFonts w:hint="default" w:ascii="Times New Roman" w:hAnsi="Times New Roman" w:eastAsia="仿宋_GB2312" w:cs="Times New Roman"/>
          <w:b/>
          <w:bCs w:val="0"/>
          <w:sz w:val="32"/>
          <w:szCs w:val="32"/>
        </w:rPr>
        <w:t>公共卫生（款）行政事业单位医疗（款）事业单位医疗（项）</w:t>
      </w:r>
      <w:r>
        <w:rPr>
          <w:rStyle w:val="18"/>
          <w:rFonts w:hint="eastAsia" w:eastAsia="仿宋_GB2312" w:cs="Times New Roman"/>
          <w:b/>
          <w:bCs w:val="0"/>
          <w:sz w:val="32"/>
          <w:szCs w:val="32"/>
          <w:lang w:val="en-US" w:eastAsia="zh-CN"/>
        </w:rPr>
        <w:t>:</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2.67</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spacing w:line="600" w:lineRule="exact"/>
        <w:ind w:firstLine="643" w:firstLineChars="200"/>
        <w:rPr>
          <w:rFonts w:ascii="仿宋" w:hAnsi="仿宋" w:eastAsia="仿宋"/>
          <w:b/>
          <w:color w:val="000000"/>
          <w:sz w:val="32"/>
          <w:szCs w:val="32"/>
        </w:rPr>
      </w:pPr>
      <w:r>
        <w:rPr>
          <w:rStyle w:val="18"/>
          <w:rFonts w:hint="eastAsia" w:ascii="仿宋" w:hAnsi="仿宋" w:eastAsia="仿宋"/>
          <w:bCs/>
          <w:color w:val="000000"/>
          <w:sz w:val="32"/>
          <w:szCs w:val="32"/>
          <w:lang w:val="en-US" w:eastAsia="zh-CN"/>
        </w:rPr>
        <w:t>10.</w:t>
      </w:r>
      <w:r>
        <w:rPr>
          <w:rStyle w:val="18"/>
          <w:rFonts w:hint="eastAsia" w:ascii="仿宋" w:hAnsi="仿宋" w:eastAsia="仿宋"/>
          <w:bCs/>
          <w:color w:val="000000"/>
          <w:sz w:val="32"/>
          <w:szCs w:val="32"/>
        </w:rPr>
        <w:t>住房保障支出（类）住房改革支出（款）住房公积金（项）：</w:t>
      </w:r>
      <w:r>
        <w:rPr>
          <w:rStyle w:val="18"/>
          <w:rFonts w:hint="eastAsia" w:ascii="仿宋" w:hAnsi="仿宋" w:eastAsia="仿宋"/>
          <w:b w:val="0"/>
          <w:bCs/>
          <w:color w:val="000000"/>
          <w:sz w:val="32"/>
          <w:szCs w:val="32"/>
        </w:rPr>
        <w:t>支出决算为</w:t>
      </w:r>
      <w:r>
        <w:rPr>
          <w:rStyle w:val="18"/>
          <w:rFonts w:hint="eastAsia" w:ascii="仿宋" w:hAnsi="仿宋" w:eastAsia="仿宋"/>
          <w:b w:val="0"/>
          <w:bCs/>
          <w:color w:val="000000"/>
          <w:sz w:val="32"/>
          <w:szCs w:val="32"/>
          <w:lang w:val="en-US" w:eastAsia="zh-CN"/>
        </w:rPr>
        <w:t>6.97</w:t>
      </w:r>
      <w:r>
        <w:rPr>
          <w:rStyle w:val="18"/>
          <w:rFonts w:hint="eastAsia" w:ascii="仿宋" w:hAnsi="仿宋" w:eastAsia="仿宋"/>
          <w:b w:val="0"/>
          <w:bCs/>
          <w:color w:val="000000"/>
          <w:sz w:val="32"/>
          <w:szCs w:val="32"/>
        </w:rPr>
        <w:t>万元，完成预算100</w:t>
      </w:r>
      <w:r>
        <w:rPr>
          <w:rStyle w:val="18"/>
          <w:rFonts w:ascii="仿宋" w:hAnsi="仿宋" w:eastAsia="仿宋"/>
          <w:b w:val="0"/>
          <w:bCs/>
          <w:color w:val="000000"/>
          <w:sz w:val="32"/>
          <w:szCs w:val="32"/>
        </w:rPr>
        <w:t>%</w:t>
      </w:r>
      <w:r>
        <w:rPr>
          <w:rStyle w:val="18"/>
          <w:rFonts w:hint="eastAsia" w:ascii="仿宋" w:hAnsi="仿宋" w:eastAsia="仿宋"/>
          <w:b w:val="0"/>
          <w:bCs/>
          <w:color w:val="000000"/>
          <w:sz w:val="32"/>
          <w:szCs w:val="32"/>
        </w:rPr>
        <w:t>。</w:t>
      </w:r>
      <w:r>
        <w:rPr>
          <w:rStyle w:val="18"/>
          <w:rFonts w:hint="eastAsia" w:ascii="仿宋" w:hAnsi="仿宋" w:eastAsia="仿宋"/>
          <w:b w:val="0"/>
          <w:bCs/>
          <w:color w:val="000000"/>
          <w:sz w:val="32"/>
          <w:szCs w:val="32"/>
          <w:lang w:val="en-US" w:eastAsia="zh-CN"/>
        </w:rPr>
        <w:t>决算数等于预算数</w:t>
      </w:r>
      <w:r>
        <w:rPr>
          <w:rStyle w:val="18"/>
          <w:rFonts w:hint="eastAsia" w:ascii="仿宋" w:hAnsi="仿宋" w:eastAsia="仿宋"/>
          <w:b w:val="0"/>
          <w:bCs/>
          <w:color w:val="000000"/>
          <w:sz w:val="32"/>
          <w:szCs w:val="32"/>
          <w:lang w:eastAsia="zh-CN"/>
        </w:rPr>
        <w:t>。</w:t>
      </w:r>
    </w:p>
    <w:p>
      <w:pPr>
        <w:tabs>
          <w:tab w:val="right" w:pos="8306"/>
        </w:tabs>
        <w:spacing w:line="600" w:lineRule="exact"/>
        <w:ind w:firstLine="640"/>
        <w:outlineLvl w:val="1"/>
        <w:rPr>
          <w:rStyle w:val="29"/>
        </w:rPr>
      </w:pPr>
      <w:bookmarkStart w:id="35" w:name="_Toc15396608"/>
      <w:bookmarkStart w:id="36" w:name="_Toc15377214"/>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29"/>
          <w:rFonts w:hint="eastAsia" w:ascii="黑体" w:hAnsi="黑体" w:eastAsia="黑体"/>
          <w:b w:val="0"/>
        </w:rPr>
        <w:t>般公共预算财政拨款基本支出决算情况说明</w:t>
      </w:r>
      <w:bookmarkEnd w:id="35"/>
      <w:bookmarkEnd w:id="36"/>
      <w:r>
        <w:rPr>
          <w:rStyle w:val="29"/>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年一般公共预算财政拨款基本支出</w:t>
      </w:r>
      <w:r>
        <w:rPr>
          <w:rFonts w:hint="eastAsia" w:ascii="仿宋" w:hAnsi="仿宋" w:eastAsia="仿宋"/>
          <w:sz w:val="32"/>
          <w:szCs w:val="32"/>
          <w:lang w:val="en-US" w:eastAsia="zh-CN"/>
        </w:rPr>
        <w:t>85.59</w:t>
      </w:r>
      <w:r>
        <w:rPr>
          <w:rFonts w:hint="eastAsia" w:ascii="仿宋" w:hAnsi="仿宋" w:eastAsia="仿宋"/>
          <w:sz w:val="32"/>
          <w:szCs w:val="32"/>
        </w:rPr>
        <w:t>万元，其中：</w:t>
      </w:r>
    </w:p>
    <w:p>
      <w:pPr>
        <w:spacing w:line="600" w:lineRule="exact"/>
        <w:ind w:firstLine="645"/>
        <w:rPr>
          <w:rFonts w:hint="eastAsia" w:ascii="仿宋" w:hAnsi="仿宋" w:eastAsia="仿宋"/>
          <w:sz w:val="32"/>
          <w:szCs w:val="32"/>
        </w:rPr>
      </w:pPr>
      <w:r>
        <w:rPr>
          <w:rFonts w:hint="eastAsia" w:ascii="仿宋" w:hAnsi="仿宋" w:eastAsia="仿宋"/>
          <w:sz w:val="32"/>
          <w:szCs w:val="32"/>
        </w:rPr>
        <w:t>人员经费</w:t>
      </w:r>
      <w:r>
        <w:rPr>
          <w:rFonts w:hint="eastAsia" w:ascii="仿宋" w:hAnsi="仿宋" w:eastAsia="仿宋"/>
          <w:sz w:val="32"/>
          <w:szCs w:val="32"/>
          <w:lang w:val="en-US" w:eastAsia="zh-CN"/>
        </w:rPr>
        <w:t>85.47</w:t>
      </w:r>
      <w:r>
        <w:rPr>
          <w:rFonts w:hint="eastAsia" w:ascii="仿宋" w:hAnsi="仿宋" w:eastAsia="仿宋"/>
          <w:sz w:val="32"/>
          <w:szCs w:val="32"/>
        </w:rPr>
        <w:t>万元，主要包括：基本工资、津贴补贴、奖金、伙食补助费、绩效工资、机关事业单位基本养老保险缴费、职业年金缴费、其他社会保障缴费、其他工资福利支出、生活补助、医疗费补助、奖励金、住房公积金、其他对个人和家庭的补助支出等。</w:t>
      </w:r>
    </w:p>
    <w:p>
      <w:pPr>
        <w:spacing w:line="600" w:lineRule="exact"/>
        <w:ind w:firstLine="645"/>
        <w:rPr>
          <w:rFonts w:ascii="仿宋" w:hAnsi="仿宋" w:eastAsia="仿宋"/>
          <w:sz w:val="32"/>
          <w:szCs w:val="32"/>
        </w:rPr>
      </w:pPr>
      <w:r>
        <w:rPr>
          <w:rFonts w:hint="eastAsia" w:ascii="仿宋" w:hAnsi="仿宋" w:eastAsia="仿宋"/>
          <w:sz w:val="32"/>
          <w:szCs w:val="32"/>
        </w:rPr>
        <w:t>公用经费</w:t>
      </w:r>
      <w:r>
        <w:rPr>
          <w:rFonts w:hint="eastAsia" w:ascii="仿宋" w:hAnsi="仿宋" w:eastAsia="仿宋"/>
          <w:sz w:val="32"/>
          <w:szCs w:val="32"/>
          <w:lang w:val="en-US" w:eastAsia="zh-CN"/>
        </w:rPr>
        <w:t>0.12</w:t>
      </w:r>
      <w:r>
        <w:rPr>
          <w:rFonts w:hint="eastAsia" w:ascii="仿宋" w:hAnsi="仿宋" w:eastAsia="仿宋"/>
          <w:sz w:val="32"/>
          <w:szCs w:val="32"/>
        </w:rPr>
        <w:t>万元，主要包括：维修（护）费。</w:t>
      </w:r>
    </w:p>
    <w:p>
      <w:pPr>
        <w:spacing w:line="600" w:lineRule="exact"/>
        <w:ind w:firstLine="640"/>
        <w:outlineLvl w:val="1"/>
        <w:rPr>
          <w:rStyle w:val="29"/>
          <w:rFonts w:ascii="黑体" w:hAnsi="黑体" w:eastAsia="黑体"/>
          <w:b w:val="0"/>
        </w:rPr>
      </w:pPr>
      <w:bookmarkStart w:id="37" w:name="_Toc15377215"/>
      <w:bookmarkStart w:id="38" w:name="_Toc15396609"/>
      <w:r>
        <w:rPr>
          <w:rFonts w:hint="eastAsia" w:ascii="黑体" w:eastAsia="黑体"/>
          <w:sz w:val="32"/>
          <w:szCs w:val="32"/>
        </w:rPr>
        <w:t>七、</w:t>
      </w:r>
      <w:r>
        <w:rPr>
          <w:rStyle w:val="29"/>
          <w:rFonts w:hint="eastAsia" w:ascii="黑体" w:hAnsi="黑体" w:eastAsia="黑体"/>
        </w:rPr>
        <w:t>“</w:t>
      </w:r>
      <w:r>
        <w:rPr>
          <w:rStyle w:val="29"/>
          <w:rFonts w:hint="eastAsia" w:ascii="黑体" w:hAnsi="黑体" w:eastAsia="黑体"/>
          <w:b w:val="0"/>
        </w:rPr>
        <w:t>三公”经费财政拨款支出决算情况说明</w:t>
      </w:r>
      <w:bookmarkEnd w:id="37"/>
      <w:bookmarkEnd w:id="38"/>
    </w:p>
    <w:p>
      <w:pPr>
        <w:spacing w:line="600" w:lineRule="exact"/>
        <w:ind w:firstLine="640"/>
        <w:outlineLvl w:val="2"/>
        <w:rPr>
          <w:rFonts w:ascii="仿宋" w:hAnsi="仿宋" w:eastAsia="仿宋"/>
          <w:b/>
          <w:sz w:val="32"/>
          <w:szCs w:val="32"/>
        </w:rPr>
      </w:pPr>
      <w:bookmarkStart w:id="39" w:name="_Toc15377216"/>
      <w:r>
        <w:rPr>
          <w:rFonts w:hint="eastAsia" w:ascii="仿宋" w:hAnsi="仿宋" w:eastAsia="仿宋"/>
          <w:b/>
          <w:sz w:val="32"/>
          <w:szCs w:val="32"/>
        </w:rPr>
        <w:t>（一）“三公”经费财政拨款支出决算总体情况说明</w:t>
      </w:r>
      <w:bookmarkEnd w:id="39"/>
    </w:p>
    <w:p>
      <w:pPr>
        <w:spacing w:line="600" w:lineRule="exact"/>
        <w:ind w:firstLine="640"/>
        <w:rPr>
          <w:rFonts w:hint="eastAsia"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年“三公”经费财政拨款支出决算为</w:t>
      </w:r>
      <w:r>
        <w:rPr>
          <w:rFonts w:hint="eastAsia" w:ascii="仿宋" w:hAnsi="仿宋" w:eastAsia="仿宋"/>
          <w:sz w:val="32"/>
          <w:szCs w:val="32"/>
          <w:lang w:val="en-US" w:eastAsia="zh-CN"/>
        </w:rPr>
        <w:t>0</w:t>
      </w:r>
      <w:r>
        <w:rPr>
          <w:rFonts w:hint="eastAsia" w:ascii="仿宋" w:hAnsi="仿宋" w:eastAsia="仿宋"/>
          <w:sz w:val="32"/>
          <w:szCs w:val="32"/>
        </w:rPr>
        <w:t>万元</w:t>
      </w:r>
    </w:p>
    <w:p>
      <w:pPr>
        <w:spacing w:line="600" w:lineRule="exact"/>
        <w:ind w:firstLine="640"/>
        <w:outlineLvl w:val="2"/>
        <w:rPr>
          <w:rFonts w:ascii="仿宋" w:hAnsi="仿宋" w:eastAsia="仿宋"/>
          <w:b/>
          <w:sz w:val="32"/>
          <w:szCs w:val="32"/>
        </w:rPr>
      </w:pPr>
      <w:bookmarkStart w:id="40" w:name="_Toc15377217"/>
      <w:r>
        <w:rPr>
          <w:rFonts w:hint="eastAsia" w:ascii="仿宋" w:hAnsi="仿宋" w:eastAsia="仿宋"/>
          <w:b/>
          <w:sz w:val="32"/>
          <w:szCs w:val="32"/>
        </w:rPr>
        <w:t>（二）“三公”经费财政拨款支出决算具体情况说明</w:t>
      </w:r>
      <w:bookmarkEnd w:id="40"/>
    </w:p>
    <w:p>
      <w:pPr>
        <w:pStyle w:val="2"/>
        <w:rPr>
          <w:rFonts w:hint="eastAsia" w:ascii="仿宋" w:hAnsi="仿宋" w:eastAsia="仿宋"/>
          <w:sz w:val="32"/>
          <w:szCs w:val="32"/>
        </w:rPr>
      </w:pPr>
      <w:r>
        <w:rPr>
          <w:rFonts w:ascii="仿宋" w:hAnsi="仿宋" w:eastAsia="仿宋"/>
          <w:sz w:val="32"/>
          <w:szCs w:val="32"/>
        </w:rPr>
        <w:t>20</w:t>
      </w:r>
      <w:r>
        <w:rPr>
          <w:rFonts w:hint="eastAsia" w:ascii="仿宋" w:hAnsi="仿宋" w:eastAsia="仿宋"/>
          <w:sz w:val="32"/>
          <w:szCs w:val="32"/>
        </w:rPr>
        <w:t>2</w:t>
      </w:r>
      <w:r>
        <w:rPr>
          <w:rFonts w:hint="eastAsia" w:ascii="仿宋" w:hAnsi="仿宋" w:eastAsia="仿宋"/>
          <w:sz w:val="32"/>
          <w:szCs w:val="32"/>
          <w:lang w:val="en-US" w:eastAsia="zh-CN"/>
        </w:rPr>
        <w:t>2</w:t>
      </w:r>
      <w:r>
        <w:rPr>
          <w:rFonts w:hint="eastAsia" w:ascii="仿宋" w:hAnsi="仿宋" w:eastAsia="仿宋"/>
          <w:sz w:val="32"/>
          <w:szCs w:val="32"/>
        </w:rPr>
        <w:t>年“三公”经费财政拨款支出决算中，因公出国（境）费支出决算</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；公务用车购置及运行维护费支出决算</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；公务接待费支出决算</w:t>
      </w:r>
      <w:r>
        <w:rPr>
          <w:rFonts w:hint="eastAsia" w:ascii="仿宋" w:hAnsi="仿宋" w:eastAsia="仿宋"/>
          <w:sz w:val="32"/>
          <w:szCs w:val="32"/>
          <w:lang w:val="en-US" w:eastAsia="zh-CN"/>
        </w:rPr>
        <w:t>0</w:t>
      </w:r>
      <w:r>
        <w:rPr>
          <w:rFonts w:hint="eastAsia" w:ascii="仿宋" w:hAnsi="仿宋" w:eastAsia="仿宋"/>
          <w:sz w:val="32"/>
          <w:szCs w:val="32"/>
        </w:rPr>
        <w:t>万元，占</w:t>
      </w:r>
      <w:r>
        <w:rPr>
          <w:rFonts w:hint="eastAsia" w:ascii="仿宋" w:hAnsi="仿宋" w:eastAsia="仿宋"/>
          <w:sz w:val="32"/>
          <w:szCs w:val="32"/>
          <w:lang w:val="en-US" w:eastAsia="zh-CN"/>
        </w:rPr>
        <w:t>0</w:t>
      </w:r>
      <w:r>
        <w:rPr>
          <w:rFonts w:ascii="仿宋" w:hAnsi="仿宋" w:eastAsia="仿宋"/>
          <w:sz w:val="32"/>
          <w:szCs w:val="32"/>
        </w:rPr>
        <w:t>%</w:t>
      </w:r>
      <w:r>
        <w:rPr>
          <w:rFonts w:hint="eastAsia" w:ascii="仿宋" w:hAnsi="仿宋" w:eastAsia="仿宋"/>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_GB2312" w:eastAsia="仿宋_GB2312"/>
          <w:sz w:val="32"/>
          <w:szCs w:val="32"/>
        </w:rPr>
      </w:pPr>
      <w:r>
        <w:rPr>
          <w:rFonts w:hint="eastAsia" w:ascii="仿宋_GB2312" w:eastAsia="仿宋_GB2312"/>
          <w:b/>
          <w:sz w:val="32"/>
          <w:szCs w:val="32"/>
          <w:lang w:val="en-US" w:eastAsia="zh-CN"/>
        </w:rPr>
        <w:t>1.</w:t>
      </w:r>
      <w:r>
        <w:rPr>
          <w:rFonts w:hint="eastAsia" w:ascii="仿宋_GB2312" w:eastAsia="仿宋_GB2312"/>
          <w:b/>
          <w:sz w:val="32"/>
          <w:szCs w:val="32"/>
        </w:rPr>
        <w:t>因公出国（境）经费支出</w:t>
      </w:r>
      <w:r>
        <w:rPr>
          <w:rFonts w:hint="eastAsia" w:ascii="仿宋_GB2312" w:eastAsia="仿宋_GB2312"/>
          <w:sz w:val="32"/>
          <w:szCs w:val="32"/>
          <w:lang w:val="en-US" w:eastAsia="zh-CN"/>
        </w:rPr>
        <w:t>0</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rStyle w:val="18"/>
          <w:rFonts w:hint="eastAsia" w:ascii="仿宋" w:hAnsi="仿宋" w:eastAsia="仿宋"/>
          <w:b w:val="0"/>
          <w:bCs/>
          <w:sz w:val="32"/>
          <w:szCs w:val="32"/>
          <w:lang w:val="en-US" w:eastAsia="zh-CN"/>
        </w:rPr>
        <w:t>0</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全年安排因公出国（境）团组</w:t>
      </w:r>
      <w:r>
        <w:rPr>
          <w:rFonts w:hint="eastAsia" w:ascii="仿宋_GB2312" w:eastAsia="仿宋_GB2312"/>
          <w:sz w:val="32"/>
          <w:szCs w:val="32"/>
          <w:lang w:val="en-US" w:eastAsia="zh-CN"/>
        </w:rPr>
        <w:t>0</w:t>
      </w:r>
      <w:r>
        <w:rPr>
          <w:rFonts w:hint="eastAsia" w:ascii="仿宋_GB2312" w:eastAsia="仿宋_GB2312"/>
          <w:sz w:val="32"/>
          <w:szCs w:val="32"/>
        </w:rPr>
        <w:t>次，出国（境）</w:t>
      </w:r>
      <w:r>
        <w:rPr>
          <w:rFonts w:hint="eastAsia" w:ascii="仿宋_GB2312" w:eastAsia="仿宋_GB2312"/>
          <w:sz w:val="32"/>
          <w:szCs w:val="32"/>
          <w:lang w:val="en-US" w:eastAsia="zh-CN"/>
        </w:rPr>
        <w:t>0</w:t>
      </w:r>
      <w:r>
        <w:rPr>
          <w:rFonts w:hint="eastAsia" w:ascii="仿宋_GB2312" w:eastAsia="仿宋_GB2312"/>
          <w:sz w:val="32"/>
          <w:szCs w:val="32"/>
        </w:rPr>
        <w:t>人。</w:t>
      </w:r>
    </w:p>
    <w:p>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lang w:val="en-US" w:eastAsia="zh-CN"/>
        </w:rPr>
        <w:t>0</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rStyle w:val="18"/>
          <w:rFonts w:hint="eastAsia" w:ascii="仿宋" w:hAnsi="仿宋" w:eastAsia="仿宋"/>
          <w:b w:val="0"/>
          <w:bCs/>
          <w:sz w:val="32"/>
          <w:szCs w:val="32"/>
          <w:lang w:val="en-US" w:eastAsia="zh-CN"/>
        </w:rPr>
        <w:t>0</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公务用车购置及运行维护费支出决算比</w:t>
      </w: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1</w:t>
      </w:r>
      <w:r>
        <w:rPr>
          <w:rFonts w:hint="eastAsia" w:ascii="仿宋_GB2312" w:eastAsia="仿宋_GB2312"/>
          <w:sz w:val="32"/>
          <w:szCs w:val="32"/>
        </w:rPr>
        <w:t>年</w:t>
      </w:r>
      <w:r>
        <w:rPr>
          <w:rFonts w:hint="eastAsia" w:ascii="仿宋_GB2312" w:eastAsia="仿宋_GB2312"/>
          <w:sz w:val="32"/>
          <w:szCs w:val="32"/>
          <w:lang w:eastAsia="zh-CN"/>
        </w:rPr>
        <w:t>减少</w:t>
      </w:r>
      <w:r>
        <w:rPr>
          <w:rFonts w:hint="eastAsia" w:ascii="仿宋_GB2312" w:eastAsia="仿宋_GB2312"/>
          <w:sz w:val="32"/>
          <w:szCs w:val="32"/>
          <w:lang w:val="en-US" w:eastAsia="zh-CN"/>
        </w:rPr>
        <w:t>0.07</w:t>
      </w:r>
      <w:r>
        <w:rPr>
          <w:rFonts w:hint="eastAsia" w:ascii="仿宋_GB2312" w:eastAsia="仿宋_GB2312"/>
          <w:sz w:val="32"/>
          <w:szCs w:val="32"/>
        </w:rPr>
        <w:t>万元，</w:t>
      </w:r>
      <w:r>
        <w:rPr>
          <w:rFonts w:hint="eastAsia" w:ascii="仿宋_GB2312" w:eastAsia="仿宋_GB2312"/>
          <w:sz w:val="32"/>
          <w:szCs w:val="32"/>
          <w:lang w:eastAsia="zh-CN"/>
        </w:rPr>
        <w:t>减少</w:t>
      </w:r>
      <w:r>
        <w:rPr>
          <w:rFonts w:hint="eastAsia" w:ascii="仿宋_GB2312" w:eastAsia="仿宋_GB2312"/>
          <w:sz w:val="32"/>
          <w:szCs w:val="32"/>
          <w:lang w:val="en-US" w:eastAsia="zh-CN"/>
        </w:rPr>
        <w:t>100</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eastAsia="zh-CN"/>
        </w:rPr>
        <w:t>无公务用车购置及运行维护费</w:t>
      </w:r>
      <w:r>
        <w:rPr>
          <w:rFonts w:hint="eastAsia" w:ascii="仿宋_GB2312" w:eastAsia="仿宋_GB2312"/>
          <w:color w:val="000000"/>
          <w:sz w:val="32"/>
          <w:szCs w:val="32"/>
        </w:rPr>
        <w:t>支出</w:t>
      </w:r>
      <w:r>
        <w:rPr>
          <w:rFonts w:hint="eastAsia" w:ascii="仿宋_GB2312" w:eastAsia="仿宋_GB2312"/>
          <w:sz w:val="32"/>
          <w:szCs w:val="32"/>
        </w:rPr>
        <w:t>。</w:t>
      </w:r>
    </w:p>
    <w:p>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lang w:val="en-US" w:eastAsia="zh-CN"/>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w:t>
      </w: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2</w:t>
      </w:r>
      <w:r>
        <w:rPr>
          <w:rFonts w:hint="eastAsia" w:ascii="仿宋_GB2312" w:eastAsia="仿宋_GB2312"/>
          <w:sz w:val="32"/>
          <w:szCs w:val="32"/>
        </w:rPr>
        <w:t>年</w:t>
      </w:r>
      <w:r>
        <w:rPr>
          <w:rFonts w:ascii="仿宋_GB2312" w:eastAsia="仿宋_GB2312"/>
          <w:sz w:val="32"/>
          <w:szCs w:val="32"/>
        </w:rPr>
        <w:t>12</w:t>
      </w:r>
      <w:r>
        <w:rPr>
          <w:rFonts w:hint="eastAsia" w:ascii="仿宋_GB2312" w:eastAsia="仿宋_GB2312"/>
          <w:sz w:val="32"/>
          <w:szCs w:val="32"/>
        </w:rPr>
        <w:t>月底，单位共有公务用车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辆、越野车</w:t>
      </w:r>
      <w:r>
        <w:rPr>
          <w:rFonts w:hint="eastAsia" w:ascii="仿宋_GB2312" w:eastAsia="仿宋_GB2312"/>
          <w:sz w:val="32"/>
          <w:szCs w:val="32"/>
          <w:lang w:val="en-US" w:eastAsia="zh-CN"/>
        </w:rPr>
        <w:t>0</w:t>
      </w:r>
      <w:r>
        <w:rPr>
          <w:rFonts w:hint="eastAsia" w:ascii="仿宋_GB2312" w:eastAsia="仿宋_GB2312"/>
          <w:sz w:val="32"/>
          <w:szCs w:val="32"/>
        </w:rPr>
        <w:t>辆、载客汽车</w:t>
      </w:r>
      <w:r>
        <w:rPr>
          <w:rFonts w:hint="eastAsia" w:ascii="仿宋_GB2312" w:eastAsia="仿宋_GB2312"/>
          <w:sz w:val="32"/>
          <w:szCs w:val="32"/>
          <w:lang w:val="en-US" w:eastAsia="zh-CN"/>
        </w:rPr>
        <w:t>0</w:t>
      </w:r>
      <w:r>
        <w:rPr>
          <w:rFonts w:hint="eastAsia" w:ascii="仿宋_GB2312" w:eastAsia="仿宋_GB2312"/>
          <w:sz w:val="32"/>
          <w:szCs w:val="32"/>
        </w:rPr>
        <w:t>辆。</w:t>
      </w:r>
    </w:p>
    <w:p>
      <w:pPr>
        <w:spacing w:line="600" w:lineRule="exact"/>
        <w:ind w:firstLine="640"/>
        <w:rPr>
          <w:rFonts w:hint="eastAsia" w:ascii="仿宋_GB2312" w:eastAsia="仿宋_GB2312"/>
          <w:color w:val="000000"/>
          <w:sz w:val="32"/>
          <w:szCs w:val="32"/>
        </w:rPr>
      </w:pPr>
      <w:r>
        <w:rPr>
          <w:rFonts w:hint="eastAsia" w:ascii="仿宋_GB2312" w:eastAsia="仿宋_GB2312"/>
          <w:b/>
          <w:sz w:val="32"/>
          <w:szCs w:val="32"/>
        </w:rPr>
        <w:t>公务用车运行维护费支出</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color w:val="000000"/>
          <w:sz w:val="32"/>
          <w:szCs w:val="32"/>
        </w:rPr>
        <w:t>主要用于紧急救护、下村体检、运送医疗废物等所需的公务用车燃料费、维修费、过路过桥费、保险费等支出。</w:t>
      </w:r>
    </w:p>
    <w:p>
      <w:pPr>
        <w:spacing w:line="600" w:lineRule="exact"/>
        <w:ind w:firstLine="640"/>
        <w:rPr>
          <w:rFonts w:ascii="仿宋_GB2312" w:eastAsia="仿宋_GB2312"/>
          <w:sz w:val="32"/>
          <w:szCs w:val="32"/>
        </w:rPr>
      </w:pPr>
      <w:r>
        <w:rPr>
          <w:rFonts w:hint="eastAsia" w:ascii="仿宋_GB2312" w:eastAsia="仿宋_GB2312"/>
          <w:b/>
          <w:bCs/>
          <w:color w:val="000000"/>
          <w:sz w:val="32"/>
          <w:szCs w:val="32"/>
          <w:lang w:val="en-US" w:eastAsia="zh-CN"/>
        </w:rPr>
        <w:t>3.</w:t>
      </w:r>
      <w:r>
        <w:rPr>
          <w:rFonts w:hint="eastAsia" w:ascii="仿宋_GB2312" w:eastAsia="仿宋_GB2312"/>
          <w:b/>
          <w:sz w:val="32"/>
          <w:szCs w:val="32"/>
        </w:rPr>
        <w:t>公务接待费支出</w:t>
      </w:r>
      <w:r>
        <w:rPr>
          <w:rFonts w:hint="eastAsia" w:ascii="仿宋_GB2312" w:eastAsia="仿宋_GB2312"/>
          <w:sz w:val="32"/>
          <w:szCs w:val="32"/>
          <w:lang w:val="en-US" w:eastAsia="zh-CN"/>
        </w:rPr>
        <w:t>0</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rStyle w:val="18"/>
          <w:rFonts w:hint="eastAsia" w:ascii="仿宋" w:hAnsi="仿宋" w:eastAsia="仿宋"/>
          <w:b w:val="0"/>
          <w:bCs/>
          <w:sz w:val="32"/>
          <w:szCs w:val="32"/>
          <w:lang w:val="en-US" w:eastAsia="zh-CN"/>
        </w:rPr>
        <w:t>0</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公务接待费支出决算</w:t>
      </w:r>
      <w:r>
        <w:rPr>
          <w:rFonts w:hint="eastAsia" w:ascii="仿宋_GB2312" w:eastAsia="仿宋_GB2312"/>
          <w:sz w:val="32"/>
          <w:szCs w:val="32"/>
          <w:lang w:eastAsia="zh-CN"/>
        </w:rPr>
        <w:t>与</w:t>
      </w: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1</w:t>
      </w:r>
      <w:r>
        <w:rPr>
          <w:rFonts w:hint="eastAsia" w:ascii="仿宋_GB2312" w:eastAsia="仿宋_GB2312"/>
          <w:sz w:val="32"/>
          <w:szCs w:val="32"/>
        </w:rPr>
        <w:t>年</w:t>
      </w:r>
      <w:r>
        <w:rPr>
          <w:rFonts w:hint="eastAsia" w:ascii="仿宋_GB2312" w:eastAsia="仿宋_GB2312"/>
          <w:sz w:val="32"/>
          <w:szCs w:val="32"/>
          <w:lang w:eastAsia="zh-CN"/>
        </w:rPr>
        <w:t>决算数持平。</w:t>
      </w:r>
      <w:r>
        <w:rPr>
          <w:rFonts w:hint="eastAsia" w:ascii="仿宋_GB2312" w:eastAsia="仿宋_GB2312"/>
          <w:sz w:val="32"/>
          <w:szCs w:val="32"/>
        </w:rPr>
        <w:t>其中：</w:t>
      </w:r>
    </w:p>
    <w:p>
      <w:pPr>
        <w:spacing w:line="600" w:lineRule="exact"/>
        <w:ind w:firstLine="640"/>
        <w:rPr>
          <w:rFonts w:hint="eastAsia" w:ascii="仿宋_GB2312" w:eastAsia="仿宋_GB2312"/>
          <w:sz w:val="32"/>
          <w:szCs w:val="32"/>
          <w:lang w:val="en-US" w:eastAsia="zh-CN"/>
        </w:rPr>
      </w:pPr>
      <w:r>
        <w:rPr>
          <w:rFonts w:hint="eastAsia" w:ascii="仿宋" w:hAnsi="仿宋" w:eastAsia="仿宋"/>
          <w:b/>
          <w:sz w:val="32"/>
          <w:szCs w:val="32"/>
        </w:rPr>
        <w:t>国内公务接待支出</w:t>
      </w:r>
      <w:r>
        <w:rPr>
          <w:rFonts w:hint="eastAsia" w:ascii="仿宋" w:hAnsi="仿宋" w:eastAsia="仿宋"/>
          <w:sz w:val="32"/>
          <w:szCs w:val="32"/>
          <w:lang w:val="en-US" w:eastAsia="zh-CN"/>
        </w:rPr>
        <w:t>0</w:t>
      </w:r>
      <w:r>
        <w:rPr>
          <w:rFonts w:hint="eastAsia" w:ascii="仿宋_GB2312" w:eastAsia="仿宋_GB2312"/>
          <w:sz w:val="32"/>
          <w:szCs w:val="32"/>
        </w:rPr>
        <w:t>万元，主要用于(执行公务、开展业务活动开支的交通费、住宿费、用餐费等)。国内公务接待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人次（不包括陪同人员），共计支出</w:t>
      </w:r>
      <w:r>
        <w:rPr>
          <w:rFonts w:hint="eastAsia" w:ascii="仿宋_GB2312" w:eastAsia="仿宋_GB2312"/>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eastAsia="zh-CN"/>
        </w:rPr>
        <w:t>。</w:t>
      </w:r>
    </w:p>
    <w:p>
      <w:pPr>
        <w:spacing w:line="600" w:lineRule="exact"/>
        <w:ind w:firstLine="640"/>
        <w:outlineLvl w:val="1"/>
        <w:rPr>
          <w:rFonts w:hint="eastAsia" w:ascii="仿宋_GB2312" w:eastAsia="仿宋_GB2312"/>
          <w:sz w:val="32"/>
          <w:szCs w:val="32"/>
          <w:lang w:eastAsia="zh-CN"/>
        </w:rPr>
      </w:pPr>
      <w:r>
        <w:rPr>
          <w:rFonts w:hint="eastAsia" w:ascii="仿宋" w:hAnsi="仿宋" w:eastAsia="仿宋"/>
          <w:b/>
          <w:sz w:val="32"/>
          <w:szCs w:val="32"/>
        </w:rPr>
        <w:t>外事接待支出</w:t>
      </w:r>
      <w:r>
        <w:rPr>
          <w:rFonts w:hint="eastAsia" w:ascii="仿宋" w:hAnsi="仿宋" w:eastAsia="仿宋"/>
          <w:sz w:val="32"/>
          <w:szCs w:val="32"/>
          <w:lang w:val="en-US" w:eastAsia="zh-CN"/>
        </w:rPr>
        <w:t>0</w:t>
      </w:r>
      <w:r>
        <w:rPr>
          <w:rFonts w:hint="eastAsia" w:ascii="仿宋_GB2312" w:eastAsia="仿宋_GB2312"/>
          <w:sz w:val="32"/>
          <w:szCs w:val="32"/>
        </w:rPr>
        <w:t>万元，外事接待</w:t>
      </w:r>
      <w:r>
        <w:rPr>
          <w:rFonts w:hint="eastAsia" w:ascii="仿宋_GB2312" w:eastAsia="仿宋_GB2312"/>
          <w:sz w:val="32"/>
          <w:szCs w:val="32"/>
          <w:lang w:val="en-US" w:eastAsia="zh-CN"/>
        </w:rPr>
        <w:t>0</w:t>
      </w:r>
      <w:r>
        <w:rPr>
          <w:rFonts w:hint="eastAsia" w:ascii="仿宋_GB2312" w:eastAsia="仿宋_GB2312"/>
          <w:sz w:val="32"/>
          <w:szCs w:val="32"/>
        </w:rPr>
        <w:t>批次，</w:t>
      </w:r>
      <w:r>
        <w:rPr>
          <w:rFonts w:hint="eastAsia" w:ascii="仿宋_GB2312" w:eastAsia="仿宋_GB2312"/>
          <w:sz w:val="32"/>
          <w:szCs w:val="32"/>
          <w:lang w:val="en-US" w:eastAsia="zh-CN"/>
        </w:rPr>
        <w:t>0</w:t>
      </w:r>
      <w:r>
        <w:rPr>
          <w:rFonts w:hint="eastAsia" w:ascii="仿宋_GB2312" w:eastAsia="仿宋_GB2312"/>
          <w:sz w:val="32"/>
          <w:szCs w:val="32"/>
        </w:rPr>
        <w:t>人，共计支出</w:t>
      </w:r>
      <w:r>
        <w:rPr>
          <w:rFonts w:hint="eastAsia" w:ascii="仿宋_GB2312" w:eastAsia="仿宋_GB2312"/>
          <w:sz w:val="32"/>
          <w:szCs w:val="32"/>
          <w:lang w:val="en-US" w:eastAsia="zh-CN"/>
        </w:rPr>
        <w:t>0</w:t>
      </w:r>
      <w:r>
        <w:rPr>
          <w:rFonts w:hint="eastAsia" w:ascii="仿宋_GB2312" w:eastAsia="仿宋_GB2312"/>
          <w:sz w:val="32"/>
          <w:szCs w:val="32"/>
        </w:rPr>
        <w:t>万元</w:t>
      </w:r>
      <w:bookmarkStart w:id="41" w:name="_Toc15377218"/>
      <w:bookmarkStart w:id="42" w:name="_Toc15396610"/>
      <w:r>
        <w:rPr>
          <w:rFonts w:hint="eastAsia" w:ascii="仿宋_GB2312" w:eastAsia="仿宋_GB2312"/>
          <w:sz w:val="32"/>
          <w:szCs w:val="32"/>
          <w:lang w:eastAsia="zh-CN"/>
        </w:rPr>
        <w:t>。</w:t>
      </w:r>
    </w:p>
    <w:p>
      <w:pPr>
        <w:spacing w:line="600" w:lineRule="exact"/>
        <w:ind w:firstLine="640"/>
        <w:outlineLvl w:val="1"/>
        <w:rPr>
          <w:rStyle w:val="29"/>
          <w:rFonts w:ascii="黑体" w:hAnsi="黑体" w:eastAsia="黑体"/>
        </w:rPr>
      </w:pPr>
      <w:r>
        <w:rPr>
          <w:rFonts w:hint="eastAsia" w:ascii="黑体" w:eastAsia="黑体"/>
          <w:sz w:val="32"/>
          <w:szCs w:val="32"/>
        </w:rPr>
        <w:t>八、</w:t>
      </w:r>
      <w:r>
        <w:rPr>
          <w:rStyle w:val="29"/>
          <w:rFonts w:hint="eastAsia" w:ascii="黑体" w:hAnsi="黑体" w:eastAsia="黑体"/>
          <w:b w:val="0"/>
        </w:rPr>
        <w:t>政府性基金预算支出决算情况说明</w:t>
      </w:r>
      <w:bookmarkEnd w:id="41"/>
      <w:bookmarkEnd w:id="42"/>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2</w:t>
      </w:r>
      <w:r>
        <w:rPr>
          <w:rFonts w:hint="eastAsia" w:ascii="仿宋_GB2312" w:eastAsia="仿宋_GB2312"/>
          <w:sz w:val="32"/>
          <w:szCs w:val="32"/>
        </w:rPr>
        <w:t>年政府性基金预算财政拨款支出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numPr>
          <w:ilvl w:val="0"/>
          <w:numId w:val="3"/>
        </w:numPr>
        <w:spacing w:line="600" w:lineRule="exact"/>
        <w:ind w:firstLine="640"/>
        <w:outlineLvl w:val="1"/>
        <w:rPr>
          <w:rStyle w:val="29"/>
          <w:rFonts w:ascii="黑体" w:hAnsi="黑体" w:eastAsia="黑体"/>
          <w:b w:val="0"/>
        </w:rPr>
      </w:pPr>
      <w:bookmarkStart w:id="43" w:name="_Toc15377219"/>
      <w:bookmarkStart w:id="44" w:name="_Toc15396611"/>
      <w:r>
        <w:rPr>
          <w:rStyle w:val="29"/>
          <w:rFonts w:hint="eastAsia" w:ascii="黑体" w:hAnsi="黑体" w:eastAsia="黑体"/>
          <w:b w:val="0"/>
        </w:rPr>
        <w:t>国有资本经营预算支出决算情况说明</w:t>
      </w:r>
      <w:bookmarkEnd w:id="43"/>
      <w:bookmarkEnd w:id="44"/>
    </w:p>
    <w:p>
      <w:pPr>
        <w:spacing w:line="600" w:lineRule="exact"/>
        <w:ind w:firstLine="640"/>
        <w:rPr>
          <w:rFonts w:ascii="方正小标宋简体" w:hAnsi="方正小标宋简体" w:eastAsia="方正小标宋简体" w:cs="方正小标宋简体"/>
          <w:sz w:val="44"/>
          <w:szCs w:val="44"/>
        </w:rPr>
      </w:pP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2</w:t>
      </w:r>
      <w:r>
        <w:rPr>
          <w:rFonts w:hint="eastAsia" w:ascii="仿宋_GB2312" w:eastAsia="仿宋_GB2312"/>
          <w:sz w:val="32"/>
          <w:szCs w:val="32"/>
        </w:rPr>
        <w:t>年国有资本经营预算财政拨款支出</w:t>
      </w:r>
      <w:r>
        <w:rPr>
          <w:rFonts w:hint="eastAsia" w:ascii="仿宋_GB2312" w:eastAsia="仿宋_GB2312"/>
          <w:sz w:val="32"/>
          <w:szCs w:val="32"/>
          <w:lang w:val="en-US" w:eastAsia="zh-CN"/>
        </w:rPr>
        <w:t>0</w:t>
      </w:r>
      <w:r>
        <w:rPr>
          <w:rFonts w:hint="eastAsia" w:ascii="仿宋_GB2312" w:eastAsia="仿宋_GB2312"/>
          <w:sz w:val="32"/>
          <w:szCs w:val="32"/>
        </w:rPr>
        <w:t>万元。</w:t>
      </w:r>
    </w:p>
    <w:p>
      <w:pPr>
        <w:numPr>
          <w:ilvl w:val="0"/>
          <w:numId w:val="3"/>
        </w:numPr>
        <w:spacing w:line="600" w:lineRule="exact"/>
        <w:ind w:firstLine="640"/>
        <w:outlineLvl w:val="1"/>
        <w:rPr>
          <w:rStyle w:val="29"/>
          <w:rFonts w:ascii="黑体" w:hAnsi="黑体" w:eastAsia="黑体"/>
          <w:b w:val="0"/>
        </w:rPr>
      </w:pPr>
      <w:bookmarkStart w:id="45" w:name="_Toc15396612"/>
      <w:bookmarkStart w:id="46" w:name="_Toc15377221"/>
      <w:r>
        <w:rPr>
          <w:rStyle w:val="29"/>
          <w:rFonts w:hint="eastAsia" w:ascii="黑体" w:hAnsi="黑体" w:eastAsia="黑体"/>
          <w:b w:val="0"/>
        </w:rPr>
        <w:t>其他重要事项的情况说明</w:t>
      </w:r>
      <w:bookmarkEnd w:id="45"/>
      <w:bookmarkEnd w:id="46"/>
    </w:p>
    <w:p>
      <w:pPr>
        <w:spacing w:line="600" w:lineRule="exact"/>
        <w:ind w:firstLine="643" w:firstLineChars="200"/>
        <w:outlineLvl w:val="2"/>
        <w:rPr>
          <w:rFonts w:ascii="仿宋" w:hAnsi="仿宋" w:eastAsia="仿宋"/>
          <w:sz w:val="32"/>
          <w:szCs w:val="32"/>
        </w:rPr>
      </w:pPr>
      <w:bookmarkStart w:id="47" w:name="_Toc15377222"/>
      <w:r>
        <w:rPr>
          <w:rFonts w:hint="eastAsia" w:ascii="仿宋" w:hAnsi="仿宋" w:eastAsia="仿宋"/>
          <w:b/>
          <w:sz w:val="32"/>
          <w:szCs w:val="32"/>
        </w:rPr>
        <w:t>（一）机关运行经费支出情况</w:t>
      </w:r>
      <w:bookmarkEnd w:id="47"/>
    </w:p>
    <w:p>
      <w:pPr>
        <w:spacing w:line="600" w:lineRule="exact"/>
        <w:ind w:firstLine="640" w:firstLineChars="200"/>
        <w:rPr>
          <w:rFonts w:hint="eastAsia" w:ascii="仿宋" w:hAnsi="仿宋" w:eastAsia="仿宋"/>
          <w:b/>
          <w:sz w:val="32"/>
          <w:szCs w:val="32"/>
        </w:rPr>
      </w:pP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color w:val="000000"/>
          <w:sz w:val="32"/>
          <w:szCs w:val="32"/>
        </w:rPr>
        <w:t>盐边县</w:t>
      </w:r>
      <w:r>
        <w:rPr>
          <w:rFonts w:hint="eastAsia" w:ascii="仿宋_GB2312" w:eastAsia="仿宋_GB2312"/>
          <w:color w:val="000000"/>
          <w:sz w:val="32"/>
          <w:szCs w:val="32"/>
          <w:lang w:eastAsia="zh-CN"/>
        </w:rPr>
        <w:t>温泉彝族乡</w:t>
      </w:r>
      <w:r>
        <w:rPr>
          <w:rFonts w:hint="eastAsia" w:ascii="仿宋_GB2312" w:eastAsia="仿宋_GB2312"/>
          <w:color w:val="000000"/>
          <w:sz w:val="32"/>
          <w:szCs w:val="32"/>
        </w:rPr>
        <w:t>卫生院运行经费支出0万元</w:t>
      </w:r>
      <w:r>
        <w:rPr>
          <w:rFonts w:hint="eastAsia" w:ascii="仿宋_GB2312" w:eastAsia="仿宋_GB2312"/>
          <w:sz w:val="32"/>
          <w:szCs w:val="32"/>
        </w:rPr>
        <w:t>，与</w:t>
      </w:r>
      <w:r>
        <w:rPr>
          <w:rFonts w:ascii="仿宋_GB2312" w:eastAsia="仿宋_GB2312"/>
          <w:sz w:val="32"/>
          <w:szCs w:val="32"/>
        </w:rPr>
        <w:t>20</w:t>
      </w:r>
      <w:r>
        <w:rPr>
          <w:rFonts w:hint="eastAsia" w:ascii="仿宋_GB2312" w:eastAsia="仿宋_GB2312"/>
          <w:sz w:val="32"/>
          <w:szCs w:val="32"/>
        </w:rPr>
        <w:t>2</w:t>
      </w:r>
      <w:r>
        <w:rPr>
          <w:rFonts w:hint="eastAsia" w:ascii="仿宋_GB2312" w:eastAsia="仿宋_GB2312"/>
          <w:sz w:val="32"/>
          <w:szCs w:val="32"/>
          <w:lang w:val="en-US" w:eastAsia="zh-CN"/>
        </w:rPr>
        <w:t>1</w:t>
      </w:r>
      <w:r>
        <w:rPr>
          <w:rFonts w:hint="eastAsia" w:ascii="仿宋_GB2312" w:eastAsia="仿宋_GB2312"/>
          <w:sz w:val="32"/>
          <w:szCs w:val="32"/>
        </w:rPr>
        <w:t>年决算数持平</w:t>
      </w:r>
      <w:r>
        <w:rPr>
          <w:rFonts w:hint="eastAsia" w:ascii="仿宋_GB2312" w:eastAsia="仿宋_GB2312"/>
          <w:sz w:val="32"/>
          <w:szCs w:val="32"/>
          <w:lang w:eastAsia="zh-CN"/>
        </w:rPr>
        <w:t>。</w:t>
      </w:r>
      <w:bookmarkStart w:id="48" w:name="_Toc15377223"/>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（二）政府采购支出情况</w:t>
      </w:r>
      <w:bookmarkEnd w:id="48"/>
    </w:p>
    <w:p>
      <w:pPr>
        <w:spacing w:line="600" w:lineRule="exact"/>
        <w:ind w:firstLine="640" w:firstLineChars="200"/>
        <w:rPr>
          <w:rFonts w:hint="eastAsia" w:ascii="仿宋" w:hAnsi="仿宋" w:eastAsia="仿宋"/>
          <w:b/>
          <w:color w:val="000000"/>
          <w:sz w:val="32"/>
          <w:szCs w:val="32"/>
        </w:rPr>
      </w:pPr>
      <w:r>
        <w:rPr>
          <w:rFonts w:ascii="仿宋_GB2312" w:eastAsia="仿宋_GB2312"/>
          <w:color w:val="000000"/>
          <w:sz w:val="32"/>
          <w:szCs w:val="32"/>
        </w:rPr>
        <w:t>20</w:t>
      </w:r>
      <w:r>
        <w:rPr>
          <w:rFonts w:hint="eastAsia" w:ascii="仿宋_GB2312" w:eastAsia="仿宋_GB2312"/>
          <w:color w:val="000000"/>
          <w:sz w:val="32"/>
          <w:szCs w:val="32"/>
          <w:lang w:val="en-US" w:eastAsia="zh-CN"/>
        </w:rPr>
        <w:t>22</w:t>
      </w:r>
      <w:r>
        <w:rPr>
          <w:rFonts w:hint="eastAsia" w:ascii="仿宋_GB2312" w:eastAsia="仿宋_GB2312"/>
          <w:color w:val="000000"/>
          <w:sz w:val="32"/>
          <w:szCs w:val="32"/>
        </w:rPr>
        <w:t>年，盐边县</w:t>
      </w:r>
      <w:r>
        <w:rPr>
          <w:rFonts w:hint="eastAsia" w:ascii="仿宋_GB2312" w:eastAsia="仿宋_GB2312"/>
          <w:color w:val="000000"/>
          <w:sz w:val="32"/>
          <w:szCs w:val="32"/>
          <w:lang w:eastAsia="zh-CN"/>
        </w:rPr>
        <w:t>温泉彝族乡</w:t>
      </w:r>
      <w:r>
        <w:rPr>
          <w:rFonts w:hint="eastAsia" w:ascii="仿宋_GB2312" w:eastAsia="仿宋_GB2312"/>
          <w:color w:val="000000"/>
          <w:sz w:val="32"/>
          <w:szCs w:val="32"/>
        </w:rPr>
        <w:t>卫生院政府采购支出总额0万元，其中：政府采购货物支出0万元、政府采购工程支出0万元、政府采购服务支出0万元。授予中小企业合同金额0万元，占政府采购支出总额的0</w:t>
      </w:r>
      <w:r>
        <w:rPr>
          <w:rFonts w:ascii="仿宋_GB2312" w:eastAsia="仿宋_GB2312"/>
          <w:color w:val="000000"/>
          <w:sz w:val="32"/>
          <w:szCs w:val="32"/>
        </w:rPr>
        <w:t>%</w:t>
      </w:r>
      <w:r>
        <w:rPr>
          <w:rFonts w:hint="eastAsia" w:ascii="仿宋_GB2312" w:eastAsia="仿宋_GB2312"/>
          <w:color w:val="000000"/>
          <w:sz w:val="32"/>
          <w:szCs w:val="32"/>
        </w:rPr>
        <w:t>，其中：授予小微企业合同金额0万元，占政府采购支出总额的0</w:t>
      </w:r>
      <w:r>
        <w:rPr>
          <w:rFonts w:ascii="仿宋_GB2312" w:eastAsia="仿宋_GB2312"/>
          <w:color w:val="000000"/>
          <w:sz w:val="32"/>
          <w:szCs w:val="32"/>
        </w:rPr>
        <w:t>%</w:t>
      </w:r>
      <w:r>
        <w:rPr>
          <w:rFonts w:hint="eastAsia" w:ascii="仿宋_GB2312" w:eastAsia="仿宋_GB2312"/>
          <w:color w:val="000000"/>
          <w:sz w:val="32"/>
          <w:szCs w:val="32"/>
        </w:rPr>
        <w:t>。</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49" w:name="_Toc15377224"/>
      <w:r>
        <w:rPr>
          <w:rFonts w:hint="eastAsia" w:ascii="仿宋" w:hAnsi="仿宋" w:eastAsia="仿宋"/>
          <w:b/>
          <w:sz w:val="32"/>
          <w:szCs w:val="32"/>
        </w:rPr>
        <w:t>（三）国有资产占有使用情况</w:t>
      </w:r>
      <w:bookmarkEnd w:id="49"/>
    </w:p>
    <w:p>
      <w:pPr>
        <w:autoSpaceDE w:val="0"/>
        <w:autoSpaceDN w:val="0"/>
        <w:adjustRightInd w:val="0"/>
        <w:spacing w:line="600" w:lineRule="exact"/>
        <w:ind w:firstLine="640" w:firstLineChars="200"/>
        <w:jc w:val="left"/>
        <w:rPr>
          <w:rFonts w:ascii="仿宋" w:hAnsi="仿宋" w:eastAsia="仿宋"/>
          <w:b/>
          <w:color w:val="FF0000"/>
          <w:sz w:val="32"/>
          <w:szCs w:val="32"/>
        </w:rPr>
      </w:pPr>
      <w:r>
        <w:rPr>
          <w:rFonts w:hint="eastAsia" w:ascii="仿宋_GB2312" w:eastAsia="仿宋_GB2312"/>
          <w:color w:val="000000"/>
          <w:sz w:val="32"/>
          <w:szCs w:val="32"/>
        </w:rPr>
        <w:t>截至202</w:t>
      </w:r>
      <w:r>
        <w:rPr>
          <w:rFonts w:hint="eastAsia" w:ascii="仿宋_GB2312" w:eastAsia="仿宋_GB2312"/>
          <w:color w:val="000000"/>
          <w:sz w:val="32"/>
          <w:szCs w:val="32"/>
          <w:lang w:val="en-US" w:eastAsia="zh-CN"/>
        </w:rPr>
        <w:t>2</w:t>
      </w:r>
      <w:r>
        <w:rPr>
          <w:rFonts w:hint="eastAsia" w:ascii="仿宋_GB2312" w:eastAsia="仿宋_GB2312"/>
          <w:color w:val="000000"/>
          <w:sz w:val="32"/>
          <w:szCs w:val="32"/>
        </w:rPr>
        <w:t>年</w:t>
      </w:r>
      <w:r>
        <w:rPr>
          <w:rFonts w:ascii="仿宋_GB2312" w:eastAsia="仿宋_GB2312"/>
          <w:color w:val="000000"/>
          <w:sz w:val="32"/>
          <w:szCs w:val="32"/>
        </w:rPr>
        <w:t>12</w:t>
      </w:r>
      <w:r>
        <w:rPr>
          <w:rFonts w:hint="eastAsia" w:ascii="仿宋_GB2312" w:eastAsia="仿宋_GB2312"/>
          <w:color w:val="000000"/>
          <w:sz w:val="32"/>
          <w:szCs w:val="32"/>
        </w:rPr>
        <w:t>月</w:t>
      </w:r>
      <w:r>
        <w:rPr>
          <w:rFonts w:ascii="仿宋_GB2312" w:eastAsia="仿宋_GB2312"/>
          <w:color w:val="000000"/>
          <w:sz w:val="32"/>
          <w:szCs w:val="32"/>
        </w:rPr>
        <w:t>31</w:t>
      </w:r>
      <w:r>
        <w:rPr>
          <w:rFonts w:hint="eastAsia" w:ascii="仿宋_GB2312" w:eastAsia="仿宋_GB2312"/>
          <w:color w:val="000000"/>
          <w:sz w:val="32"/>
          <w:szCs w:val="32"/>
        </w:rPr>
        <w:t>日，盐边县</w:t>
      </w:r>
      <w:r>
        <w:rPr>
          <w:rFonts w:hint="eastAsia" w:ascii="仿宋_GB2312" w:eastAsia="仿宋_GB2312"/>
          <w:color w:val="000000"/>
          <w:sz w:val="32"/>
          <w:szCs w:val="32"/>
          <w:lang w:eastAsia="zh-CN"/>
        </w:rPr>
        <w:t>温泉彝族乡</w:t>
      </w:r>
      <w:r>
        <w:rPr>
          <w:rFonts w:hint="eastAsia" w:ascii="仿宋_GB2312" w:eastAsia="仿宋_GB2312"/>
          <w:color w:val="000000"/>
          <w:sz w:val="32"/>
          <w:szCs w:val="32"/>
        </w:rPr>
        <w:t>卫生院共有车辆</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辆，其中：主要领导干部用车0辆、机要通信用车0辆、应急保障用车0辆、其他用车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w:t>
      </w:r>
      <w:r>
        <w:rPr>
          <w:rFonts w:hint="eastAsia" w:ascii="仿宋_GB2312" w:eastAsia="仿宋_GB2312"/>
          <w:color w:val="000000"/>
          <w:sz w:val="32"/>
          <w:szCs w:val="32"/>
          <w:lang w:eastAsia="zh-CN"/>
        </w:rPr>
        <w:t>，</w:t>
      </w:r>
      <w:r>
        <w:rPr>
          <w:rFonts w:hint="eastAsia" w:ascii="仿宋_GB2312" w:eastAsia="仿宋_GB2312"/>
          <w:color w:val="000000" w:themeColor="text1"/>
          <w:sz w:val="32"/>
          <w:szCs w:val="32"/>
          <w14:textFill>
            <w14:solidFill>
              <w14:schemeClr w14:val="tx1"/>
            </w14:solidFill>
          </w14:textFill>
        </w:rPr>
        <w:t>单价</w:t>
      </w:r>
      <w:r>
        <w:rPr>
          <w:rFonts w:ascii="仿宋_GB2312" w:eastAsia="仿宋_GB2312"/>
          <w:color w:val="000000" w:themeColor="text1"/>
          <w:sz w:val="32"/>
          <w:szCs w:val="32"/>
          <w14:textFill>
            <w14:solidFill>
              <w14:schemeClr w14:val="tx1"/>
            </w14:solidFill>
          </w14:textFill>
        </w:rPr>
        <w:t>50</w:t>
      </w:r>
      <w:r>
        <w:rPr>
          <w:rFonts w:hint="eastAsia" w:ascii="仿宋_GB2312" w:eastAsia="仿宋_GB2312"/>
          <w:color w:val="000000" w:themeColor="text1"/>
          <w:sz w:val="32"/>
          <w:szCs w:val="32"/>
          <w14:textFill>
            <w14:solidFill>
              <w14:schemeClr w14:val="tx1"/>
            </w14:solidFill>
          </w14:textFill>
        </w:rPr>
        <w:t>万元以上通用设备</w:t>
      </w:r>
      <w:r>
        <w:rPr>
          <w:rFonts w:hint="eastAsia" w:ascii="仿宋_GB2312" w:eastAsia="仿宋_GB2312"/>
          <w:color w:val="000000" w:themeColor="text1"/>
          <w:sz w:val="32"/>
          <w:szCs w:val="32"/>
          <w:lang w:val="en-US" w:eastAsia="zh-CN"/>
          <w14:textFill>
            <w14:solidFill>
              <w14:schemeClr w14:val="tx1"/>
            </w14:solidFill>
          </w14:textFill>
        </w:rPr>
        <w:t>0</w:t>
      </w:r>
      <w:r>
        <w:rPr>
          <w:rFonts w:hint="eastAsia" w:ascii="仿宋_GB2312" w:eastAsia="仿宋_GB2312"/>
          <w:color w:val="000000" w:themeColor="text1"/>
          <w:sz w:val="32"/>
          <w:szCs w:val="32"/>
          <w14:textFill>
            <w14:solidFill>
              <w14:schemeClr w14:val="tx1"/>
            </w14:solidFill>
          </w14:textFill>
        </w:rPr>
        <w:t>台（套），单价</w:t>
      </w:r>
      <w:r>
        <w:rPr>
          <w:rFonts w:ascii="仿宋_GB2312" w:eastAsia="仿宋_GB2312"/>
          <w:color w:val="000000" w:themeColor="text1"/>
          <w:sz w:val="32"/>
          <w:szCs w:val="32"/>
          <w14:textFill>
            <w14:solidFill>
              <w14:schemeClr w14:val="tx1"/>
            </w14:solidFill>
          </w14:textFill>
        </w:rPr>
        <w:t>100</w:t>
      </w:r>
      <w:r>
        <w:rPr>
          <w:rFonts w:hint="eastAsia" w:ascii="仿宋_GB2312" w:eastAsia="仿宋_GB2312"/>
          <w:color w:val="000000"/>
          <w:sz w:val="32"/>
          <w:szCs w:val="32"/>
        </w:rPr>
        <w:t>万元以上专用设备0台（套）。</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spacing w:line="580" w:lineRule="exact"/>
        <w:ind w:firstLine="640" w:firstLineChars="200"/>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color w:val="000000" w:themeColor="text1"/>
          <w:sz w:val="32"/>
          <w:szCs w:val="32"/>
          <w:highlight w:val="none"/>
          <w14:textFill>
            <w14:solidFill>
              <w14:schemeClr w14:val="tx1"/>
            </w14:solidFill>
          </w14:textFill>
        </w:rPr>
        <w:t>根据预算绩效管理要求，本单位在202</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highlight w:val="none"/>
          <w14:textFill>
            <w14:solidFill>
              <w14:schemeClr w14:val="tx1"/>
            </w14:solidFill>
          </w14:textFill>
        </w:rPr>
        <w:t>年度预算编制阶段，组织对</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基本公共卫生服务</w:t>
      </w:r>
      <w:r>
        <w:rPr>
          <w:rFonts w:hint="eastAsia" w:ascii="仿宋_GB2312" w:hAnsi="仿宋_GB2312" w:eastAsia="仿宋_GB2312" w:cs="仿宋_GB2312"/>
          <w:color w:val="000000" w:themeColor="text1"/>
          <w:sz w:val="32"/>
          <w:szCs w:val="32"/>
          <w:highlight w:val="none"/>
          <w14:textFill>
            <w14:solidFill>
              <w14:schemeClr w14:val="tx1"/>
            </w14:solidFill>
          </w14:textFill>
        </w:rPr>
        <w:t>项目</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等</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13个项目</w:t>
      </w:r>
      <w:r>
        <w:rPr>
          <w:rFonts w:hint="eastAsia" w:ascii="仿宋_GB2312" w:hAnsi="仿宋_GB2312" w:eastAsia="仿宋_GB2312" w:cs="仿宋_GB2312"/>
          <w:color w:val="000000" w:themeColor="text1"/>
          <w:sz w:val="32"/>
          <w:szCs w:val="32"/>
          <w:highlight w:val="none"/>
          <w14:textFill>
            <w14:solidFill>
              <w14:schemeClr w14:val="tx1"/>
            </w14:solidFill>
          </w14:textFill>
        </w:rPr>
        <w:t>开展了预算事前绩效评估，对</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highlight w:val="none"/>
          <w14:textFill>
            <w14:solidFill>
              <w14:schemeClr w14:val="tx1"/>
            </w14:solidFill>
          </w14:textFill>
        </w:rPr>
        <w:t>个项目编制了绩效目标，预算执行过程中，选取</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highlight w:val="none"/>
          <w14:textFill>
            <w14:solidFill>
              <w14:schemeClr w14:val="tx1"/>
            </w14:solidFill>
          </w14:textFill>
        </w:rPr>
        <w:t>个项目开展绩效监控，</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组织</w:t>
      </w:r>
      <w:r>
        <w:rPr>
          <w:rFonts w:hint="eastAsia" w:ascii="仿宋_GB2312" w:hAnsi="仿宋_GB2312" w:eastAsia="仿宋_GB2312" w:cs="仿宋_GB2312"/>
          <w:color w:val="000000" w:themeColor="text1"/>
          <w:sz w:val="32"/>
          <w:szCs w:val="32"/>
          <w:highlight w:val="none"/>
          <w14:textFill>
            <w14:solidFill>
              <w14:schemeClr w14:val="tx1"/>
            </w14:solidFill>
          </w14:textFill>
        </w:rPr>
        <w:t>对</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13</w:t>
      </w:r>
      <w:r>
        <w:rPr>
          <w:rFonts w:hint="eastAsia" w:ascii="仿宋_GB2312" w:hAnsi="仿宋_GB2312" w:eastAsia="仿宋_GB2312" w:cs="仿宋_GB2312"/>
          <w:color w:val="000000" w:themeColor="text1"/>
          <w:sz w:val="32"/>
          <w:szCs w:val="32"/>
          <w:highlight w:val="none"/>
          <w14:textFill>
            <w14:solidFill>
              <w14:schemeClr w14:val="tx1"/>
            </w14:solidFill>
          </w14:textFill>
        </w:rPr>
        <w:t>个项目开展了绩效自评</w:t>
      </w:r>
      <w:r>
        <w:rPr>
          <w:rFonts w:hint="eastAsia" w:ascii="仿宋_GB2312" w:hAnsi="仿宋_GB2312" w:eastAsia="仿宋_GB2312" w:cs="仿宋_GB2312"/>
          <w:color w:val="000000" w:themeColor="text1"/>
          <w:sz w:val="32"/>
          <w:szCs w:val="32"/>
          <w:highlight w:val="none"/>
          <w:lang w:eastAsia="zh-CN"/>
          <w14:textFill>
            <w14:solidFill>
              <w14:schemeClr w14:val="tx1"/>
            </w14:solidFill>
          </w14:textFill>
        </w:rPr>
        <w:t>。</w:t>
      </w:r>
    </w:p>
    <w:p>
      <w:pPr>
        <w:numPr>
          <w:ilvl w:val="0"/>
          <w:numId w:val="4"/>
        </w:numPr>
        <w:spacing w:line="600" w:lineRule="exact"/>
        <w:ind w:firstLine="660" w:firstLineChars="150"/>
        <w:jc w:val="center"/>
        <w:outlineLvl w:val="0"/>
        <w:rPr>
          <w:rStyle w:val="28"/>
          <w:rFonts w:ascii="黑体" w:hAnsi="黑体" w:eastAsia="黑体"/>
          <w:b w:val="0"/>
        </w:rPr>
      </w:pPr>
      <w:bookmarkStart w:id="50" w:name="_Toc15396613"/>
      <w:bookmarkStart w:id="51" w:name="_Toc15377225"/>
      <w:bookmarkStart w:id="52" w:name="_Toc3830"/>
      <w:r>
        <w:rPr>
          <w:rFonts w:hint="eastAsia" w:ascii="黑体" w:hAnsi="黑体" w:eastAsia="黑体"/>
          <w:sz w:val="44"/>
          <w:szCs w:val="44"/>
        </w:rPr>
        <w:t>名</w:t>
      </w:r>
      <w:r>
        <w:rPr>
          <w:rStyle w:val="28"/>
          <w:rFonts w:hint="eastAsia" w:ascii="黑体" w:hAnsi="黑体" w:eastAsia="黑体"/>
          <w:b w:val="0"/>
        </w:rPr>
        <w:t>词解释</w:t>
      </w:r>
      <w:bookmarkEnd w:id="50"/>
      <w:bookmarkEnd w:id="51"/>
      <w:bookmarkEnd w:id="52"/>
    </w:p>
    <w:p>
      <w:pPr>
        <w:spacing w:line="600" w:lineRule="exact"/>
        <w:jc w:val="left"/>
        <w:rPr>
          <w:rFonts w:ascii="宋体"/>
          <w:b/>
          <w:sz w:val="44"/>
          <w:szCs w:val="44"/>
        </w:rPr>
      </w:pP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26"/>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3</w:t>
      </w:r>
      <w:r>
        <w:rPr>
          <w:rFonts w:ascii="仿宋_GB2312" w:eastAsia="仿宋_GB2312"/>
          <w:color w:val="auto"/>
          <w:sz w:val="32"/>
          <w:szCs w:val="32"/>
        </w:rPr>
        <w:t>.</w:t>
      </w:r>
      <w:r>
        <w:rPr>
          <w:rFonts w:hint="eastAsia" w:ascii="仿宋_GB2312" w:eastAsia="仿宋_GB2312"/>
          <w:color w:val="auto"/>
          <w:sz w:val="32"/>
          <w:szCs w:val="32"/>
        </w:rPr>
        <w:t>其他收入：指单位取得的除上述收入以外的各项收入。</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4</w:t>
      </w:r>
      <w:r>
        <w:rPr>
          <w:rFonts w:ascii="仿宋_GB2312" w:eastAsia="仿宋_GB2312"/>
          <w:color w:val="auto"/>
          <w:sz w:val="32"/>
          <w:szCs w:val="32"/>
        </w:rPr>
        <w:t>.</w:t>
      </w:r>
      <w:r>
        <w:rPr>
          <w:rFonts w:hint="eastAsia" w:ascii="仿宋_GB2312" w:eastAsia="仿宋_GB2312"/>
          <w:color w:val="auto"/>
          <w:sz w:val="32"/>
          <w:szCs w:val="32"/>
        </w:rPr>
        <w:t>使用非财政拨款结余：指事业单位使用以前年度积累的非财政拨款结余弥补当年收支差额的金额。</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5</w:t>
      </w:r>
      <w:r>
        <w:rPr>
          <w:rFonts w:ascii="仿宋_GB2312" w:eastAsia="仿宋_GB2312"/>
          <w:color w:val="auto"/>
          <w:sz w:val="32"/>
          <w:szCs w:val="32"/>
        </w:rPr>
        <w:t>.</w:t>
      </w:r>
      <w:r>
        <w:rPr>
          <w:rFonts w:hint="eastAsia" w:ascii="仿宋_GB2312" w:eastAsia="仿宋_GB2312"/>
          <w:color w:val="auto"/>
          <w:sz w:val="32"/>
          <w:szCs w:val="32"/>
        </w:rPr>
        <w:t>年初结转和结余：指以前年度尚未完成、结转到本年按有关规定继续使用的资金。</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6</w:t>
      </w:r>
      <w:r>
        <w:rPr>
          <w:rFonts w:ascii="仿宋_GB2312" w:eastAsia="仿宋_GB2312"/>
          <w:color w:val="auto"/>
          <w:sz w:val="32"/>
          <w:szCs w:val="32"/>
        </w:rPr>
        <w:t>.</w:t>
      </w: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7.</w:t>
      </w:r>
      <w:r>
        <w:rPr>
          <w:rFonts w:hint="eastAsia" w:ascii="仿宋_GB2312" w:eastAsia="仿宋_GB2312"/>
          <w:color w:val="auto"/>
          <w:sz w:val="32"/>
          <w:szCs w:val="32"/>
        </w:rPr>
        <w:t>年末结转和结余：指单位按有关规定结转到下年或以后年度继续使用的资金。</w:t>
      </w:r>
    </w:p>
    <w:p>
      <w:pPr>
        <w:ind w:firstLine="640" w:firstLineChars="200"/>
        <w:rPr>
          <w:rFonts w:ascii="仿宋_GB2312" w:eastAsia="仿宋_GB2312"/>
          <w:sz w:val="32"/>
          <w:szCs w:val="32"/>
        </w:rPr>
      </w:pPr>
      <w:r>
        <w:rPr>
          <w:rFonts w:hint="eastAsia" w:ascii="仿宋_GB2312" w:eastAsia="仿宋_GB2312"/>
          <w:sz w:val="32"/>
          <w:szCs w:val="32"/>
          <w:lang w:val="en-US" w:eastAsia="zh-CN"/>
        </w:rPr>
        <w:t>8</w:t>
      </w:r>
      <w:r>
        <w:rPr>
          <w:rFonts w:ascii="仿宋_GB2312" w:eastAsia="仿宋_GB2312"/>
          <w:sz w:val="32"/>
          <w:szCs w:val="32"/>
        </w:rPr>
        <w:t>.</w:t>
      </w:r>
      <w:r>
        <w:rPr>
          <w:rFonts w:hint="eastAsia" w:ascii="仿宋_GB2312" w:eastAsia="仿宋_GB2312"/>
          <w:sz w:val="32"/>
          <w:szCs w:val="32"/>
        </w:rPr>
        <w:t>社会保障和就业支出（类）行政事业单位养老支出（款）机关事业单位基本养老保险缴费支出（项）：指</w:t>
      </w:r>
      <w:r>
        <w:rPr>
          <w:rFonts w:hint="eastAsia" w:ascii="仿宋_GB2312" w:eastAsia="仿宋_GB2312"/>
          <w:sz w:val="32"/>
          <w:szCs w:val="32"/>
          <w:lang w:val="en-US" w:eastAsia="zh-CN"/>
        </w:rPr>
        <w:t>机关事业单位实施养老保险制度由单位缴纳的基本养老保险费支出</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9</w:t>
      </w:r>
      <w:r>
        <w:rPr>
          <w:rFonts w:ascii="仿宋_GB2312" w:eastAsia="仿宋_GB2312"/>
          <w:sz w:val="32"/>
          <w:szCs w:val="32"/>
        </w:rPr>
        <w:t>.</w:t>
      </w:r>
      <w:r>
        <w:rPr>
          <w:rFonts w:hint="eastAsia" w:ascii="仿宋_GB2312" w:eastAsia="仿宋_GB2312"/>
          <w:sz w:val="32"/>
          <w:szCs w:val="32"/>
        </w:rPr>
        <w:t>卫生健康支出（类）基层医疗卫生机构（款）乡镇卫生院（项）：指</w:t>
      </w:r>
      <w:r>
        <w:rPr>
          <w:rFonts w:hint="eastAsia" w:ascii="仿宋_GB2312" w:eastAsia="仿宋_GB2312"/>
          <w:sz w:val="32"/>
          <w:szCs w:val="32"/>
          <w:lang w:val="en-US" w:eastAsia="zh-CN"/>
        </w:rPr>
        <w:t>用于乡镇卫生院的支出</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10</w:t>
      </w:r>
      <w:r>
        <w:rPr>
          <w:rFonts w:ascii="仿宋_GB2312" w:eastAsia="仿宋_GB2312"/>
          <w:sz w:val="32"/>
          <w:szCs w:val="32"/>
        </w:rPr>
        <w:t>.</w:t>
      </w:r>
      <w:r>
        <w:rPr>
          <w:rFonts w:hint="eastAsia" w:ascii="仿宋_GB2312" w:eastAsia="仿宋_GB2312"/>
          <w:sz w:val="32"/>
          <w:szCs w:val="32"/>
        </w:rPr>
        <w:t>卫生健康支出（类）基层医疗卫生机构（款）其他基层医疗卫生机构支出（项）：指</w:t>
      </w:r>
      <w:r>
        <w:rPr>
          <w:rFonts w:hint="eastAsia" w:ascii="仿宋_GB2312" w:eastAsia="仿宋_GB2312"/>
          <w:sz w:val="32"/>
          <w:szCs w:val="32"/>
          <w:lang w:val="en-US" w:eastAsia="zh-CN"/>
        </w:rPr>
        <w:t>除上述项目以外的其他用于基层医疗卫生机构的支出</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11</w:t>
      </w:r>
      <w:r>
        <w:rPr>
          <w:rFonts w:ascii="仿宋_GB2312" w:eastAsia="仿宋_GB2312"/>
          <w:sz w:val="32"/>
          <w:szCs w:val="32"/>
        </w:rPr>
        <w:t>.</w:t>
      </w:r>
      <w:r>
        <w:rPr>
          <w:rFonts w:hint="eastAsia" w:ascii="仿宋_GB2312" w:eastAsia="仿宋_GB2312"/>
          <w:sz w:val="32"/>
          <w:szCs w:val="32"/>
        </w:rPr>
        <w:t>卫生健康支出（类）公共卫生（款）基本公共卫生服务（项）：指</w:t>
      </w:r>
      <w:r>
        <w:rPr>
          <w:rFonts w:hint="eastAsia" w:ascii="仿宋_GB2312" w:eastAsia="仿宋_GB2312"/>
          <w:sz w:val="32"/>
          <w:szCs w:val="32"/>
          <w:lang w:val="en-US" w:eastAsia="zh-CN"/>
        </w:rPr>
        <w:t>基本公共卫生服务支出</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12</w:t>
      </w:r>
      <w:r>
        <w:rPr>
          <w:rFonts w:ascii="仿宋_GB2312" w:eastAsia="仿宋_GB2312"/>
          <w:sz w:val="32"/>
          <w:szCs w:val="32"/>
        </w:rPr>
        <w:t>.</w:t>
      </w:r>
      <w:r>
        <w:rPr>
          <w:rFonts w:hint="eastAsia" w:ascii="仿宋_GB2312" w:eastAsia="仿宋_GB2312"/>
          <w:sz w:val="32"/>
          <w:szCs w:val="32"/>
        </w:rPr>
        <w:t>卫生健康支出（类）公共卫生（款）重大公共卫生服务（项）：指</w:t>
      </w:r>
      <w:r>
        <w:rPr>
          <w:rFonts w:hint="eastAsia" w:ascii="仿宋_GB2312" w:eastAsia="仿宋_GB2312"/>
          <w:sz w:val="32"/>
          <w:szCs w:val="32"/>
          <w:lang w:val="en-US" w:eastAsia="zh-CN"/>
        </w:rPr>
        <w:t>重大疾病、重大传染病预防控制等重大公共卫生服务项目支出</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13</w:t>
      </w:r>
      <w:r>
        <w:rPr>
          <w:rFonts w:ascii="仿宋_GB2312" w:eastAsia="仿宋_GB2312"/>
          <w:sz w:val="32"/>
          <w:szCs w:val="32"/>
        </w:rPr>
        <w:t>.</w:t>
      </w:r>
      <w:r>
        <w:rPr>
          <w:rFonts w:hint="eastAsia" w:ascii="仿宋_GB2312" w:eastAsia="仿宋_GB2312"/>
          <w:sz w:val="32"/>
          <w:szCs w:val="32"/>
        </w:rPr>
        <w:t>卫生健康支出（类）公共卫生（款）其他公共卫生支出（项）：指</w:t>
      </w:r>
      <w:r>
        <w:rPr>
          <w:rFonts w:hint="eastAsia" w:ascii="仿宋_GB2312" w:eastAsia="仿宋_GB2312"/>
          <w:sz w:val="32"/>
          <w:szCs w:val="32"/>
          <w:lang w:val="en-US" w:eastAsia="zh-CN"/>
        </w:rPr>
        <w:t>除上述项目以外的其他用于公共卫生方面的支出</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14</w:t>
      </w:r>
      <w:r>
        <w:rPr>
          <w:rFonts w:ascii="仿宋_GB2312" w:eastAsia="仿宋_GB2312"/>
          <w:sz w:val="32"/>
          <w:szCs w:val="32"/>
        </w:rPr>
        <w:t>.</w:t>
      </w:r>
      <w:r>
        <w:rPr>
          <w:rFonts w:hint="eastAsia" w:ascii="仿宋_GB2312" w:eastAsia="仿宋_GB2312"/>
          <w:sz w:val="32"/>
          <w:szCs w:val="32"/>
        </w:rPr>
        <w:t>卫生健康支出（类）行政事业单位医疗（款）事业单位医疗（项）：指</w:t>
      </w:r>
      <w:r>
        <w:rPr>
          <w:rFonts w:hint="eastAsia" w:ascii="仿宋_GB2312" w:eastAsia="仿宋_GB2312"/>
          <w:sz w:val="32"/>
          <w:szCs w:val="32"/>
          <w:lang w:val="en-US" w:eastAsia="zh-CN"/>
        </w:rPr>
        <w:t>财政部门安排的事业单位基本医疗保险缴费经费，未参加医疗保险的事业单位的公费医疗经费，按国家规定享受离休人员待遇的医疗经费</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15</w:t>
      </w:r>
      <w:r>
        <w:rPr>
          <w:rFonts w:ascii="仿宋_GB2312" w:eastAsia="仿宋_GB2312"/>
          <w:sz w:val="32"/>
          <w:szCs w:val="32"/>
        </w:rPr>
        <w:t>.</w:t>
      </w:r>
      <w:r>
        <w:rPr>
          <w:rFonts w:hint="eastAsia" w:ascii="仿宋_GB2312" w:eastAsia="仿宋_GB2312"/>
          <w:sz w:val="32"/>
          <w:szCs w:val="32"/>
        </w:rPr>
        <w:t>卫生健康支出（类）行政事业单位医疗（款）公务员医疗补助（项）：指</w:t>
      </w:r>
      <w:r>
        <w:rPr>
          <w:rFonts w:hint="eastAsia" w:ascii="仿宋_GB2312" w:eastAsia="仿宋_GB2312"/>
          <w:sz w:val="32"/>
          <w:szCs w:val="32"/>
          <w:lang w:val="en-US" w:eastAsia="zh-CN"/>
        </w:rPr>
        <w:t>财政部门安排的公务员医疗补助经费</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16</w:t>
      </w:r>
      <w:r>
        <w:rPr>
          <w:rFonts w:ascii="仿宋_GB2312" w:eastAsia="仿宋_GB2312"/>
          <w:sz w:val="32"/>
          <w:szCs w:val="32"/>
        </w:rPr>
        <w:t>.</w:t>
      </w:r>
      <w:r>
        <w:rPr>
          <w:rFonts w:hint="eastAsia" w:ascii="仿宋_GB2312" w:eastAsia="仿宋_GB2312"/>
          <w:sz w:val="32"/>
          <w:szCs w:val="32"/>
        </w:rPr>
        <w:t>卫生健康支出（类）其他卫生健康支出（款）其他卫生健康支出（项）：指</w:t>
      </w:r>
      <w:r>
        <w:rPr>
          <w:rFonts w:hint="eastAsia" w:ascii="仿宋_GB2312" w:eastAsia="仿宋_GB2312"/>
          <w:sz w:val="32"/>
          <w:szCs w:val="32"/>
          <w:lang w:val="en-US" w:eastAsia="zh-CN"/>
        </w:rPr>
        <w:t>除上述项目以外其他用于卫生健康方面的支出</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17</w:t>
      </w:r>
      <w:r>
        <w:rPr>
          <w:rFonts w:ascii="仿宋_GB2312" w:eastAsia="仿宋_GB2312"/>
          <w:sz w:val="32"/>
          <w:szCs w:val="32"/>
        </w:rPr>
        <w:t>.</w:t>
      </w:r>
      <w:r>
        <w:rPr>
          <w:rFonts w:hint="eastAsia" w:ascii="仿宋_GB2312" w:eastAsia="仿宋_GB2312"/>
          <w:sz w:val="32"/>
          <w:szCs w:val="32"/>
        </w:rPr>
        <w:t>住房保障支出（类）住房改革支出（款）住房公积金（项）：指</w:t>
      </w:r>
      <w:r>
        <w:rPr>
          <w:rFonts w:hint="eastAsia" w:ascii="仿宋_GB2312" w:eastAsia="仿宋_GB2312"/>
          <w:sz w:val="32"/>
          <w:szCs w:val="32"/>
          <w:lang w:val="en-US" w:eastAsia="zh-CN"/>
        </w:rPr>
        <w:t>行政事业单位按人力资源和社会保障部、财政部规定的基本工资和津贴补贴以及规定比例为职工缴纳的住房公积金</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lang w:val="en-US" w:eastAsia="zh-CN"/>
        </w:rPr>
        <w:t>18</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pPr>
        <w:ind w:firstLine="640" w:firstLineChars="200"/>
        <w:rPr>
          <w:rFonts w:ascii="仿宋_GB2312" w:eastAsia="仿宋_GB2312"/>
          <w:sz w:val="32"/>
          <w:szCs w:val="32"/>
        </w:rPr>
      </w:pPr>
      <w:r>
        <w:rPr>
          <w:rFonts w:hint="eastAsia" w:ascii="仿宋_GB2312" w:eastAsia="仿宋_GB2312"/>
          <w:sz w:val="32"/>
          <w:szCs w:val="32"/>
          <w:lang w:val="en-US" w:eastAsia="zh-CN"/>
        </w:rPr>
        <w:t>19</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20</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w:t>
      </w:r>
      <w:r>
        <w:rPr>
          <w:rFonts w:hint="eastAsia" w:ascii="仿宋_GB2312" w:eastAsia="仿宋_GB2312"/>
          <w:color w:val="auto"/>
          <w:sz w:val="32"/>
          <w:szCs w:val="32"/>
          <w:lang w:eastAsia="zh-CN"/>
        </w:rPr>
        <w:t>、安全奖励费用</w:t>
      </w:r>
      <w:r>
        <w:rPr>
          <w:rFonts w:hint="eastAsia" w:ascii="仿宋_GB2312" w:eastAsia="仿宋_GB2312"/>
          <w:color w:val="auto"/>
          <w:sz w:val="32"/>
          <w:szCs w:val="32"/>
        </w:rPr>
        <w:t>等支出；公务接待费反映单位按规定开支的各类公务接待（含外宾接待）支出。</w:t>
      </w:r>
    </w:p>
    <w:p>
      <w:pPr>
        <w:pStyle w:val="26"/>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lang w:val="en-US" w:eastAsia="zh-CN"/>
        </w:rPr>
        <w:t>21</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spacing w:line="600" w:lineRule="exact"/>
        <w:jc w:val="center"/>
        <w:outlineLvl w:val="0"/>
        <w:rPr>
          <w:rStyle w:val="28"/>
          <w:rFonts w:hint="eastAsia" w:ascii="黑体" w:hAnsi="黑体" w:eastAsia="黑体"/>
          <w:b w:val="0"/>
        </w:rPr>
      </w:pPr>
      <w:r>
        <w:rPr>
          <w:rFonts w:ascii="宋体"/>
          <w:b/>
          <w:sz w:val="44"/>
          <w:szCs w:val="44"/>
        </w:rPr>
        <w:br w:type="page"/>
      </w:r>
      <w:bookmarkStart w:id="53" w:name="_Toc7424"/>
      <w:bookmarkStart w:id="54" w:name="_Toc15396614"/>
      <w:r>
        <w:rPr>
          <w:rFonts w:hint="eastAsia" w:ascii="黑体" w:hAnsi="黑体" w:eastAsia="黑体"/>
          <w:sz w:val="44"/>
          <w:szCs w:val="44"/>
        </w:rPr>
        <w:t>第</w:t>
      </w:r>
      <w:r>
        <w:rPr>
          <w:rStyle w:val="28"/>
          <w:rFonts w:hint="eastAsia" w:ascii="黑体" w:hAnsi="黑体" w:eastAsia="黑体"/>
          <w:b w:val="0"/>
        </w:rPr>
        <w:t>四部分 附件</w:t>
      </w:r>
      <w:bookmarkEnd w:id="53"/>
      <w:bookmarkEnd w:id="54"/>
    </w:p>
    <w:p>
      <w:pPr>
        <w:pStyle w:val="2"/>
        <w:rPr>
          <w:rFonts w:hint="eastAsia"/>
        </w:rPr>
      </w:pPr>
    </w:p>
    <w:p>
      <w:pPr>
        <w:pStyle w:val="15"/>
        <w:spacing w:line="560" w:lineRule="exact"/>
        <w:ind w:left="0" w:leftChars="0" w:firstLine="640" w:firstLineChars="200"/>
        <w:rPr>
          <w:rFonts w:hint="eastAsia" w:ascii="黑体" w:hAnsi="黑体" w:eastAsia="黑体" w:cs="黑体"/>
          <w:sz w:val="32"/>
          <w:szCs w:val="32"/>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仿宋_GB2312" w:hAnsi="仿宋_GB2312" w:eastAsia="仿宋_GB2312" w:cs="仿宋_GB2312"/>
          <w:sz w:val="32"/>
          <w:szCs w:val="32"/>
        </w:rPr>
        <w:t>部门预算项目支出绩效自评表（2022年度）见附件</w:t>
      </w:r>
      <w:r>
        <w:rPr>
          <w:rFonts w:hint="eastAsia" w:ascii="仿宋_GB2312" w:hAnsi="仿宋_GB2312" w:eastAsia="仿宋_GB2312" w:cs="仿宋_GB2312"/>
          <w:sz w:val="32"/>
          <w:szCs w:val="32"/>
          <w:lang w:val="en-US" w:eastAsia="zh-CN"/>
        </w:rPr>
        <w:t>。</w:t>
      </w:r>
    </w:p>
    <w:p>
      <w:pPr>
        <w:numPr>
          <w:ilvl w:val="0"/>
          <w:numId w:val="0"/>
        </w:numPr>
        <w:spacing w:line="600" w:lineRule="exact"/>
        <w:ind w:firstLine="3080" w:firstLineChars="700"/>
        <w:jc w:val="both"/>
        <w:outlineLvl w:val="0"/>
        <w:rPr>
          <w:rStyle w:val="28"/>
          <w:rFonts w:hint="eastAsia" w:ascii="黑体" w:hAnsi="黑体" w:eastAsia="黑体"/>
          <w:b w:val="0"/>
        </w:rPr>
      </w:pPr>
      <w:bookmarkStart w:id="55" w:name="_Toc15396618"/>
      <w:bookmarkStart w:id="56" w:name="_Toc15377226"/>
      <w:r>
        <w:rPr>
          <w:rStyle w:val="28"/>
          <w:rFonts w:hint="eastAsia" w:ascii="黑体" w:hAnsi="黑体" w:eastAsia="黑体"/>
          <w:b w:val="0"/>
          <w:lang w:eastAsia="zh-CN"/>
        </w:rPr>
        <w:t>第五部分</w:t>
      </w:r>
      <w:r>
        <w:rPr>
          <w:rStyle w:val="28"/>
          <w:rFonts w:hint="eastAsia" w:ascii="黑体" w:hAnsi="黑体" w:eastAsia="黑体"/>
          <w:b w:val="0"/>
          <w:lang w:val="en-US" w:eastAsia="zh-CN"/>
        </w:rPr>
        <w:t xml:space="preserve"> </w:t>
      </w:r>
      <w:r>
        <w:rPr>
          <w:rStyle w:val="28"/>
          <w:rFonts w:hint="eastAsia" w:ascii="黑体" w:hAnsi="黑体" w:eastAsia="黑体"/>
          <w:b w:val="0"/>
        </w:rPr>
        <w:t>附表</w:t>
      </w:r>
      <w:bookmarkEnd w:id="55"/>
      <w:bookmarkEnd w:id="56"/>
    </w:p>
    <w:p>
      <w:pPr>
        <w:pStyle w:val="2"/>
        <w:rPr>
          <w:rStyle w:val="29"/>
          <w:rFonts w:hint="eastAsia" w:ascii="仿宋" w:hAnsi="仿宋" w:eastAsia="仿宋"/>
          <w:b w:val="0"/>
          <w:bCs w:val="0"/>
        </w:rPr>
      </w:pPr>
    </w:p>
    <w:p>
      <w:pPr>
        <w:pStyle w:val="4"/>
        <w:rPr>
          <w:rFonts w:ascii="仿宋" w:hAnsi="仿宋" w:eastAsia="仿宋"/>
        </w:rPr>
      </w:pPr>
      <w:r>
        <w:rPr>
          <w:rFonts w:hint="eastAsia" w:ascii="仿宋" w:hAnsi="仿宋" w:eastAsia="仿宋"/>
          <w:b w:val="0"/>
        </w:rPr>
        <w:t>一、收</w:t>
      </w:r>
      <w:r>
        <w:rPr>
          <w:rStyle w:val="29"/>
          <w:rFonts w:hint="eastAsia" w:ascii="仿宋" w:hAnsi="仿宋" w:eastAsia="仿宋"/>
          <w:b w:val="0"/>
          <w:bCs w:val="0"/>
        </w:rPr>
        <w:t>入支出决算总表</w:t>
      </w:r>
    </w:p>
    <w:p>
      <w:pPr>
        <w:pStyle w:val="4"/>
        <w:rPr>
          <w:rFonts w:ascii="仿宋" w:hAnsi="仿宋" w:eastAsia="仿宋"/>
        </w:rPr>
      </w:pPr>
      <w:bookmarkStart w:id="57" w:name="_Toc15396620"/>
      <w:r>
        <w:rPr>
          <w:rFonts w:hint="eastAsia" w:ascii="仿宋" w:hAnsi="仿宋" w:eastAsia="仿宋"/>
          <w:b w:val="0"/>
        </w:rPr>
        <w:t>二、收</w:t>
      </w:r>
      <w:r>
        <w:rPr>
          <w:rStyle w:val="29"/>
          <w:rFonts w:hint="eastAsia" w:ascii="仿宋" w:hAnsi="仿宋" w:eastAsia="仿宋"/>
          <w:b w:val="0"/>
          <w:bCs w:val="0"/>
        </w:rPr>
        <w:t>入决算表</w:t>
      </w:r>
      <w:bookmarkEnd w:id="57"/>
    </w:p>
    <w:p>
      <w:pPr>
        <w:pStyle w:val="4"/>
        <w:rPr>
          <w:rFonts w:ascii="仿宋" w:hAnsi="仿宋" w:eastAsia="仿宋"/>
        </w:rPr>
      </w:pPr>
      <w:bookmarkStart w:id="58" w:name="_Toc15396621"/>
      <w:r>
        <w:rPr>
          <w:rStyle w:val="29"/>
          <w:rFonts w:hint="eastAsia" w:ascii="仿宋" w:hAnsi="仿宋" w:eastAsia="仿宋"/>
          <w:b w:val="0"/>
          <w:bCs w:val="0"/>
        </w:rPr>
        <w:t>三、</w:t>
      </w:r>
      <w:r>
        <w:rPr>
          <w:rFonts w:hint="eastAsia" w:ascii="仿宋" w:hAnsi="仿宋" w:eastAsia="仿宋"/>
          <w:b w:val="0"/>
        </w:rPr>
        <w:t>支</w:t>
      </w:r>
      <w:r>
        <w:rPr>
          <w:rStyle w:val="29"/>
          <w:rFonts w:hint="eastAsia" w:ascii="仿宋" w:hAnsi="仿宋" w:eastAsia="仿宋"/>
          <w:b w:val="0"/>
          <w:bCs w:val="0"/>
        </w:rPr>
        <w:t>出决算表</w:t>
      </w:r>
      <w:bookmarkEnd w:id="58"/>
    </w:p>
    <w:p>
      <w:pPr>
        <w:pStyle w:val="4"/>
        <w:rPr>
          <w:rFonts w:ascii="仿宋" w:hAnsi="仿宋" w:eastAsia="仿宋"/>
          <w:b w:val="0"/>
        </w:rPr>
      </w:pPr>
      <w:bookmarkStart w:id="59" w:name="_Toc15396622"/>
      <w:r>
        <w:rPr>
          <w:rStyle w:val="29"/>
          <w:rFonts w:hint="eastAsia" w:ascii="仿宋" w:hAnsi="仿宋" w:eastAsia="仿宋"/>
          <w:b w:val="0"/>
          <w:bCs w:val="0"/>
        </w:rPr>
        <w:t>四、</w:t>
      </w:r>
      <w:r>
        <w:rPr>
          <w:rFonts w:hint="eastAsia" w:ascii="仿宋" w:hAnsi="仿宋" w:eastAsia="仿宋"/>
          <w:b w:val="0"/>
        </w:rPr>
        <w:t>财</w:t>
      </w:r>
      <w:r>
        <w:rPr>
          <w:rStyle w:val="29"/>
          <w:rFonts w:hint="eastAsia" w:ascii="仿宋" w:hAnsi="仿宋" w:eastAsia="仿宋"/>
          <w:b w:val="0"/>
          <w:bCs w:val="0"/>
        </w:rPr>
        <w:t>政拨款收入支出决算总表</w:t>
      </w:r>
      <w:bookmarkEnd w:id="59"/>
    </w:p>
    <w:p>
      <w:pPr>
        <w:pStyle w:val="4"/>
        <w:rPr>
          <w:rStyle w:val="29"/>
          <w:rFonts w:ascii="仿宋" w:hAnsi="仿宋" w:eastAsia="仿宋"/>
          <w:b w:val="0"/>
          <w:bCs w:val="0"/>
        </w:rPr>
      </w:pPr>
      <w:bookmarkStart w:id="60" w:name="_Toc15396623"/>
      <w:r>
        <w:rPr>
          <w:rStyle w:val="29"/>
          <w:rFonts w:hint="eastAsia" w:ascii="仿宋" w:hAnsi="仿宋" w:eastAsia="仿宋"/>
          <w:b w:val="0"/>
          <w:bCs w:val="0"/>
        </w:rPr>
        <w:t>五、</w:t>
      </w:r>
      <w:r>
        <w:rPr>
          <w:rFonts w:hint="eastAsia" w:ascii="仿宋" w:hAnsi="仿宋" w:eastAsia="仿宋"/>
          <w:b w:val="0"/>
        </w:rPr>
        <w:t>财</w:t>
      </w:r>
      <w:r>
        <w:rPr>
          <w:rStyle w:val="29"/>
          <w:rFonts w:hint="eastAsia" w:ascii="仿宋" w:hAnsi="仿宋" w:eastAsia="仿宋"/>
          <w:b w:val="0"/>
          <w:bCs w:val="0"/>
        </w:rPr>
        <w:t>政拨款支出决算明细表</w:t>
      </w:r>
      <w:bookmarkEnd w:id="60"/>
      <w:bookmarkStart w:id="61" w:name="_Toc15396624"/>
    </w:p>
    <w:p>
      <w:pPr>
        <w:pStyle w:val="4"/>
        <w:rPr>
          <w:rFonts w:ascii="仿宋" w:hAnsi="仿宋" w:eastAsia="仿宋"/>
        </w:rPr>
      </w:pPr>
      <w:r>
        <w:rPr>
          <w:rStyle w:val="29"/>
          <w:rFonts w:hint="eastAsia" w:ascii="仿宋" w:hAnsi="仿宋" w:eastAsia="仿宋"/>
          <w:b w:val="0"/>
          <w:bCs w:val="0"/>
        </w:rPr>
        <w:t>六、</w:t>
      </w:r>
      <w:r>
        <w:rPr>
          <w:rFonts w:hint="eastAsia" w:ascii="仿宋" w:hAnsi="仿宋" w:eastAsia="仿宋"/>
          <w:b w:val="0"/>
        </w:rPr>
        <w:t>一</w:t>
      </w:r>
      <w:r>
        <w:rPr>
          <w:rStyle w:val="29"/>
          <w:rFonts w:hint="eastAsia" w:ascii="仿宋" w:hAnsi="仿宋" w:eastAsia="仿宋"/>
          <w:b w:val="0"/>
          <w:bCs w:val="0"/>
        </w:rPr>
        <w:t>般公共预算财政拨款支出决算表</w:t>
      </w:r>
      <w:bookmarkEnd w:id="61"/>
    </w:p>
    <w:p>
      <w:pPr>
        <w:pStyle w:val="4"/>
        <w:rPr>
          <w:rFonts w:ascii="仿宋" w:hAnsi="仿宋" w:eastAsia="仿宋"/>
        </w:rPr>
      </w:pPr>
      <w:bookmarkStart w:id="62" w:name="_Toc15396625"/>
      <w:r>
        <w:rPr>
          <w:rStyle w:val="29"/>
          <w:rFonts w:hint="eastAsia" w:ascii="仿宋" w:hAnsi="仿宋" w:eastAsia="仿宋"/>
          <w:b w:val="0"/>
          <w:bCs w:val="0"/>
        </w:rPr>
        <w:t>七、</w:t>
      </w:r>
      <w:r>
        <w:rPr>
          <w:rFonts w:hint="eastAsia" w:ascii="仿宋" w:hAnsi="仿宋" w:eastAsia="仿宋"/>
          <w:b w:val="0"/>
        </w:rPr>
        <w:t>一</w:t>
      </w:r>
      <w:r>
        <w:rPr>
          <w:rStyle w:val="29"/>
          <w:rFonts w:hint="eastAsia" w:ascii="仿宋" w:hAnsi="仿宋" w:eastAsia="仿宋"/>
          <w:b w:val="0"/>
          <w:bCs w:val="0"/>
        </w:rPr>
        <w:t>般公共预算财政拨款支出决算明细表</w:t>
      </w:r>
      <w:bookmarkEnd w:id="62"/>
    </w:p>
    <w:p>
      <w:pPr>
        <w:pStyle w:val="4"/>
        <w:rPr>
          <w:rFonts w:ascii="仿宋" w:hAnsi="仿宋" w:eastAsia="仿宋"/>
        </w:rPr>
      </w:pPr>
      <w:bookmarkStart w:id="63" w:name="_Toc15396626"/>
      <w:r>
        <w:rPr>
          <w:rStyle w:val="29"/>
          <w:rFonts w:hint="eastAsia" w:ascii="仿宋" w:hAnsi="仿宋" w:eastAsia="仿宋"/>
          <w:b w:val="0"/>
          <w:bCs w:val="0"/>
        </w:rPr>
        <w:t>八、</w:t>
      </w:r>
      <w:r>
        <w:rPr>
          <w:rFonts w:hint="eastAsia" w:ascii="仿宋" w:hAnsi="仿宋" w:eastAsia="仿宋"/>
          <w:b w:val="0"/>
        </w:rPr>
        <w:t>一</w:t>
      </w:r>
      <w:r>
        <w:rPr>
          <w:rStyle w:val="29"/>
          <w:rFonts w:hint="eastAsia" w:ascii="仿宋" w:hAnsi="仿宋" w:eastAsia="仿宋"/>
          <w:b w:val="0"/>
          <w:bCs w:val="0"/>
        </w:rPr>
        <w:t>般公共预算财政拨款基本支出决算表</w:t>
      </w:r>
      <w:bookmarkEnd w:id="63"/>
    </w:p>
    <w:p>
      <w:pPr>
        <w:pStyle w:val="4"/>
        <w:rPr>
          <w:rFonts w:ascii="仿宋" w:hAnsi="仿宋" w:eastAsia="仿宋"/>
        </w:rPr>
      </w:pPr>
      <w:bookmarkStart w:id="64" w:name="_Toc15396627"/>
      <w:r>
        <w:rPr>
          <w:rStyle w:val="29"/>
          <w:rFonts w:hint="eastAsia" w:ascii="仿宋" w:hAnsi="仿宋" w:eastAsia="仿宋"/>
          <w:b w:val="0"/>
          <w:bCs w:val="0"/>
        </w:rPr>
        <w:t>九、</w:t>
      </w:r>
      <w:r>
        <w:rPr>
          <w:rFonts w:hint="eastAsia" w:ascii="仿宋" w:hAnsi="仿宋" w:eastAsia="仿宋"/>
          <w:b w:val="0"/>
        </w:rPr>
        <w:t>一</w:t>
      </w:r>
      <w:r>
        <w:rPr>
          <w:rStyle w:val="29"/>
          <w:rFonts w:hint="eastAsia" w:ascii="仿宋" w:hAnsi="仿宋" w:eastAsia="仿宋"/>
          <w:b w:val="0"/>
          <w:bCs w:val="0"/>
        </w:rPr>
        <w:t>般公共预算财政拨款项目支出决算表</w:t>
      </w:r>
      <w:bookmarkEnd w:id="64"/>
    </w:p>
    <w:p>
      <w:pPr>
        <w:pStyle w:val="4"/>
        <w:rPr>
          <w:rFonts w:ascii="仿宋" w:hAnsi="仿宋" w:eastAsia="仿宋"/>
        </w:rPr>
      </w:pPr>
      <w:bookmarkStart w:id="65" w:name="_Toc15396628"/>
      <w:r>
        <w:rPr>
          <w:rStyle w:val="29"/>
          <w:rFonts w:hint="eastAsia" w:ascii="仿宋" w:hAnsi="仿宋" w:eastAsia="仿宋"/>
          <w:b w:val="0"/>
          <w:bCs w:val="0"/>
        </w:rPr>
        <w:t>十、</w:t>
      </w:r>
      <w:bookmarkEnd w:id="65"/>
      <w:r>
        <w:rPr>
          <w:rFonts w:hint="eastAsia" w:ascii="仿宋" w:hAnsi="仿宋" w:eastAsia="仿宋"/>
          <w:b w:val="0"/>
        </w:rPr>
        <w:t>政</w:t>
      </w:r>
      <w:r>
        <w:rPr>
          <w:rStyle w:val="29"/>
          <w:rFonts w:hint="eastAsia" w:ascii="仿宋" w:hAnsi="仿宋" w:eastAsia="仿宋"/>
          <w:b w:val="0"/>
          <w:bCs w:val="0"/>
        </w:rPr>
        <w:t>府性基金预算财政拨款收入支出决算表</w:t>
      </w:r>
    </w:p>
    <w:p>
      <w:pPr>
        <w:pStyle w:val="4"/>
        <w:rPr>
          <w:rFonts w:ascii="仿宋" w:hAnsi="仿宋" w:eastAsia="仿宋"/>
        </w:rPr>
      </w:pPr>
      <w:bookmarkStart w:id="66" w:name="_Toc15396629"/>
      <w:r>
        <w:rPr>
          <w:rStyle w:val="29"/>
          <w:rFonts w:hint="eastAsia" w:ascii="仿宋" w:hAnsi="仿宋" w:eastAsia="仿宋"/>
          <w:b w:val="0"/>
          <w:bCs w:val="0"/>
        </w:rPr>
        <w:t>十一、</w:t>
      </w:r>
      <w:bookmarkEnd w:id="66"/>
      <w:r>
        <w:rPr>
          <w:rFonts w:hint="eastAsia" w:ascii="仿宋" w:hAnsi="仿宋" w:eastAsia="仿宋"/>
          <w:b w:val="0"/>
        </w:rPr>
        <w:t>国</w:t>
      </w:r>
      <w:r>
        <w:rPr>
          <w:rStyle w:val="29"/>
          <w:rFonts w:hint="eastAsia" w:ascii="仿宋" w:hAnsi="仿宋" w:eastAsia="仿宋"/>
          <w:b w:val="0"/>
          <w:bCs w:val="0"/>
        </w:rPr>
        <w:t>有资本经营预算财政拨款收入支出决算表</w:t>
      </w:r>
    </w:p>
    <w:p>
      <w:pPr>
        <w:pStyle w:val="4"/>
        <w:rPr>
          <w:rFonts w:ascii="仿宋" w:hAnsi="仿宋" w:eastAsia="仿宋"/>
        </w:rPr>
      </w:pPr>
      <w:bookmarkStart w:id="67" w:name="_Toc15396630"/>
      <w:r>
        <w:rPr>
          <w:rStyle w:val="29"/>
          <w:rFonts w:hint="eastAsia" w:ascii="仿宋" w:hAnsi="仿宋" w:eastAsia="仿宋"/>
          <w:b w:val="0"/>
          <w:bCs w:val="0"/>
        </w:rPr>
        <w:t>十二、</w:t>
      </w:r>
      <w:bookmarkEnd w:id="67"/>
      <w:r>
        <w:rPr>
          <w:rStyle w:val="29"/>
          <w:rFonts w:hint="eastAsia" w:ascii="仿宋" w:hAnsi="仿宋" w:eastAsia="仿宋"/>
          <w:b w:val="0"/>
          <w:bCs w:val="0"/>
        </w:rPr>
        <w:t>国有资本经营预算财政拨款支出决算表</w:t>
      </w:r>
    </w:p>
    <w:p>
      <w:pPr>
        <w:pStyle w:val="4"/>
        <w:rPr>
          <w:rStyle w:val="29"/>
          <w:rFonts w:hint="eastAsia" w:ascii="仿宋" w:hAnsi="仿宋" w:eastAsia="仿宋"/>
          <w:b w:val="0"/>
          <w:bCs w:val="0"/>
        </w:rPr>
        <w:sectPr>
          <w:footerReference r:id="rId7" w:type="first"/>
          <w:headerReference r:id="rId5" w:type="default"/>
          <w:footerReference r:id="rId6" w:type="default"/>
          <w:pgSz w:w="11906" w:h="16838"/>
          <w:pgMar w:top="1440" w:right="1800" w:bottom="1440" w:left="1800" w:header="851" w:footer="992" w:gutter="0"/>
          <w:pgNumType w:fmt="decimal"/>
          <w:cols w:space="425" w:num="1"/>
          <w:titlePg/>
          <w:docGrid w:type="lines" w:linePitch="312" w:charSpace="0"/>
        </w:sectPr>
      </w:pPr>
      <w:bookmarkStart w:id="68" w:name="_Toc15396631"/>
      <w:r>
        <w:rPr>
          <w:rStyle w:val="29"/>
          <w:rFonts w:hint="eastAsia" w:ascii="仿宋" w:hAnsi="仿宋" w:eastAsia="仿宋"/>
          <w:b w:val="0"/>
          <w:bCs w:val="0"/>
        </w:rPr>
        <w:t>十三、</w:t>
      </w:r>
      <w:bookmarkEnd w:id="68"/>
      <w:r>
        <w:rPr>
          <w:rStyle w:val="29"/>
          <w:rFonts w:hint="eastAsia" w:ascii="仿宋" w:hAnsi="仿宋" w:eastAsia="仿宋"/>
          <w:b w:val="0"/>
          <w:bCs w:val="0"/>
        </w:rPr>
        <w:t>财政拨款“三公”经费支出决算表</w: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28" o:spt="75" type="#_x0000_t75" style="height:471pt;width:697.25pt;" o:ole="t" filled="f" o:preferrelative="t" stroked="f" coordsize="21600,21600">
            <v:path/>
            <v:fill on="f" focussize="0,0"/>
            <v:stroke on="f"/>
            <v:imagedata r:id="rId21" o:title=""/>
            <o:lock v:ext="edit" aspectratio="f"/>
            <w10:wrap type="none"/>
            <w10:anchorlock/>
          </v:shape>
          <o:OLEObject Type="Embed" ProgID="Excel.Sheet.8" ShapeID="_x0000_i1028" DrawAspect="Content" ObjectID="_1468075730" r:id="rId20">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29" o:spt="75" type="#_x0000_t75" style="height:346.85pt;width:697.9pt;" o:ole="t" filled="f" o:preferrelative="t" stroked="f" coordsize="21600,21600">
            <v:path/>
            <v:fill on="f" focussize="0,0"/>
            <v:stroke on="f"/>
            <v:imagedata r:id="rId23" o:title=""/>
            <o:lock v:ext="edit" aspectratio="f"/>
            <w10:wrap type="none"/>
            <w10:anchorlock/>
          </v:shape>
          <o:OLEObject Type="Embed" ProgID="Excel.Sheet.8" ShapeID="_x0000_i1029" DrawAspect="Content" ObjectID="_1468075731" r:id="rId22">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0" o:spt="75" type="#_x0000_t75" style="height:412.45pt;width:697.85pt;" o:ole="t" filled="f" o:preferrelative="t" stroked="f" coordsize="21600,21600">
            <v:path/>
            <v:fill on="f" focussize="0,0"/>
            <v:stroke on="f"/>
            <v:imagedata r:id="rId25" o:title=""/>
            <o:lock v:ext="edit" aspectratio="f"/>
            <w10:wrap type="none"/>
            <w10:anchorlock/>
          </v:shape>
          <o:OLEObject Type="Embed" ProgID="Excel.Sheet.8" ShapeID="_x0000_i1030" DrawAspect="Content" ObjectID="_1468075732" r:id="rId24">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1" o:spt="75" type="#_x0000_t75" style="height:409.65pt;width:697.2pt;" o:ole="t" filled="f" o:preferrelative="t" stroked="f" coordsize="21600,21600">
            <v:path/>
            <v:fill on="f" focussize="0,0"/>
            <v:stroke on="f"/>
            <v:imagedata r:id="rId27" o:title=""/>
            <o:lock v:ext="edit" aspectratio="f"/>
            <w10:wrap type="none"/>
            <w10:anchorlock/>
          </v:shape>
          <o:OLEObject Type="Embed" ProgID="Excel.Sheet.8" ShapeID="_x0000_i1031" DrawAspect="Content" ObjectID="_1468075733" r:id="rId26">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2" o:spt="75" type="#_x0000_t75" style="height:455.2pt;width:697.5pt;" o:ole="t" filled="f" o:preferrelative="t" stroked="f" coordsize="21600,21600">
            <v:path/>
            <v:fill on="f" focussize="0,0"/>
            <v:stroke on="f"/>
            <v:imagedata r:id="rId29" o:title=""/>
            <o:lock v:ext="edit" aspectratio="f"/>
            <w10:wrap type="none"/>
            <w10:anchorlock/>
          </v:shape>
          <o:OLEObject Type="Embed" ProgID="Excel.Sheet.8" ShapeID="_x0000_i1032" DrawAspect="Content" ObjectID="_1468075734" r:id="rId28">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3" o:spt="75" type="#_x0000_t75" style="height:451.75pt;width:697.5pt;" o:ole="t" filled="f" o:preferrelative="t" stroked="f" coordsize="21600,21600">
            <v:path/>
            <v:fill on="f" focussize="0,0"/>
            <v:stroke on="f"/>
            <v:imagedata r:id="rId31" o:title=""/>
            <o:lock v:ext="edit" aspectratio="f"/>
            <w10:wrap type="none"/>
            <w10:anchorlock/>
          </v:shape>
          <o:OLEObject Type="Embed" ProgID="Excel.Sheet.8" ShapeID="_x0000_i1033" DrawAspect="Content" ObjectID="_1468075735" r:id="rId30">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4" o:spt="75" type="#_x0000_t75" style="height:266.35pt;width:697.5pt;" o:ole="t" filled="f" o:preferrelative="t" stroked="f" coordsize="21600,21600">
            <v:path/>
            <v:fill on="f" focussize="0,0"/>
            <v:stroke on="f"/>
            <v:imagedata r:id="rId33" o:title=""/>
            <o:lock v:ext="edit" aspectratio="f"/>
            <w10:wrap type="none"/>
            <w10:anchorlock/>
          </v:shape>
          <o:OLEObject Type="Embed" ProgID="Excel.Sheet.8" ShapeID="_x0000_i1034" DrawAspect="Content" ObjectID="_1468075736" r:id="rId32">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5" o:spt="75" type="#_x0000_t75" style="height:415.15pt;width:559.25pt;" o:ole="t" filled="f" o:preferrelative="t" stroked="f" coordsize="21600,21600">
            <v:path/>
            <v:fill on="f" focussize="0,0"/>
            <v:stroke on="f"/>
            <v:imagedata r:id="rId35" o:title=""/>
            <o:lock v:ext="edit" aspectratio="f"/>
            <w10:wrap type="none"/>
            <w10:anchorlock/>
          </v:shape>
          <o:OLEObject Type="Embed" ProgID="Excel.Sheet.8" ShapeID="_x0000_i1035" DrawAspect="Content" ObjectID="_1468075737" r:id="rId34">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6" o:spt="75" type="#_x0000_t75" style="height:356.25pt;width:649.5pt;" o:ole="t" filled="f" o:preferrelative="t" stroked="f" coordsize="21600,21600">
            <v:path/>
            <v:fill on="f" focussize="0,0"/>
            <v:stroke on="f"/>
            <v:imagedata r:id="rId37" o:title=""/>
            <o:lock v:ext="edit" aspectratio="f"/>
            <w10:wrap type="none"/>
            <w10:anchorlock/>
          </v:shape>
          <o:OLEObject Type="Embed" ProgID="Excel.Sheet.8" ShapeID="_x0000_i1036" DrawAspect="Content" ObjectID="_1468075738" r:id="rId36">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7" o:spt="75" type="#_x0000_t75" style="height:356.25pt;width:678.75pt;" o:ole="t" filled="f" o:preferrelative="t" stroked="f" coordsize="21600,21600">
            <v:path/>
            <v:fill on="f" focussize="0,0"/>
            <v:stroke on="f"/>
            <v:imagedata r:id="rId39" o:title=""/>
            <o:lock v:ext="edit" aspectratio="f"/>
            <w10:wrap type="none"/>
            <w10:anchorlock/>
          </v:shape>
          <o:OLEObject Type="Embed" ProgID="Excel.Sheet.8" ShapeID="_x0000_i1037" DrawAspect="Content" ObjectID="_1468075739" r:id="rId38">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8" o:spt="75" type="#_x0000_t75" style="height:357.75pt;width:678.75pt;" o:ole="t" filled="f" o:preferrelative="t" stroked="f" coordsize="21600,21600">
            <v:path/>
            <v:fill on="f" focussize="0,0"/>
            <v:stroke on="f"/>
            <v:imagedata r:id="rId41" o:title=""/>
            <o:lock v:ext="edit" aspectratio="f"/>
            <w10:wrap type="none"/>
            <w10:anchorlock/>
          </v:shape>
          <o:OLEObject Type="Embed" ProgID="Excel.Sheet.8" ShapeID="_x0000_i1038" DrawAspect="Content" ObjectID="_1468075740" r:id="rId40">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39" o:spt="75" type="#_x0000_t75" style="height:356.25pt;width:678.75pt;" o:ole="t" filled="f" o:preferrelative="t" stroked="f" coordsize="21600,21600">
            <v:path/>
            <v:fill on="f" focussize="0,0"/>
            <v:stroke on="f"/>
            <v:imagedata r:id="rId43" o:title=""/>
            <o:lock v:ext="edit" aspectratio="f"/>
            <w10:wrap type="none"/>
            <w10:anchorlock/>
          </v:shape>
          <o:OLEObject Type="Embed" ProgID="Excel.Sheet.8" ShapeID="_x0000_i1039" DrawAspect="Content" ObjectID="_1468075741" r:id="rId42">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0" o:spt="75" type="#_x0000_t75" style="height:356.25pt;width:678.75pt;" o:ole="t" filled="f" o:preferrelative="t" stroked="f" coordsize="21600,21600">
            <v:path/>
            <v:fill on="f" focussize="0,0"/>
            <v:stroke on="f"/>
            <v:imagedata r:id="rId45" o:title=""/>
            <o:lock v:ext="edit" aspectratio="f"/>
            <w10:wrap type="none"/>
            <w10:anchorlock/>
          </v:shape>
          <o:OLEObject Type="Embed" ProgID="Excel.Sheet.8" ShapeID="_x0000_i1040" DrawAspect="Content" ObjectID="_1468075742" r:id="rId44">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1" o:spt="75" type="#_x0000_t75" style="height:356.25pt;width:678.75pt;" o:ole="t" filled="f" o:preferrelative="t" stroked="f" coordsize="21600,21600">
            <v:path/>
            <v:fill on="f" focussize="0,0"/>
            <v:stroke on="f"/>
            <v:imagedata r:id="rId47" o:title=""/>
            <o:lock v:ext="edit" aspectratio="f"/>
            <w10:wrap type="none"/>
            <w10:anchorlock/>
          </v:shape>
          <o:OLEObject Type="Embed" ProgID="Excel.Sheet.8" ShapeID="_x0000_i1041" DrawAspect="Content" ObjectID="_1468075743" r:id="rId46">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2" o:spt="75" type="#_x0000_t75" style="height:360.75pt;width:678.75pt;" o:ole="t" filled="f" o:preferrelative="t" stroked="f" coordsize="21600,21600">
            <v:path/>
            <v:fill on="f" focussize="0,0"/>
            <v:stroke on="f"/>
            <v:imagedata r:id="rId49" o:title=""/>
            <o:lock v:ext="edit" aspectratio="f"/>
            <w10:wrap type="none"/>
            <w10:anchorlock/>
          </v:shape>
          <o:OLEObject Type="Embed" ProgID="Excel.Sheet.8" ShapeID="_x0000_i1042" DrawAspect="Content" ObjectID="_1468075744" r:id="rId48">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3" o:spt="75" type="#_x0000_t75" style="height:367.5pt;width:678.75pt;" o:ole="t" filled="f" o:preferrelative="t" stroked="f" coordsize="21600,21600">
            <v:path/>
            <v:fill on="f" focussize="0,0"/>
            <v:stroke on="f"/>
            <v:imagedata r:id="rId51" o:title=""/>
            <o:lock v:ext="edit" aspectratio="f"/>
            <w10:wrap type="none"/>
            <w10:anchorlock/>
          </v:shape>
          <o:OLEObject Type="Embed" ProgID="Excel.Sheet.8" ShapeID="_x0000_i1043" DrawAspect="Content" ObjectID="_1468075745" r:id="rId50">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4" o:spt="75" type="#_x0000_t75" style="height:367.5pt;width:678.75pt;" o:ole="t" filled="f" o:preferrelative="t" stroked="f" coordsize="21600,21600">
            <v:path/>
            <v:fill on="f" focussize="0,0"/>
            <v:stroke on="f"/>
            <v:imagedata r:id="rId53" o:title=""/>
            <o:lock v:ext="edit" aspectratio="f"/>
            <w10:wrap type="none"/>
            <w10:anchorlock/>
          </v:shape>
          <o:OLEObject Type="Embed" ProgID="Excel.Sheet.8" ShapeID="_x0000_i1044" DrawAspect="Content" ObjectID="_1468075746" r:id="rId52">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5" o:spt="75" type="#_x0000_t75" style="height:385.5pt;width:678.75pt;" o:ole="t" filled="f" o:preferrelative="t" stroked="f" coordsize="21600,21600">
            <v:path/>
            <v:fill on="f" focussize="0,0"/>
            <v:stroke on="f"/>
            <v:imagedata r:id="rId55" o:title=""/>
            <o:lock v:ext="edit" aspectratio="f"/>
            <w10:wrap type="none"/>
            <w10:anchorlock/>
          </v:shape>
          <o:OLEObject Type="Embed" ProgID="Excel.Sheet.8" ShapeID="_x0000_i1045" DrawAspect="Content" ObjectID="_1468075747" r:id="rId54">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6" o:spt="75" type="#_x0000_t75" style="height:377.25pt;width:678.75pt;" o:ole="t" filled="f" o:preferrelative="t" stroked="f" coordsize="21600,21600">
            <v:path/>
            <v:fill on="f" focussize="0,0"/>
            <v:stroke on="f"/>
            <v:imagedata r:id="rId57" o:title=""/>
            <o:lock v:ext="edit" aspectratio="f"/>
            <w10:wrap type="none"/>
            <w10:anchorlock/>
          </v:shape>
          <o:OLEObject Type="Embed" ProgID="Excel.Sheet.8" ShapeID="_x0000_i1046" DrawAspect="Content" ObjectID="_1468075748" r:id="rId56">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7" o:spt="75" type="#_x0000_t75" style="height:385.5pt;width:678.75pt;" o:ole="t" filled="f" o:preferrelative="t" stroked="f" coordsize="21600,21600">
            <v:path/>
            <v:fill on="f" focussize="0,0"/>
            <v:stroke on="f"/>
            <v:imagedata r:id="rId59" o:title=""/>
            <o:lock v:ext="edit" aspectratio="f"/>
            <w10:wrap type="none"/>
            <w10:anchorlock/>
          </v:shape>
          <o:OLEObject Type="Embed" ProgID="Excel.Sheet.8" ShapeID="_x0000_i1047" DrawAspect="Content" ObjectID="_1468075749" r:id="rId58">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8" o:spt="75" type="#_x0000_t75" style="height:385.5pt;width:678.75pt;" o:ole="t" filled="f" o:preferrelative="t" stroked="f" coordsize="21600,21600">
            <v:path/>
            <v:fill on="f" focussize="0,0"/>
            <v:stroke on="f"/>
            <v:imagedata r:id="rId61" o:title=""/>
            <o:lock v:ext="edit" aspectratio="f"/>
            <w10:wrap type="none"/>
            <w10:anchorlock/>
          </v:shape>
          <o:OLEObject Type="Embed" ProgID="Excel.Sheet.8" ShapeID="_x0000_i1048" DrawAspect="Content" ObjectID="_1468075750" r:id="rId60">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49" o:spt="75" type="#_x0000_t75" style="height:385.5pt;width:678.75pt;" o:ole="t" filled="f" o:preferrelative="t" stroked="f" coordsize="21600,21600">
            <v:path/>
            <v:fill on="f" focussize="0,0"/>
            <v:stroke on="f"/>
            <v:imagedata r:id="rId63" o:title=""/>
            <o:lock v:ext="edit" aspectratio="f"/>
            <w10:wrap type="none"/>
            <w10:anchorlock/>
          </v:shape>
          <o:OLEObject Type="Embed" ProgID="Excel.Sheet.8" ShapeID="_x0000_i1049" DrawAspect="Content" ObjectID="_1468075751" r:id="rId62">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50" o:spt="75" type="#_x0000_t75" style="height:415.2pt;width:619pt;" o:ole="t" filled="f" o:preferrelative="t" stroked="f" coordsize="21600,21600">
            <v:path/>
            <v:fill on="f" focussize="0,0"/>
            <v:stroke on="f"/>
            <v:imagedata r:id="rId65" o:title=""/>
            <o:lock v:ext="edit" aspectratio="f"/>
            <w10:wrap type="none"/>
            <w10:anchorlock/>
          </v:shape>
          <o:OLEObject Type="Embed" ProgID="Excel.Sheet.8" ShapeID="_x0000_i1050" DrawAspect="Content" ObjectID="_1468075752" r:id="rId64">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51" o:spt="75" type="#_x0000_t75" style="height:415.2pt;width:568.4pt;" o:ole="t" filled="f" o:preferrelative="t" stroked="f" coordsize="21600,21600">
            <v:path/>
            <v:fill on="f" focussize="0,0"/>
            <v:stroke on="f"/>
            <v:imagedata r:id="rId67" o:title=""/>
            <o:lock v:ext="edit" aspectratio="f"/>
            <w10:wrap type="none"/>
            <w10:anchorlock/>
          </v:shape>
          <o:OLEObject Type="Embed" ProgID="Excel.Sheet.8" ShapeID="_x0000_i1051" DrawAspect="Content" ObjectID="_1468075753" r:id="rId66">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52" o:spt="75" type="#_x0000_t75" style="height:408.25pt;width:697.4pt;" o:ole="t" filled="f" o:preferrelative="t" stroked="f" coordsize="21600,21600">
            <v:path/>
            <v:fill on="f" focussize="0,0"/>
            <v:stroke on="f"/>
            <v:imagedata r:id="rId69" o:title=""/>
            <o:lock v:ext="edit" aspectratio="f"/>
            <w10:wrap type="none"/>
            <w10:anchorlock/>
          </v:shape>
          <o:OLEObject Type="Embed" ProgID="Excel.Sheet.8" ShapeID="_x0000_i1052" DrawAspect="Content" ObjectID="_1468075754" r:id="rId68">
            <o:LockedField>false</o:LockedField>
          </o:OLEObject>
        </w:object>
      </w:r>
    </w:p>
    <w:p>
      <w:pPr>
        <w:pStyle w:val="2"/>
        <w:rPr>
          <w:rStyle w:val="29"/>
          <w:rFonts w:hint="eastAsia" w:ascii="仿宋" w:hAnsi="仿宋" w:eastAsia="仿宋"/>
          <w:b w:val="0"/>
          <w:bCs w:val="0"/>
        </w:rPr>
      </w:pPr>
      <w:r>
        <w:rPr>
          <w:rStyle w:val="29"/>
          <w:rFonts w:hint="eastAsia" w:ascii="仿宋" w:hAnsi="仿宋" w:eastAsia="仿宋"/>
          <w:b w:val="0"/>
          <w:bCs w:val="0"/>
        </w:rPr>
        <w:object>
          <v:shape id="_x0000_i1053" o:spt="75" type="#_x0000_t75" style="height:291pt;width:472.5pt;" o:ole="t" filled="f" o:preferrelative="t" stroked="f" coordsize="21600,21600">
            <v:path/>
            <v:fill on="f" focussize="0,0"/>
            <v:stroke on="f"/>
            <v:imagedata r:id="rId71" o:title=""/>
            <o:lock v:ext="edit" aspectratio="f"/>
            <w10:wrap type="none"/>
            <w10:anchorlock/>
          </v:shape>
          <o:OLEObject Type="Embed" ProgID="Excel.Sheet.8" ShapeID="_x0000_i1053" DrawAspect="Content" ObjectID="_1468075755" r:id="rId70">
            <o:LockedField>false</o:LockedField>
          </o:OLEObject>
        </w:object>
      </w: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tbl>
      <w:tblPr>
        <w:tblStyle w:val="16"/>
        <w:tblW w:w="138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16"/>
        <w:gridCol w:w="222"/>
        <w:gridCol w:w="222"/>
        <w:gridCol w:w="1096"/>
        <w:gridCol w:w="1528"/>
        <w:gridCol w:w="1528"/>
        <w:gridCol w:w="1528"/>
        <w:gridCol w:w="1528"/>
        <w:gridCol w:w="1528"/>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3875" w:type="dxa"/>
            <w:gridSpan w:val="10"/>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公开10表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部门：盐边县温泉彝族乡卫生院</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680" w:type="dxa"/>
            <w:vMerge w:val="restart"/>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年初结转和结余</w:t>
            </w:r>
          </w:p>
        </w:tc>
        <w:tc>
          <w:tcPr>
            <w:tcW w:w="1680" w:type="dxa"/>
            <w:vMerge w:val="restart"/>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本年收入</w:t>
            </w:r>
          </w:p>
        </w:tc>
        <w:tc>
          <w:tcPr>
            <w:tcW w:w="5040" w:type="dxa"/>
            <w:gridSpan w:val="3"/>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c>
          <w:tcPr>
            <w:tcW w:w="1680" w:type="dxa"/>
            <w:vMerge w:val="restart"/>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0" w:type="auto"/>
            <w:vMerge w:val="restart"/>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680"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680"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FFFFFF" w:fill="C0C0C0"/>
            <w:noWrap/>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FFFFFF" w:fill="C0C0C0"/>
            <w:noWrap/>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bookmarkStart w:id="69" w:name="_GoBack"/>
            <w:bookmarkEnd w:id="69"/>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此表无数据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注：本表反映部门本年度政府性基金预算财政拨款收入、支出及结转和结余情况。</w:t>
            </w:r>
          </w:p>
        </w:tc>
      </w:tr>
    </w:tbl>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tbl>
      <w:tblPr>
        <w:tblStyle w:val="16"/>
        <w:tblW w:w="117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58"/>
        <w:gridCol w:w="277"/>
        <w:gridCol w:w="277"/>
        <w:gridCol w:w="1366"/>
        <w:gridCol w:w="1318"/>
        <w:gridCol w:w="1318"/>
        <w:gridCol w:w="1318"/>
        <w:gridCol w:w="21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11760" w:type="dxa"/>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国有资本经营预算财政拨款收入支出决算表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公开11表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部门：盐边县温泉彝族乡卫生院</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1680" w:type="dxa"/>
            <w:vMerge w:val="restart"/>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年初结转和结余</w:t>
            </w:r>
          </w:p>
        </w:tc>
        <w:tc>
          <w:tcPr>
            <w:tcW w:w="1680" w:type="dxa"/>
            <w:vMerge w:val="restart"/>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本年收入</w:t>
            </w:r>
          </w:p>
        </w:tc>
        <w:tc>
          <w:tcPr>
            <w:tcW w:w="1680" w:type="dxa"/>
            <w:vMerge w:val="restart"/>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c>
          <w:tcPr>
            <w:tcW w:w="1800" w:type="dxa"/>
            <w:vMerge w:val="restart"/>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0" w:type="auto"/>
            <w:vMerge w:val="restart"/>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80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FFFFFF" w:fill="C0C0C0"/>
            <w:noWrap/>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800" w:type="dxa"/>
            <w:vMerge w:val="continue"/>
            <w:tcBorders>
              <w:top w:val="single" w:color="000000" w:sz="4" w:space="0"/>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此表无数据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11760" w:type="dxa"/>
            <w:gridSpan w:val="8"/>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注：本表以“万元”为金额单位（保留两位小数位），本表反映部门本年度国有资本经营预算财政拨款收入、支出及结转和结余情况；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0" w:type="auto"/>
            <w:gridSpan w:val="8"/>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如部门没有国有资本经营预算收入，也没有使用国有资本经营预算安排的支出，应注明本表无数据。</w:t>
            </w:r>
          </w:p>
        </w:tc>
      </w:tr>
    </w:tbl>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tbl>
      <w:tblPr>
        <w:tblStyle w:val="16"/>
        <w:tblW w:w="99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611"/>
        <w:gridCol w:w="266"/>
        <w:gridCol w:w="266"/>
        <w:gridCol w:w="1312"/>
        <w:gridCol w:w="1267"/>
        <w:gridCol w:w="1267"/>
        <w:gridCol w:w="19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trPr>
        <w:tc>
          <w:tcPr>
            <w:tcW w:w="9960" w:type="dxa"/>
            <w:gridSpan w:val="7"/>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30"/>
                <w:szCs w:val="30"/>
                <w:u w:val="none"/>
              </w:rPr>
            </w:pPr>
            <w:r>
              <w:rPr>
                <w:rFonts w:hint="eastAsia" w:ascii="宋体" w:hAnsi="宋体" w:eastAsia="宋体" w:cs="宋体"/>
                <w:i w:val="0"/>
                <w:iCs w:val="0"/>
                <w:color w:val="000000"/>
                <w:kern w:val="0"/>
                <w:sz w:val="30"/>
                <w:szCs w:val="30"/>
                <w:u w:val="none"/>
                <w:lang w:val="en-US" w:eastAsia="zh-CN" w:bidi="ar"/>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公开12表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部门：盐边县温泉彝族乡卫生院</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w:t>
            </w:r>
          </w:p>
        </w:tc>
        <w:tc>
          <w:tcPr>
            <w:tcW w:w="5040" w:type="dxa"/>
            <w:gridSpan w:val="3"/>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restart"/>
            <w:tcBorders>
              <w:top w:val="nil"/>
              <w:left w:val="single" w:color="000000" w:sz="4" w:space="0"/>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科目代码</w:t>
            </w:r>
          </w:p>
        </w:tc>
        <w:tc>
          <w:tcPr>
            <w:tcW w:w="0" w:type="auto"/>
            <w:vMerge w:val="restart"/>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科目名称</w:t>
            </w:r>
          </w:p>
        </w:tc>
        <w:tc>
          <w:tcPr>
            <w:tcW w:w="1680"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680"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基本支出</w:t>
            </w:r>
          </w:p>
        </w:tc>
        <w:tc>
          <w:tcPr>
            <w:tcW w:w="1680"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FFFFFF" w:fill="C0C0C0"/>
            <w:noWrap/>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90" w:type="dxa"/>
            <w:gridSpan w:val="3"/>
            <w:vMerge w:val="continue"/>
            <w:tcBorders>
              <w:top w:val="nil"/>
              <w:left w:val="single" w:color="000000" w:sz="4" w:space="0"/>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0" w:type="auto"/>
            <w:vMerge w:val="continue"/>
            <w:tcBorders>
              <w:top w:val="nil"/>
              <w:left w:val="nil"/>
              <w:bottom w:val="single" w:color="000000" w:sz="4" w:space="0"/>
              <w:right w:val="single" w:color="000000" w:sz="4" w:space="0"/>
            </w:tcBorders>
            <w:shd w:val="clear" w:color="FFFFFF" w:fill="C0C0C0"/>
            <w:noWrap/>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680"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栏次</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nil"/>
              <w:left w:val="nil"/>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4"/>
            <w:tcBorders>
              <w:top w:val="nil"/>
              <w:left w:val="single" w:color="000000" w:sz="4" w:space="0"/>
              <w:bottom w:val="single" w:color="000000" w:sz="4" w:space="0"/>
              <w:right w:val="single" w:color="000000" w:sz="4" w:space="0"/>
            </w:tcBorders>
            <w:shd w:val="clear" w:color="FFFFFF" w:fill="C0C0C0"/>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此表无数据</w:t>
            </w:r>
          </w:p>
        </w:tc>
        <w:tc>
          <w:tcPr>
            <w:tcW w:w="0" w:type="auto"/>
            <w:tcBorders>
              <w:top w:val="nil"/>
              <w:left w:val="nil"/>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3"/>
            <w:tcBorders>
              <w:top w:val="nil"/>
              <w:left w:val="single" w:color="000000" w:sz="4" w:space="0"/>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lef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gridSpan w:val="7"/>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注：本表反映部门本年度国有资本经营预算财政拨款支出情况。</w:t>
            </w:r>
          </w:p>
        </w:tc>
      </w:tr>
    </w:tbl>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p>
      <w:pPr>
        <w:pStyle w:val="2"/>
        <w:rPr>
          <w:rStyle w:val="29"/>
          <w:rFonts w:hint="eastAsia" w:ascii="仿宋" w:hAnsi="仿宋" w:eastAsia="仿宋"/>
          <w:b w:val="0"/>
          <w:bCs w:val="0"/>
        </w:rPr>
      </w:pPr>
    </w:p>
    <w:tbl>
      <w:tblPr>
        <w:tblStyle w:val="16"/>
        <w:tblW w:w="1350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16"/>
        <w:gridCol w:w="1125"/>
        <w:gridCol w:w="828"/>
        <w:gridCol w:w="828"/>
        <w:gridCol w:w="828"/>
        <w:gridCol w:w="828"/>
        <w:gridCol w:w="828"/>
        <w:gridCol w:w="1125"/>
        <w:gridCol w:w="828"/>
        <w:gridCol w:w="828"/>
        <w:gridCol w:w="828"/>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3500" w:type="dxa"/>
            <w:gridSpan w:val="12"/>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rPr>
                <w:rFonts w:hint="eastAsia"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公开13表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nil"/>
              <w:left w:val="nil"/>
              <w:bottom w:val="nil"/>
              <w:right w:val="nil"/>
            </w:tcBorders>
            <w:shd w:val="clear" w:color="auto" w:fill="auto"/>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部门：盐边县温泉彝族乡卫生院</w:t>
            </w: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0" w:type="auto"/>
            <w:tcBorders>
              <w:top w:val="nil"/>
              <w:left w:val="nil"/>
              <w:bottom w:val="nil"/>
              <w:right w:val="nil"/>
            </w:tcBorders>
            <w:shd w:val="clear" w:color="auto" w:fill="auto"/>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750" w:type="dxa"/>
            <w:gridSpan w:val="6"/>
            <w:tcBorders>
              <w:top w:val="single" w:color="000000" w:sz="4" w:space="0"/>
              <w:left w:val="single" w:color="000000" w:sz="4" w:space="0"/>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预算数</w:t>
            </w:r>
          </w:p>
        </w:tc>
        <w:tc>
          <w:tcPr>
            <w:tcW w:w="6750" w:type="dxa"/>
            <w:gridSpan w:val="6"/>
            <w:tcBorders>
              <w:top w:val="single" w:color="000000" w:sz="4" w:space="0"/>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25" w:type="dxa"/>
            <w:vMerge w:val="restart"/>
            <w:tcBorders>
              <w:top w:val="nil"/>
              <w:left w:val="single" w:color="000000" w:sz="4" w:space="0"/>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25"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3375" w:type="dxa"/>
            <w:gridSpan w:val="3"/>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1125"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c>
          <w:tcPr>
            <w:tcW w:w="1125"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25"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因公出国（境）费</w:t>
            </w:r>
          </w:p>
        </w:tc>
        <w:tc>
          <w:tcPr>
            <w:tcW w:w="3375" w:type="dxa"/>
            <w:gridSpan w:val="3"/>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公务用车购置及运行维护费</w:t>
            </w:r>
          </w:p>
        </w:tc>
        <w:tc>
          <w:tcPr>
            <w:tcW w:w="1125" w:type="dxa"/>
            <w:vMerge w:val="restart"/>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125" w:type="dxa"/>
            <w:vMerge w:val="continue"/>
            <w:tcBorders>
              <w:top w:val="nil"/>
              <w:left w:val="single" w:color="000000" w:sz="4" w:space="0"/>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125"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1125"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125"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125"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小计</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公务用车购置费</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公务用车运行维护费</w:t>
            </w:r>
          </w:p>
        </w:tc>
        <w:tc>
          <w:tcPr>
            <w:tcW w:w="1125" w:type="dxa"/>
            <w:vMerge w:val="continue"/>
            <w:tcBorders>
              <w:top w:val="nil"/>
              <w:left w:val="nil"/>
              <w:bottom w:val="single" w:color="000000" w:sz="4" w:space="0"/>
              <w:right w:val="single" w:color="000000" w:sz="4" w:space="0"/>
            </w:tcBorders>
            <w:shd w:val="clear" w:color="FFFFFF" w:fill="C0C0C0"/>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25" w:type="dxa"/>
            <w:tcBorders>
              <w:top w:val="nil"/>
              <w:left w:val="single" w:color="000000" w:sz="4" w:space="0"/>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125" w:type="dxa"/>
            <w:tcBorders>
              <w:top w:val="nil"/>
              <w:left w:val="nil"/>
              <w:bottom w:val="single" w:color="000000" w:sz="4" w:space="0"/>
              <w:right w:val="single" w:color="000000" w:sz="4" w:space="0"/>
            </w:tcBorders>
            <w:shd w:val="clear" w:color="FFFFFF" w:fill="C0C0C0"/>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此表无数据</w:t>
            </w: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c>
          <w:tcPr>
            <w:tcW w:w="0" w:type="auto"/>
            <w:tcBorders>
              <w:top w:val="nil"/>
              <w:left w:val="nil"/>
              <w:bottom w:val="single" w:color="000000" w:sz="4" w:space="0"/>
              <w:right w:val="single" w:color="000000" w:sz="4" w:space="0"/>
            </w:tcBorders>
            <w:shd w:val="clear" w:color="auto" w:fill="auto"/>
            <w:noWrap/>
            <w:vAlign w:val="center"/>
          </w:tcPr>
          <w:p>
            <w:pPr>
              <w:jc w:val="right"/>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3500" w:type="dxa"/>
            <w:gridSpan w:val="1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pStyle w:val="2"/>
        <w:rPr>
          <w:rStyle w:val="29"/>
          <w:rFonts w:hint="eastAsia" w:ascii="仿宋" w:hAnsi="仿宋" w:eastAsia="仿宋"/>
          <w:b w:val="0"/>
          <w:bCs w:val="0"/>
        </w:rPr>
      </w:pPr>
    </w:p>
    <w:sectPr>
      <w:pgSz w:w="16838" w:h="11906" w:orient="landscape"/>
      <w:pgMar w:top="1800" w:right="1440" w:bottom="1800" w:left="1440" w:header="851" w:footer="992" w:gutter="0"/>
      <w:pgNumType w:fmt="decimal"/>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DD21228-9EF9-4713-9CD8-851ABF3F5F6E}"/>
  </w:font>
  <w:font w:name="黑体">
    <w:panose1 w:val="02010609060101010101"/>
    <w:charset w:val="86"/>
    <w:family w:val="auto"/>
    <w:pitch w:val="default"/>
    <w:sig w:usb0="800002BF" w:usb1="38CF7CFA" w:usb2="00000016" w:usb3="00000000" w:csb0="00040001" w:csb1="00000000"/>
    <w:embedRegular r:id="rId2" w:fontKey="{897FAFFA-3212-4664-AF94-29F8043293D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embedRegular r:id="rId3" w:fontKey="{E27C0FCA-728A-4E65-959E-7E87AE3A9331}"/>
  </w:font>
  <w:font w:name="仿宋_GB2312">
    <w:panose1 w:val="02010609030101010101"/>
    <w:charset w:val="86"/>
    <w:family w:val="modern"/>
    <w:pitch w:val="default"/>
    <w:sig w:usb0="00000001" w:usb1="080E0000" w:usb2="00000000" w:usb3="00000000" w:csb0="00040000" w:csb1="00000000"/>
    <w:embedRegular r:id="rId4" w:fontKey="{90E4F6C8-340C-4274-8A6B-460EFFE78825}"/>
  </w:font>
  <w:font w:name="仿宋">
    <w:panose1 w:val="02010609060101010101"/>
    <w:charset w:val="86"/>
    <w:family w:val="auto"/>
    <w:pitch w:val="default"/>
    <w:sig w:usb0="800002BF" w:usb1="38CF7CFA" w:usb2="00000016" w:usb3="00000000" w:csb0="00040001" w:csb1="00000000"/>
    <w:embedRegular r:id="rId5" w:fontKey="{250CF1B7-2907-4156-87E6-27DD160F0877}"/>
  </w:font>
  <w:font w:name="方正小标宋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w:rPr>
        <w:sz w:val="18"/>
      </w:rPr>
      <mc:AlternateContent>
        <mc:Choice Requires="wps">
          <w:drawing>
            <wp:anchor distT="0" distB="0" distL="114300" distR="114300" simplePos="0" relativeHeight="251661312" behindDoc="0" locked="0" layoutInCell="1" allowOverlap="1">
              <wp:simplePos x="0" y="0"/>
              <wp:positionH relativeFrom="margin">
                <wp:posOffset>2569845</wp:posOffset>
              </wp:positionH>
              <wp:positionV relativeFrom="paragraph">
                <wp:posOffset>9525</wp:posOffset>
              </wp:positionV>
              <wp:extent cx="1828800" cy="1828800"/>
              <wp:effectExtent l="0" t="0" r="0" b="0"/>
              <wp:wrapNone/>
              <wp:docPr id="9" name="文本框 10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994781956"/>
                          </w:sdtPr>
                          <w:sdtEndPr>
                            <w:rPr>
                              <w:rFonts w:hint="default"/>
                              <w:lang w:val="en-US"/>
                            </w:rPr>
                          </w:sdtEndPr>
                          <w:sdtContent>
                            <w:p>
                              <w:pPr>
                                <w:pStyle w:val="11"/>
                                <w:jc w:val="center"/>
                              </w:pPr>
                            </w:p>
                          </w:sdtContent>
                        </w:sdt>
                        <w:p>
                          <w:pPr>
                            <w:pStyle w:val="2"/>
                          </w:pPr>
                        </w:p>
                      </w:txbxContent>
                    </wps:txbx>
                    <wps:bodyPr wrap="none" lIns="0" tIns="0" rIns="0" bIns="0" upright="0">
                      <a:spAutoFit/>
                    </wps:bodyPr>
                  </wps:wsp>
                </a:graphicData>
              </a:graphic>
            </wp:anchor>
          </w:drawing>
        </mc:Choice>
        <mc:Fallback>
          <w:pict>
            <v:shape id="文本框 1037" o:spid="_x0000_s1026" o:spt="202" type="#_x0000_t202" style="position:absolute;left:0pt;margin-left:202.35pt;margin-top:0.75pt;height:144pt;width:144pt;mso-position-horizontal-relative:margin;mso-wrap-style:none;z-index:251661312;mso-width-relative:page;mso-height-relative:page;" filled="f" stroked="f" coordsize="21600,21600" o:gfxdata="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rkjU1QAAAAkBAAAPAAAAAAAAAAEAIAAAACIAAABkcnMvZG93&#10;bnJldi54bWxQSwECFAAUAAAACACHTuJABCuN3MoBAACcAwAADgAAAAAAAAABACAAAAAkAQAAZHJz&#10;L2Uyb0RvYy54bWxQSwUGAAAAAAYABgBZAQAAYAUAAAAA&#10;">
              <v:fill on="f" focussize="0,0"/>
              <v:stroke on="f"/>
              <v:imagedata o:title=""/>
              <o:lock v:ext="edit" aspectratio="f"/>
              <v:textbox inset="0mm,0mm,0mm,0mm" style="mso-fit-shape-to-text:t;">
                <w:txbxContent>
                  <w:sdt>
                    <w:sdtPr>
                      <w:id w:val="-1994781956"/>
                    </w:sdtPr>
                    <w:sdtEndPr>
                      <w:rPr>
                        <w:rFonts w:hint="default"/>
                        <w:lang w:val="en-US"/>
                      </w:rPr>
                    </w:sdtEndPr>
                    <w:sdtContent>
                      <w:p>
                        <w:pPr>
                          <w:pStyle w:val="11"/>
                          <w:jc w:val="center"/>
                        </w:pPr>
                      </w:p>
                    </w:sdtContent>
                  </w:sdt>
                  <w:p>
                    <w:pPr>
                      <w:pStyle w:val="2"/>
                    </w:pPr>
                  </w:p>
                </w:txbxContent>
              </v:textbox>
            </v:shape>
          </w:pict>
        </mc:Fallback>
      </mc:AlternateConten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14</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posOffset>2569845</wp:posOffset>
              </wp:positionH>
              <wp:positionV relativeFrom="paragraph">
                <wp:posOffset>9525</wp:posOffset>
              </wp:positionV>
              <wp:extent cx="1828800" cy="1828800"/>
              <wp:effectExtent l="0" t="0" r="0" b="0"/>
              <wp:wrapNone/>
              <wp:docPr id="18" name="文本框 1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994781956"/>
                          </w:sdtPr>
                          <w:sdtEndPr>
                            <w:rPr>
                              <w:rFonts w:hint="default"/>
                              <w:lang w:val="en-US"/>
                            </w:rPr>
                          </w:sdtEndPr>
                          <w:sdtContent>
                            <w:p>
                              <w:pPr>
                                <w:pStyle w:val="11"/>
                                <w:jc w:val="center"/>
                              </w:pPr>
                            </w:p>
                          </w:sdtContent>
                        </w:sdt>
                        <w:p>
                          <w:pPr>
                            <w:pStyle w:val="2"/>
                          </w:pPr>
                        </w:p>
                      </w:txbxContent>
                    </wps:txbx>
                    <wps:bodyPr wrap="none" lIns="0" tIns="0" rIns="0" bIns="0" upright="0">
                      <a:spAutoFit/>
                    </wps:bodyPr>
                  </wps:wsp>
                </a:graphicData>
              </a:graphic>
            </wp:anchor>
          </w:drawing>
        </mc:Choice>
        <mc:Fallback>
          <w:pict>
            <v:shape id="文本框 1051" o:spid="_x0000_s1026" o:spt="202" type="#_x0000_t202" style="position:absolute;left:0pt;margin-left:202.35pt;margin-top:0.75pt;height:144pt;width:144pt;mso-position-horizontal-relative:margin;mso-wrap-style:none;z-index:251665408;mso-width-relative:page;mso-height-relative:page;" filled="f" stroked="f" coordsize="21600,21600" o:gfxdata="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srkjU1QAAAAkBAAAPAAAAAAAAAAEAIAAAACIAAABkcnMvZG93&#10;bnJldi54bWxQSwECFAAUAAAACACHTuJAFBH8ncoBAACdAwAADgAAAAAAAAABACAAAAAkAQAAZHJz&#10;L2Uyb0RvYy54bWxQSwUGAAAAAAYABgBZAQAAYAUAAAAA&#10;">
              <v:fill on="f" focussize="0,0"/>
              <v:stroke on="f"/>
              <v:imagedata o:title=""/>
              <o:lock v:ext="edit" aspectratio="f"/>
              <v:textbox inset="0mm,0mm,0mm,0mm" style="mso-fit-shape-to-text:t;">
                <w:txbxContent>
                  <w:sdt>
                    <w:sdtPr>
                      <w:id w:val="-1994781956"/>
                    </w:sdtPr>
                    <w:sdtEndPr>
                      <w:rPr>
                        <w:rFonts w:hint="default"/>
                        <w:lang w:val="en-US"/>
                      </w:rPr>
                    </w:sdtEndPr>
                    <w:sdtContent>
                      <w:p>
                        <w:pPr>
                          <w:pStyle w:val="11"/>
                          <w:jc w:val="center"/>
                        </w:pPr>
                      </w:p>
                    </w:sdtContent>
                  </w:sdt>
                  <w:p>
                    <w:pPr>
                      <w:pStyle w:val="2"/>
                    </w:pPr>
                  </w:p>
                </w:txbxContent>
              </v:textbox>
            </v:shape>
          </w:pict>
        </mc:Fallback>
      </mc:AlternateContent>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3</w:t>
                    </w:r>
                    <w:r>
                      <w:fldChar w:fldCharType="end"/>
                    </w:r>
                  </w:p>
                </w:txbxContent>
              </v:textbox>
            </v:shape>
          </w:pict>
        </mc:Fallback>
      </mc:AlternateContent>
    </w:r>
  </w:p>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92622C"/>
    <w:multiLevelType w:val="singleLevel"/>
    <w:tmpl w:val="8492622C"/>
    <w:lvl w:ilvl="0" w:tentative="0">
      <w:start w:val="1"/>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jY2M1NTFhOWJlYzhmMmY4NGUyZmIwMjYxOGE3NDc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0F08"/>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41E1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50BB"/>
    <w:rsid w:val="00F36D8F"/>
    <w:rsid w:val="00F417B1"/>
    <w:rsid w:val="00F45853"/>
    <w:rsid w:val="00F602DF"/>
    <w:rsid w:val="00F754A1"/>
    <w:rsid w:val="00F81FD9"/>
    <w:rsid w:val="00F841AA"/>
    <w:rsid w:val="00F84A94"/>
    <w:rsid w:val="00F87E96"/>
    <w:rsid w:val="00FA23E8"/>
    <w:rsid w:val="00FC22E2"/>
    <w:rsid w:val="00FD3CC1"/>
    <w:rsid w:val="00FE5DE6"/>
    <w:rsid w:val="00FF1E02"/>
    <w:rsid w:val="00FF30B4"/>
    <w:rsid w:val="01681072"/>
    <w:rsid w:val="01C86B55"/>
    <w:rsid w:val="01E4322D"/>
    <w:rsid w:val="020E3E06"/>
    <w:rsid w:val="02377801"/>
    <w:rsid w:val="025E3202"/>
    <w:rsid w:val="02EE59E6"/>
    <w:rsid w:val="03A15036"/>
    <w:rsid w:val="046D3644"/>
    <w:rsid w:val="05441AE1"/>
    <w:rsid w:val="05E9232B"/>
    <w:rsid w:val="063D2F0C"/>
    <w:rsid w:val="079254DA"/>
    <w:rsid w:val="08096863"/>
    <w:rsid w:val="08323909"/>
    <w:rsid w:val="086C5D2B"/>
    <w:rsid w:val="08A72527"/>
    <w:rsid w:val="08F85810"/>
    <w:rsid w:val="093F51ED"/>
    <w:rsid w:val="09526CCE"/>
    <w:rsid w:val="09757F3C"/>
    <w:rsid w:val="098A06BB"/>
    <w:rsid w:val="09A45050"/>
    <w:rsid w:val="0A1E3055"/>
    <w:rsid w:val="0A2032A3"/>
    <w:rsid w:val="0AA479FE"/>
    <w:rsid w:val="0B8A37D8"/>
    <w:rsid w:val="0B981976"/>
    <w:rsid w:val="0BAA2FBF"/>
    <w:rsid w:val="0C7B0912"/>
    <w:rsid w:val="0D242E35"/>
    <w:rsid w:val="0DE3083D"/>
    <w:rsid w:val="0E7748E8"/>
    <w:rsid w:val="0F7E3A23"/>
    <w:rsid w:val="10C055FF"/>
    <w:rsid w:val="118107EC"/>
    <w:rsid w:val="11DD6519"/>
    <w:rsid w:val="123E24E6"/>
    <w:rsid w:val="126B1290"/>
    <w:rsid w:val="12C40361"/>
    <w:rsid w:val="13954387"/>
    <w:rsid w:val="13BF582E"/>
    <w:rsid w:val="14137AD2"/>
    <w:rsid w:val="14270D58"/>
    <w:rsid w:val="144B2544"/>
    <w:rsid w:val="146B158C"/>
    <w:rsid w:val="155B2C65"/>
    <w:rsid w:val="16005405"/>
    <w:rsid w:val="16014137"/>
    <w:rsid w:val="16AB2114"/>
    <w:rsid w:val="16BB723D"/>
    <w:rsid w:val="170D2C32"/>
    <w:rsid w:val="17B44838"/>
    <w:rsid w:val="17C33613"/>
    <w:rsid w:val="18015F3F"/>
    <w:rsid w:val="18646259"/>
    <w:rsid w:val="189A5BD2"/>
    <w:rsid w:val="1A41695D"/>
    <w:rsid w:val="1A9A6727"/>
    <w:rsid w:val="1AAB623F"/>
    <w:rsid w:val="1B06637A"/>
    <w:rsid w:val="1B13452F"/>
    <w:rsid w:val="1BD142FF"/>
    <w:rsid w:val="1BE8440E"/>
    <w:rsid w:val="1D155CEE"/>
    <w:rsid w:val="1D3058D7"/>
    <w:rsid w:val="1E3866E4"/>
    <w:rsid w:val="1F404977"/>
    <w:rsid w:val="1F75506D"/>
    <w:rsid w:val="1FB012CE"/>
    <w:rsid w:val="20F57F95"/>
    <w:rsid w:val="2130049E"/>
    <w:rsid w:val="214E314D"/>
    <w:rsid w:val="217D645B"/>
    <w:rsid w:val="226513C9"/>
    <w:rsid w:val="2274785E"/>
    <w:rsid w:val="22EC0651"/>
    <w:rsid w:val="23130100"/>
    <w:rsid w:val="23256EC7"/>
    <w:rsid w:val="23437A88"/>
    <w:rsid w:val="23C860B3"/>
    <w:rsid w:val="23C9261C"/>
    <w:rsid w:val="240055F7"/>
    <w:rsid w:val="240371BF"/>
    <w:rsid w:val="24A84AD4"/>
    <w:rsid w:val="252C6FF6"/>
    <w:rsid w:val="25596231"/>
    <w:rsid w:val="258A4380"/>
    <w:rsid w:val="25C741E6"/>
    <w:rsid w:val="26385501"/>
    <w:rsid w:val="27313F6F"/>
    <w:rsid w:val="2753282F"/>
    <w:rsid w:val="27842671"/>
    <w:rsid w:val="27B76782"/>
    <w:rsid w:val="280B656E"/>
    <w:rsid w:val="285048C9"/>
    <w:rsid w:val="28972098"/>
    <w:rsid w:val="29BB2B80"/>
    <w:rsid w:val="29FD04D3"/>
    <w:rsid w:val="2A1234E1"/>
    <w:rsid w:val="2A5A5072"/>
    <w:rsid w:val="2ABE7A3E"/>
    <w:rsid w:val="2ADF3CE2"/>
    <w:rsid w:val="2B935881"/>
    <w:rsid w:val="2B940F71"/>
    <w:rsid w:val="2C0B206C"/>
    <w:rsid w:val="2E8F6FF6"/>
    <w:rsid w:val="2E903C71"/>
    <w:rsid w:val="2E94389C"/>
    <w:rsid w:val="2EB060C2"/>
    <w:rsid w:val="2EFA178C"/>
    <w:rsid w:val="2F540F4B"/>
    <w:rsid w:val="2F7A576A"/>
    <w:rsid w:val="30B46D73"/>
    <w:rsid w:val="316118F5"/>
    <w:rsid w:val="319F7F4E"/>
    <w:rsid w:val="320F162E"/>
    <w:rsid w:val="32195D2C"/>
    <w:rsid w:val="328B4E7C"/>
    <w:rsid w:val="32A93554"/>
    <w:rsid w:val="32E4546A"/>
    <w:rsid w:val="32F12805"/>
    <w:rsid w:val="33A37FA3"/>
    <w:rsid w:val="33B3141F"/>
    <w:rsid w:val="33D52499"/>
    <w:rsid w:val="36642D30"/>
    <w:rsid w:val="36AB3E1C"/>
    <w:rsid w:val="36C070BE"/>
    <w:rsid w:val="3784633D"/>
    <w:rsid w:val="3843483E"/>
    <w:rsid w:val="386C5675"/>
    <w:rsid w:val="38FF4292"/>
    <w:rsid w:val="39AE70AB"/>
    <w:rsid w:val="39F63F29"/>
    <w:rsid w:val="3A26548A"/>
    <w:rsid w:val="3A3B3AF5"/>
    <w:rsid w:val="3A874BD8"/>
    <w:rsid w:val="3AF45588"/>
    <w:rsid w:val="3B7121C5"/>
    <w:rsid w:val="3C0C0783"/>
    <w:rsid w:val="3CD27ED4"/>
    <w:rsid w:val="3D0A0BF4"/>
    <w:rsid w:val="3D5045E3"/>
    <w:rsid w:val="3D5440BC"/>
    <w:rsid w:val="3DC06370"/>
    <w:rsid w:val="3E23065E"/>
    <w:rsid w:val="3E5E252C"/>
    <w:rsid w:val="3ED21BDD"/>
    <w:rsid w:val="3F9F3A96"/>
    <w:rsid w:val="3FA23547"/>
    <w:rsid w:val="407A652F"/>
    <w:rsid w:val="40B52440"/>
    <w:rsid w:val="410F6C78"/>
    <w:rsid w:val="41233DCA"/>
    <w:rsid w:val="41CC2DBB"/>
    <w:rsid w:val="42091B85"/>
    <w:rsid w:val="420E64EB"/>
    <w:rsid w:val="4241698C"/>
    <w:rsid w:val="428037CC"/>
    <w:rsid w:val="42A10B64"/>
    <w:rsid w:val="43241F99"/>
    <w:rsid w:val="44191BBB"/>
    <w:rsid w:val="444D269F"/>
    <w:rsid w:val="446C2128"/>
    <w:rsid w:val="46BF5BF9"/>
    <w:rsid w:val="46D44B29"/>
    <w:rsid w:val="46D5626E"/>
    <w:rsid w:val="46FA637F"/>
    <w:rsid w:val="47634602"/>
    <w:rsid w:val="477F3A9E"/>
    <w:rsid w:val="484A67E7"/>
    <w:rsid w:val="49282FCC"/>
    <w:rsid w:val="493C27E9"/>
    <w:rsid w:val="495E69EE"/>
    <w:rsid w:val="496F39ED"/>
    <w:rsid w:val="49FF41D3"/>
    <w:rsid w:val="4A113B9D"/>
    <w:rsid w:val="4A6859CC"/>
    <w:rsid w:val="4AAA7A11"/>
    <w:rsid w:val="4AE46C30"/>
    <w:rsid w:val="4B097BF2"/>
    <w:rsid w:val="4BE068DB"/>
    <w:rsid w:val="4BF6002B"/>
    <w:rsid w:val="4C5639AD"/>
    <w:rsid w:val="4C6D61F7"/>
    <w:rsid w:val="4C964B29"/>
    <w:rsid w:val="4CA46E0E"/>
    <w:rsid w:val="4CC052CA"/>
    <w:rsid w:val="4D4165FB"/>
    <w:rsid w:val="4D9C7AE5"/>
    <w:rsid w:val="4E54216E"/>
    <w:rsid w:val="4ECE2238"/>
    <w:rsid w:val="4F0F2539"/>
    <w:rsid w:val="50081462"/>
    <w:rsid w:val="501710BA"/>
    <w:rsid w:val="505C7A00"/>
    <w:rsid w:val="513F6B23"/>
    <w:rsid w:val="51513DA4"/>
    <w:rsid w:val="51B353FD"/>
    <w:rsid w:val="51BB0DAD"/>
    <w:rsid w:val="51DB4B86"/>
    <w:rsid w:val="52BC7203"/>
    <w:rsid w:val="53F2034E"/>
    <w:rsid w:val="547A3956"/>
    <w:rsid w:val="548F7932"/>
    <w:rsid w:val="55333C3E"/>
    <w:rsid w:val="555C7B5A"/>
    <w:rsid w:val="555F1808"/>
    <w:rsid w:val="5577366D"/>
    <w:rsid w:val="56576C9F"/>
    <w:rsid w:val="574161E5"/>
    <w:rsid w:val="575E405D"/>
    <w:rsid w:val="57BB14B0"/>
    <w:rsid w:val="57C020B7"/>
    <w:rsid w:val="57C30761"/>
    <w:rsid w:val="57D556EA"/>
    <w:rsid w:val="587110D5"/>
    <w:rsid w:val="59823AC3"/>
    <w:rsid w:val="59F17C81"/>
    <w:rsid w:val="5A026F22"/>
    <w:rsid w:val="5B597015"/>
    <w:rsid w:val="5D126EEF"/>
    <w:rsid w:val="5DE106B6"/>
    <w:rsid w:val="5EF41669"/>
    <w:rsid w:val="5FB4311A"/>
    <w:rsid w:val="5FBF25BC"/>
    <w:rsid w:val="5FCE450D"/>
    <w:rsid w:val="608368E3"/>
    <w:rsid w:val="611759A9"/>
    <w:rsid w:val="613876CD"/>
    <w:rsid w:val="615C04C0"/>
    <w:rsid w:val="617F70AA"/>
    <w:rsid w:val="61AB7E9F"/>
    <w:rsid w:val="61AC3024"/>
    <w:rsid w:val="624A022B"/>
    <w:rsid w:val="62B334AF"/>
    <w:rsid w:val="62BC1CA7"/>
    <w:rsid w:val="631B72A6"/>
    <w:rsid w:val="63597E45"/>
    <w:rsid w:val="63A454EE"/>
    <w:rsid w:val="64CA39A1"/>
    <w:rsid w:val="65312DB1"/>
    <w:rsid w:val="657C554C"/>
    <w:rsid w:val="660A1AE2"/>
    <w:rsid w:val="665705F5"/>
    <w:rsid w:val="6672542F"/>
    <w:rsid w:val="66B772E6"/>
    <w:rsid w:val="679A69EC"/>
    <w:rsid w:val="687B3DC0"/>
    <w:rsid w:val="68C80D1C"/>
    <w:rsid w:val="68DD7672"/>
    <w:rsid w:val="693D5E8F"/>
    <w:rsid w:val="69620B1A"/>
    <w:rsid w:val="69A253EB"/>
    <w:rsid w:val="69D1246D"/>
    <w:rsid w:val="6A1D7BCD"/>
    <w:rsid w:val="6B2313EE"/>
    <w:rsid w:val="6BEA08C0"/>
    <w:rsid w:val="6C0E1756"/>
    <w:rsid w:val="6C4A05C8"/>
    <w:rsid w:val="6C847C6A"/>
    <w:rsid w:val="6D185650"/>
    <w:rsid w:val="6D374518"/>
    <w:rsid w:val="6E7D2524"/>
    <w:rsid w:val="6E805839"/>
    <w:rsid w:val="6EE426D9"/>
    <w:rsid w:val="6F273616"/>
    <w:rsid w:val="6FFD220E"/>
    <w:rsid w:val="70273498"/>
    <w:rsid w:val="702B176E"/>
    <w:rsid w:val="70473489"/>
    <w:rsid w:val="71053F3B"/>
    <w:rsid w:val="712E63F7"/>
    <w:rsid w:val="72734D90"/>
    <w:rsid w:val="72A36AED"/>
    <w:rsid w:val="731C0BFD"/>
    <w:rsid w:val="74523475"/>
    <w:rsid w:val="754153AA"/>
    <w:rsid w:val="7583021F"/>
    <w:rsid w:val="766A6123"/>
    <w:rsid w:val="76DF65C5"/>
    <w:rsid w:val="77454F4C"/>
    <w:rsid w:val="784B3370"/>
    <w:rsid w:val="78792CC1"/>
    <w:rsid w:val="79023A1B"/>
    <w:rsid w:val="79232704"/>
    <w:rsid w:val="79E7B28D"/>
    <w:rsid w:val="79F23FFB"/>
    <w:rsid w:val="7A1A5B66"/>
    <w:rsid w:val="7A347300"/>
    <w:rsid w:val="7A3E58FC"/>
    <w:rsid w:val="7A410474"/>
    <w:rsid w:val="7AA5772A"/>
    <w:rsid w:val="7AAD78CD"/>
    <w:rsid w:val="7AF03879"/>
    <w:rsid w:val="7B112E18"/>
    <w:rsid w:val="7B764DDE"/>
    <w:rsid w:val="7B9D48A5"/>
    <w:rsid w:val="7CBA4636"/>
    <w:rsid w:val="7CCA3D48"/>
    <w:rsid w:val="7F9C33C8"/>
    <w:rsid w:val="7F9F20EE"/>
    <w:rsid w:val="9E3A10E2"/>
    <w:rsid w:val="F2E1F9D4"/>
    <w:rsid w:val="F788081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99"/>
    <w:pPr>
      <w:spacing w:beforeLines="30"/>
    </w:pPr>
    <w:rPr>
      <w:rFonts w:ascii="仿宋_GB2312" w:eastAsia="仿宋_GB2312"/>
      <w:kern w:val="0"/>
      <w:sz w:val="30"/>
    </w:rPr>
  </w:style>
  <w:style w:type="paragraph" w:styleId="6">
    <w:name w:val="Salutation"/>
    <w:basedOn w:val="1"/>
    <w:next w:val="1"/>
    <w:unhideWhenUsed/>
    <w:qFormat/>
    <w:uiPriority w:val="99"/>
  </w:style>
  <w:style w:type="paragraph" w:styleId="7">
    <w:name w:val="Body Text Indent"/>
    <w:basedOn w:val="1"/>
    <w:semiHidden/>
    <w:unhideWhenUsed/>
    <w:qFormat/>
    <w:uiPriority w:val="99"/>
    <w:pPr>
      <w:spacing w:after="120"/>
      <w:ind w:left="420" w:leftChars="200"/>
    </w:pPr>
  </w:style>
  <w:style w:type="paragraph" w:styleId="8">
    <w:name w:val="toc 3"/>
    <w:basedOn w:val="1"/>
    <w:next w:val="1"/>
    <w:unhideWhenUsed/>
    <w:qFormat/>
    <w:uiPriority w:val="39"/>
    <w:pPr>
      <w:tabs>
        <w:tab w:val="right" w:leader="dot" w:pos="8296"/>
      </w:tabs>
      <w:ind w:left="840" w:leftChars="400"/>
    </w:pPr>
  </w:style>
  <w:style w:type="paragraph" w:styleId="9">
    <w:name w:val="Plain Text"/>
    <w:basedOn w:val="1"/>
    <w:unhideWhenUsed/>
    <w:qFormat/>
    <w:uiPriority w:val="0"/>
    <w:rPr>
      <w:rFonts w:ascii="宋体" w:hAnsi="Courier New"/>
    </w:rPr>
  </w:style>
  <w:style w:type="paragraph" w:styleId="10">
    <w:name w:val="Balloon Text"/>
    <w:basedOn w:val="1"/>
    <w:link w:val="31"/>
    <w:semiHidden/>
    <w:unhideWhenUsed/>
    <w:qFormat/>
    <w:uiPriority w:val="99"/>
    <w:rPr>
      <w:sz w:val="18"/>
      <w:szCs w:val="18"/>
    </w:rPr>
  </w:style>
  <w:style w:type="paragraph" w:styleId="11">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toc 2"/>
    <w:basedOn w:val="1"/>
    <w:next w:val="1"/>
    <w:unhideWhenUsed/>
    <w:qFormat/>
    <w:uiPriority w:val="39"/>
    <w:pPr>
      <w:tabs>
        <w:tab w:val="right" w:leader="dot" w:pos="8296"/>
      </w:tabs>
      <w:ind w:left="420" w:leftChars="200"/>
    </w:pPr>
  </w:style>
  <w:style w:type="paragraph" w:styleId="15">
    <w:name w:val="Body Text First Indent 2"/>
    <w:basedOn w:val="7"/>
    <w:semiHidden/>
    <w:unhideWhenUsed/>
    <w:qFormat/>
    <w:uiPriority w:val="99"/>
    <w:pPr>
      <w:ind w:firstLine="420" w:firstLineChars="200"/>
    </w:p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customStyle="1" w:styleId="20">
    <w:name w:val="Header Char"/>
    <w:basedOn w:val="17"/>
    <w:semiHidden/>
    <w:qFormat/>
    <w:uiPriority w:val="99"/>
    <w:rPr>
      <w:rFonts w:ascii="Times New Roman" w:hAnsi="Times New Roman"/>
      <w:sz w:val="18"/>
      <w:szCs w:val="18"/>
    </w:rPr>
  </w:style>
  <w:style w:type="character" w:customStyle="1" w:styleId="21">
    <w:name w:val="页眉 Char"/>
    <w:link w:val="12"/>
    <w:semiHidden/>
    <w:qFormat/>
    <w:locked/>
    <w:uiPriority w:val="99"/>
    <w:rPr>
      <w:sz w:val="18"/>
    </w:rPr>
  </w:style>
  <w:style w:type="character" w:customStyle="1" w:styleId="22">
    <w:name w:val="Footer Char"/>
    <w:basedOn w:val="17"/>
    <w:semiHidden/>
    <w:qFormat/>
    <w:uiPriority w:val="99"/>
    <w:rPr>
      <w:rFonts w:ascii="Times New Roman" w:hAnsi="Times New Roman"/>
      <w:sz w:val="18"/>
      <w:szCs w:val="18"/>
    </w:rPr>
  </w:style>
  <w:style w:type="character" w:customStyle="1" w:styleId="23">
    <w:name w:val="页脚 Char"/>
    <w:link w:val="11"/>
    <w:qFormat/>
    <w:locked/>
    <w:uiPriority w:val="99"/>
    <w:rPr>
      <w:sz w:val="18"/>
    </w:rPr>
  </w:style>
  <w:style w:type="character" w:customStyle="1" w:styleId="24">
    <w:name w:val="Body Text Char"/>
    <w:basedOn w:val="17"/>
    <w:semiHidden/>
    <w:qFormat/>
    <w:uiPriority w:val="99"/>
    <w:rPr>
      <w:rFonts w:ascii="Times New Roman" w:hAnsi="Times New Roman"/>
      <w:szCs w:val="24"/>
    </w:rPr>
  </w:style>
  <w:style w:type="character" w:customStyle="1" w:styleId="25">
    <w:name w:val="正文文本 Char"/>
    <w:link w:val="2"/>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7"/>
    <w:link w:val="3"/>
    <w:qFormat/>
    <w:uiPriority w:val="9"/>
    <w:rPr>
      <w:rFonts w:ascii="Times New Roman" w:hAnsi="Times New Roman"/>
      <w:b/>
      <w:bCs/>
      <w:kern w:val="44"/>
      <w:sz w:val="44"/>
      <w:szCs w:val="44"/>
    </w:rPr>
  </w:style>
  <w:style w:type="character" w:customStyle="1" w:styleId="29">
    <w:name w:val="标题 2 Char"/>
    <w:basedOn w:val="17"/>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7"/>
    <w:link w:val="10"/>
    <w:semiHidden/>
    <w:qFormat/>
    <w:uiPriority w:val="99"/>
    <w:rPr>
      <w:rFonts w:ascii="Times New Roman" w:hAnsi="Times New Roman"/>
      <w:kern w:val="2"/>
      <w:sz w:val="18"/>
      <w:szCs w:val="18"/>
    </w:rPr>
  </w:style>
  <w:style w:type="character" w:customStyle="1" w:styleId="32">
    <w:name w:val="标题 3 Char"/>
    <w:basedOn w:val="17"/>
    <w:link w:val="5"/>
    <w:qFormat/>
    <w:uiPriority w:val="9"/>
    <w:rPr>
      <w:rFonts w:ascii="Times New Roman" w:hAnsi="Times New Roman"/>
      <w:b/>
      <w:bCs/>
      <w:kern w:val="2"/>
      <w:sz w:val="32"/>
      <w:szCs w:val="32"/>
    </w:rPr>
  </w:style>
  <w:style w:type="paragraph" w:customStyle="1" w:styleId="33">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32.emf"/><Relationship Id="rId70" Type="http://schemas.openxmlformats.org/officeDocument/2006/relationships/oleObject" Target="embeddings/oleObject31.bin"/><Relationship Id="rId7" Type="http://schemas.openxmlformats.org/officeDocument/2006/relationships/footer" Target="footer4.xml"/><Relationship Id="rId69" Type="http://schemas.openxmlformats.org/officeDocument/2006/relationships/image" Target="media/image31.emf"/><Relationship Id="rId68" Type="http://schemas.openxmlformats.org/officeDocument/2006/relationships/oleObject" Target="embeddings/oleObject30.bin"/><Relationship Id="rId67" Type="http://schemas.openxmlformats.org/officeDocument/2006/relationships/image" Target="media/image30.emf"/><Relationship Id="rId66" Type="http://schemas.openxmlformats.org/officeDocument/2006/relationships/oleObject" Target="embeddings/oleObject29.bin"/><Relationship Id="rId65" Type="http://schemas.openxmlformats.org/officeDocument/2006/relationships/image" Target="media/image29.emf"/><Relationship Id="rId64" Type="http://schemas.openxmlformats.org/officeDocument/2006/relationships/oleObject" Target="embeddings/oleObject28.bin"/><Relationship Id="rId63" Type="http://schemas.openxmlformats.org/officeDocument/2006/relationships/image" Target="media/image28.emf"/><Relationship Id="rId62" Type="http://schemas.openxmlformats.org/officeDocument/2006/relationships/oleObject" Target="embeddings/oleObject27.bin"/><Relationship Id="rId61" Type="http://schemas.openxmlformats.org/officeDocument/2006/relationships/image" Target="media/image27.emf"/><Relationship Id="rId60" Type="http://schemas.openxmlformats.org/officeDocument/2006/relationships/oleObject" Target="embeddings/oleObject26.bin"/><Relationship Id="rId6" Type="http://schemas.openxmlformats.org/officeDocument/2006/relationships/footer" Target="footer3.xml"/><Relationship Id="rId59" Type="http://schemas.openxmlformats.org/officeDocument/2006/relationships/image" Target="media/image26.emf"/><Relationship Id="rId58" Type="http://schemas.openxmlformats.org/officeDocument/2006/relationships/oleObject" Target="embeddings/oleObject25.bin"/><Relationship Id="rId57" Type="http://schemas.openxmlformats.org/officeDocument/2006/relationships/image" Target="media/image25.emf"/><Relationship Id="rId56" Type="http://schemas.openxmlformats.org/officeDocument/2006/relationships/oleObject" Target="embeddings/oleObject24.bin"/><Relationship Id="rId55" Type="http://schemas.openxmlformats.org/officeDocument/2006/relationships/image" Target="media/image24.emf"/><Relationship Id="rId54" Type="http://schemas.openxmlformats.org/officeDocument/2006/relationships/oleObject" Target="embeddings/oleObject23.bin"/><Relationship Id="rId53" Type="http://schemas.openxmlformats.org/officeDocument/2006/relationships/image" Target="media/image23.emf"/><Relationship Id="rId52" Type="http://schemas.openxmlformats.org/officeDocument/2006/relationships/oleObject" Target="embeddings/oleObject22.bin"/><Relationship Id="rId51" Type="http://schemas.openxmlformats.org/officeDocument/2006/relationships/image" Target="media/image22.emf"/><Relationship Id="rId50" Type="http://schemas.openxmlformats.org/officeDocument/2006/relationships/oleObject" Target="embeddings/oleObject21.bin"/><Relationship Id="rId5" Type="http://schemas.openxmlformats.org/officeDocument/2006/relationships/header" Target="header1.xml"/><Relationship Id="rId49" Type="http://schemas.openxmlformats.org/officeDocument/2006/relationships/image" Target="media/image21.emf"/><Relationship Id="rId48" Type="http://schemas.openxmlformats.org/officeDocument/2006/relationships/oleObject" Target="embeddings/oleObject20.bin"/><Relationship Id="rId47" Type="http://schemas.openxmlformats.org/officeDocument/2006/relationships/image" Target="media/image20.emf"/><Relationship Id="rId46" Type="http://schemas.openxmlformats.org/officeDocument/2006/relationships/oleObject" Target="embeddings/oleObject19.bin"/><Relationship Id="rId45" Type="http://schemas.openxmlformats.org/officeDocument/2006/relationships/image" Target="media/image19.emf"/><Relationship Id="rId44" Type="http://schemas.openxmlformats.org/officeDocument/2006/relationships/oleObject" Target="embeddings/oleObject18.bin"/><Relationship Id="rId43" Type="http://schemas.openxmlformats.org/officeDocument/2006/relationships/image" Target="media/image18.emf"/><Relationship Id="rId42" Type="http://schemas.openxmlformats.org/officeDocument/2006/relationships/oleObject" Target="embeddings/oleObject17.bin"/><Relationship Id="rId41" Type="http://schemas.openxmlformats.org/officeDocument/2006/relationships/image" Target="media/image17.emf"/><Relationship Id="rId40" Type="http://schemas.openxmlformats.org/officeDocument/2006/relationships/oleObject" Target="embeddings/oleObject16.bin"/><Relationship Id="rId4" Type="http://schemas.openxmlformats.org/officeDocument/2006/relationships/footer" Target="footer2.xml"/><Relationship Id="rId39" Type="http://schemas.openxmlformats.org/officeDocument/2006/relationships/image" Target="media/image16.emf"/><Relationship Id="rId38" Type="http://schemas.openxmlformats.org/officeDocument/2006/relationships/oleObject" Target="embeddings/oleObject15.bin"/><Relationship Id="rId37" Type="http://schemas.openxmlformats.org/officeDocument/2006/relationships/image" Target="media/image15.emf"/><Relationship Id="rId36" Type="http://schemas.openxmlformats.org/officeDocument/2006/relationships/oleObject" Target="embeddings/oleObject14.bin"/><Relationship Id="rId35" Type="http://schemas.openxmlformats.org/officeDocument/2006/relationships/image" Target="media/image14.emf"/><Relationship Id="rId34" Type="http://schemas.openxmlformats.org/officeDocument/2006/relationships/oleObject" Target="embeddings/oleObject13.bin"/><Relationship Id="rId33" Type="http://schemas.openxmlformats.org/officeDocument/2006/relationships/image" Target="media/image13.emf"/><Relationship Id="rId32" Type="http://schemas.openxmlformats.org/officeDocument/2006/relationships/oleObject" Target="embeddings/oleObject12.bin"/><Relationship Id="rId31" Type="http://schemas.openxmlformats.org/officeDocument/2006/relationships/image" Target="media/image12.e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1.emf"/><Relationship Id="rId28" Type="http://schemas.openxmlformats.org/officeDocument/2006/relationships/oleObject" Target="embeddings/oleObject10.bin"/><Relationship Id="rId27" Type="http://schemas.openxmlformats.org/officeDocument/2006/relationships/image" Target="media/image10.emf"/><Relationship Id="rId26" Type="http://schemas.openxmlformats.org/officeDocument/2006/relationships/oleObject" Target="embeddings/oleObject9.bin"/><Relationship Id="rId25" Type="http://schemas.openxmlformats.org/officeDocument/2006/relationships/image" Target="media/image9.emf"/><Relationship Id="rId24" Type="http://schemas.openxmlformats.org/officeDocument/2006/relationships/oleObject" Target="embeddings/oleObject8.bin"/><Relationship Id="rId23" Type="http://schemas.openxmlformats.org/officeDocument/2006/relationships/image" Target="media/image8.emf"/><Relationship Id="rId22" Type="http://schemas.openxmlformats.org/officeDocument/2006/relationships/oleObject" Target="embeddings/oleObject7.bin"/><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1037" textRotate="1"/>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48</Pages>
  <Words>5849</Words>
  <Characters>6261</Characters>
  <Lines>44</Lines>
  <Paragraphs>12</Paragraphs>
  <TotalTime>5</TotalTime>
  <ScaleCrop>false</ScaleCrop>
  <LinksUpToDate>false</LinksUpToDate>
  <CharactersWithSpaces>6331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2022-10-07T01:09:00Z</dcterms:created>
  <dc:creator>曹颖</dc:creator>
  <cp:lastModifiedBy>情深似海1397267251</cp:lastModifiedBy>
  <cp:lastPrinted>2023-10-25T11:02:21Z</cp:lastPrinted>
  <dcterms:modified xsi:type="dcterms:W3CDTF">2023-10-25T11:08:04Z</dcterms:modified>
  <dc:title>四川省***</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D904551A09EC462C82E9C75BC8639C9F_13</vt:lpwstr>
  </property>
</Properties>
</file>