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27" w:name="_GoBack"/>
      <w:bookmarkStart w:id="1" w:name="_Toc15396475"/>
      <w:bookmarkStart w:id="2" w:name="_Toc15396597"/>
      <w:bookmarkStart w:id="3" w:name="_Toc15377193"/>
      <w:bookmarkStart w:id="4" w:name="_Toc15377425"/>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7426"/>
      <w:bookmarkStart w:id="9" w:name="_Toc15396598"/>
      <w:bookmarkStart w:id="10" w:name="_Toc15378442"/>
      <w:r>
        <w:rPr>
          <w:rFonts w:hint="eastAsia" w:ascii="方正小标宋简体" w:hAnsi="方正小标宋简体" w:eastAsia="方正小标宋简体" w:cs="方正小标宋简体"/>
          <w:sz w:val="72"/>
          <w:szCs w:val="72"/>
        </w:rPr>
        <w:t>盐边县</w:t>
      </w:r>
      <w:bookmarkEnd w:id="0"/>
      <w:bookmarkStart w:id="11" w:name="_Toc15306268"/>
      <w:r>
        <w:rPr>
          <w:rFonts w:hint="eastAsia" w:ascii="方正小标宋简体" w:hAnsi="方正小标宋简体" w:eastAsia="方正小标宋简体" w:cs="方正小标宋简体"/>
          <w:sz w:val="72"/>
          <w:szCs w:val="72"/>
          <w:lang w:eastAsia="zh-CN"/>
        </w:rPr>
        <w:t>盐边县交通运输局</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bookmarkEnd w:id="127"/>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公开时间：2022年10月20日</w:t>
      </w:r>
    </w:p>
    <w:sdt>
      <w:sdtPr>
        <w:rPr>
          <w:rFonts w:ascii="宋体" w:hAnsi="宋体" w:eastAsia="宋体"/>
          <w:sz w:val="21"/>
        </w:rPr>
        <w:id w:val="147481004"/>
        <w:docPartObj>
          <w:docPartGallery w:val="Table of Contents"/>
          <w:docPartUnique/>
        </w:docPartObj>
      </w:sdtPr>
      <w:sdtEndPr>
        <w:rPr>
          <w:rFonts w:ascii="Times New Roman" w:hAnsi="Times New Roman" w:eastAsia="宋体" w:cs="Times New Roman"/>
          <w:sz w:val="20"/>
          <w:szCs w:val="20"/>
        </w:rPr>
      </w:sdtEndPr>
      <w:sdtContent>
        <w:p>
          <w:pPr>
            <w:jc w:val="center"/>
          </w:pPr>
          <w:r>
            <w:rPr>
              <w:rFonts w:ascii="宋体" w:hAnsi="宋体" w:eastAsia="宋体"/>
              <w:sz w:val="21"/>
            </w:rPr>
            <w:t>目录</w:t>
          </w:r>
        </w:p>
        <w:p>
          <w:pPr>
            <w:pStyle w:val="31"/>
            <w:tabs>
              <w:tab w:val="right" w:leader="dot" w:pos="8306"/>
            </w:tabs>
          </w:pPr>
          <w:r>
            <w:rPr>
              <w:b/>
              <w:bCs/>
            </w:rPr>
            <w:fldChar w:fldCharType="begin"/>
          </w:r>
          <w:r>
            <w:instrText xml:space="preserve"> HYPERLINK \l _Toc8942 </w:instrText>
          </w:r>
          <w:r>
            <w:rPr>
              <w:b/>
              <w:bCs/>
            </w:rPr>
            <w:fldChar w:fldCharType="separate"/>
          </w:r>
          <w:sdt>
            <w:sdtPr>
              <w:rPr>
                <w:rFonts w:ascii="Times New Roman" w:hAnsi="Times New Roman" w:eastAsia="宋体" w:cs="Times New Roman"/>
                <w:b/>
                <w:bCs/>
                <w:kern w:val="2"/>
                <w:sz w:val="21"/>
                <w:szCs w:val="24"/>
                <w:lang w:val="en-US" w:eastAsia="zh-CN" w:bidi="ar-SA"/>
              </w:rPr>
              <w:id w:val="147481004"/>
              <w:placeholder>
                <w:docPart w:val="{a9d42f28-6ed9-4981-b775-c8cb3ab21188}"/>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第一部分 单位概况</w:t>
              </w:r>
            </w:sdtContent>
          </w:sdt>
          <w:r>
            <w:rPr>
              <w:b/>
              <w:bCs/>
            </w:rPr>
            <w:tab/>
          </w:r>
          <w:r>
            <w:rPr>
              <w:b/>
              <w:bCs/>
            </w:rPr>
            <w:t>3</w:t>
          </w:r>
          <w:r>
            <w:rPr>
              <w:b/>
              <w:bCs/>
            </w:rPr>
            <w:fldChar w:fldCharType="end"/>
          </w:r>
        </w:p>
        <w:p>
          <w:pPr>
            <w:pStyle w:val="32"/>
            <w:tabs>
              <w:tab w:val="right" w:leader="dot" w:pos="8306"/>
            </w:tabs>
          </w:pPr>
          <w:r>
            <w:fldChar w:fldCharType="begin"/>
          </w:r>
          <w:r>
            <w:instrText xml:space="preserve"> HYPERLINK \l _Toc31712 </w:instrText>
          </w:r>
          <w:r>
            <w:fldChar w:fldCharType="separate"/>
          </w:r>
          <w:sdt>
            <w:sdtPr>
              <w:rPr>
                <w:rFonts w:ascii="Times New Roman" w:hAnsi="Times New Roman" w:eastAsia="宋体" w:cs="Times New Roman"/>
                <w:kern w:val="2"/>
                <w:sz w:val="21"/>
                <w:szCs w:val="24"/>
                <w:lang w:val="en-US" w:eastAsia="zh-CN" w:bidi="ar-SA"/>
              </w:rPr>
              <w:id w:val="147481004"/>
              <w:placeholder>
                <w:docPart w:val="{fa11d73f-a1c9-4d45-b9bd-ded4808d20a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一、 职能简介</w:t>
              </w:r>
            </w:sdtContent>
          </w:sdt>
          <w:r>
            <w:tab/>
          </w:r>
          <w:r>
            <w:t>3</w:t>
          </w:r>
          <w:r>
            <w:fldChar w:fldCharType="end"/>
          </w:r>
        </w:p>
        <w:p>
          <w:pPr>
            <w:pStyle w:val="32"/>
            <w:tabs>
              <w:tab w:val="right" w:leader="dot" w:pos="8306"/>
            </w:tabs>
          </w:pPr>
          <w:r>
            <w:fldChar w:fldCharType="begin"/>
          </w:r>
          <w:r>
            <w:instrText xml:space="preserve"> HYPERLINK \l _Toc15003 </w:instrText>
          </w:r>
          <w:r>
            <w:fldChar w:fldCharType="separate"/>
          </w:r>
          <w:sdt>
            <w:sdtPr>
              <w:rPr>
                <w:rFonts w:ascii="Times New Roman" w:hAnsi="Times New Roman" w:eastAsia="宋体" w:cs="Times New Roman"/>
                <w:kern w:val="2"/>
                <w:sz w:val="21"/>
                <w:szCs w:val="24"/>
                <w:lang w:val="en-US" w:eastAsia="zh-CN" w:bidi="ar-SA"/>
              </w:rPr>
              <w:id w:val="147481004"/>
              <w:placeholder>
                <w:docPart w:val="{e8b1dfd0-6895-4a2d-9c89-7c9fcf655e1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二、2021年重点工作完成情况</w:t>
              </w:r>
            </w:sdtContent>
          </w:sdt>
          <w:r>
            <w:tab/>
          </w:r>
          <w:r>
            <w:t>6</w:t>
          </w:r>
          <w:r>
            <w:fldChar w:fldCharType="end"/>
          </w:r>
        </w:p>
        <w:p>
          <w:pPr>
            <w:pStyle w:val="31"/>
            <w:tabs>
              <w:tab w:val="right" w:leader="dot" w:pos="8306"/>
            </w:tabs>
          </w:pPr>
          <w:r>
            <w:rPr>
              <w:b/>
              <w:bCs/>
            </w:rPr>
            <w:fldChar w:fldCharType="begin"/>
          </w:r>
          <w:r>
            <w:instrText xml:space="preserve"> HYPERLINK \l _Toc12149 </w:instrText>
          </w:r>
          <w:r>
            <w:rPr>
              <w:b/>
              <w:bCs/>
            </w:rPr>
            <w:fldChar w:fldCharType="separate"/>
          </w:r>
          <w:sdt>
            <w:sdtPr>
              <w:rPr>
                <w:rFonts w:ascii="Times New Roman" w:hAnsi="Times New Roman" w:eastAsia="宋体" w:cs="Times New Roman"/>
                <w:b/>
                <w:bCs/>
                <w:kern w:val="2"/>
                <w:sz w:val="21"/>
                <w:szCs w:val="24"/>
                <w:lang w:val="en-US" w:eastAsia="zh-CN" w:bidi="ar-SA"/>
              </w:rPr>
              <w:id w:val="147481004"/>
              <w:placeholder>
                <w:docPart w:val="{8e3c8807-ba24-40ed-ac3f-4c09f1d51cd2}"/>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第二部分 2021年度单位决算情况说明</w:t>
              </w:r>
            </w:sdtContent>
          </w:sdt>
          <w:r>
            <w:rPr>
              <w:b/>
              <w:bCs/>
            </w:rPr>
            <w:tab/>
          </w:r>
          <w:r>
            <w:rPr>
              <w:b/>
              <w:bCs/>
            </w:rPr>
            <w:t>13</w:t>
          </w:r>
          <w:r>
            <w:rPr>
              <w:b/>
              <w:bCs/>
            </w:rPr>
            <w:fldChar w:fldCharType="end"/>
          </w:r>
        </w:p>
        <w:p>
          <w:pPr>
            <w:pStyle w:val="32"/>
            <w:tabs>
              <w:tab w:val="right" w:leader="dot" w:pos="8306"/>
            </w:tabs>
          </w:pPr>
          <w:r>
            <w:fldChar w:fldCharType="begin"/>
          </w:r>
          <w:r>
            <w:instrText xml:space="preserve"> HYPERLINK \l _Toc15410 </w:instrText>
          </w:r>
          <w:r>
            <w:fldChar w:fldCharType="separate"/>
          </w:r>
          <w:sdt>
            <w:sdtPr>
              <w:rPr>
                <w:rFonts w:ascii="Times New Roman" w:hAnsi="Times New Roman" w:eastAsia="宋体" w:cs="Times New Roman"/>
                <w:kern w:val="2"/>
                <w:sz w:val="21"/>
                <w:szCs w:val="24"/>
                <w:lang w:val="en-US" w:eastAsia="zh-CN" w:bidi="ar-SA"/>
              </w:rPr>
              <w:id w:val="147481004"/>
              <w:placeholder>
                <w:docPart w:val="{9c57224e-acab-4e20-baed-ab2e6a6b7a4a}"/>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r>
            <w:t>13</w:t>
          </w:r>
          <w:r>
            <w:fldChar w:fldCharType="end"/>
          </w:r>
        </w:p>
        <w:p>
          <w:pPr>
            <w:pStyle w:val="32"/>
            <w:tabs>
              <w:tab w:val="right" w:leader="dot" w:pos="8306"/>
            </w:tabs>
          </w:pPr>
          <w:r>
            <w:fldChar w:fldCharType="begin"/>
          </w:r>
          <w:r>
            <w:instrText xml:space="preserve"> HYPERLINK \l _Toc6351 </w:instrText>
          </w:r>
          <w:r>
            <w:fldChar w:fldCharType="separate"/>
          </w:r>
          <w:sdt>
            <w:sdtPr>
              <w:rPr>
                <w:rFonts w:ascii="Times New Roman" w:hAnsi="Times New Roman" w:eastAsia="宋体" w:cs="Times New Roman"/>
                <w:kern w:val="2"/>
                <w:sz w:val="21"/>
                <w:szCs w:val="24"/>
                <w:lang w:val="en-US" w:eastAsia="zh-CN" w:bidi="ar-SA"/>
              </w:rPr>
              <w:id w:val="147481004"/>
              <w:placeholder>
                <w:docPart w:val="{8ee34cdd-1933-489c-9f30-6ffa3a08b572}"/>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r>
            <w:t>13</w:t>
          </w:r>
          <w:r>
            <w:fldChar w:fldCharType="end"/>
          </w:r>
        </w:p>
        <w:p>
          <w:pPr>
            <w:pStyle w:val="32"/>
            <w:tabs>
              <w:tab w:val="right" w:leader="dot" w:pos="8306"/>
            </w:tabs>
          </w:pPr>
          <w:r>
            <w:fldChar w:fldCharType="begin"/>
          </w:r>
          <w:r>
            <w:instrText xml:space="preserve"> HYPERLINK \l _Toc27756 </w:instrText>
          </w:r>
          <w:r>
            <w:fldChar w:fldCharType="separate"/>
          </w:r>
          <w:sdt>
            <w:sdtPr>
              <w:rPr>
                <w:rFonts w:ascii="Times New Roman" w:hAnsi="Times New Roman" w:eastAsia="宋体" w:cs="Times New Roman"/>
                <w:kern w:val="2"/>
                <w:sz w:val="21"/>
                <w:szCs w:val="24"/>
                <w:lang w:val="en-US" w:eastAsia="zh-CN" w:bidi="ar-SA"/>
              </w:rPr>
              <w:id w:val="147481004"/>
              <w:placeholder>
                <w:docPart w:val="{718e78f3-6e94-4b4a-ad21-c4e361324cf9}"/>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三、 </w:t>
              </w:r>
              <w:r>
                <w:rPr>
                  <w:rFonts w:hint="eastAsia" w:ascii="黑体" w:hAnsi="黑体" w:eastAsia="黑体" w:cs="Times New Roman"/>
                </w:rPr>
                <w:t>支</w:t>
              </w:r>
              <w:r>
                <w:rPr>
                  <w:rFonts w:hint="eastAsia" w:ascii="黑体" w:hAnsi="黑体" w:eastAsia="黑体" w:cstheme="majorBidi"/>
                </w:rPr>
                <w:t>出决算情况说明</w:t>
              </w:r>
            </w:sdtContent>
          </w:sdt>
          <w:r>
            <w:tab/>
          </w:r>
          <w:r>
            <w:t>14</w:t>
          </w:r>
          <w:r>
            <w:fldChar w:fldCharType="end"/>
          </w:r>
        </w:p>
        <w:p>
          <w:pPr>
            <w:pStyle w:val="32"/>
            <w:tabs>
              <w:tab w:val="right" w:leader="dot" w:pos="8306"/>
            </w:tabs>
          </w:pPr>
          <w:r>
            <w:fldChar w:fldCharType="begin"/>
          </w:r>
          <w:r>
            <w:instrText xml:space="preserve"> HYPERLINK \l _Toc8039 </w:instrText>
          </w:r>
          <w:r>
            <w:fldChar w:fldCharType="separate"/>
          </w:r>
          <w:sdt>
            <w:sdtPr>
              <w:rPr>
                <w:rFonts w:ascii="Times New Roman" w:hAnsi="Times New Roman" w:eastAsia="宋体" w:cs="Times New Roman"/>
                <w:kern w:val="2"/>
                <w:sz w:val="21"/>
                <w:szCs w:val="24"/>
                <w:lang w:val="en-US" w:eastAsia="zh-CN" w:bidi="ar-SA"/>
              </w:rPr>
              <w:id w:val="147481004"/>
              <w:placeholder>
                <w:docPart w:val="{3b188757-0171-49e3-92b7-609be91de1e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r>
            <w:t>15</w:t>
          </w:r>
          <w:r>
            <w:fldChar w:fldCharType="end"/>
          </w:r>
        </w:p>
        <w:p>
          <w:pPr>
            <w:pStyle w:val="32"/>
            <w:tabs>
              <w:tab w:val="right" w:leader="dot" w:pos="8306"/>
            </w:tabs>
          </w:pPr>
          <w:r>
            <w:fldChar w:fldCharType="begin"/>
          </w:r>
          <w:r>
            <w:instrText xml:space="preserve"> HYPERLINK \l _Toc32368 </w:instrText>
          </w:r>
          <w:r>
            <w:fldChar w:fldCharType="separate"/>
          </w:r>
          <w:sdt>
            <w:sdtPr>
              <w:rPr>
                <w:rFonts w:ascii="Times New Roman" w:hAnsi="Times New Roman" w:eastAsia="宋体" w:cs="Times New Roman"/>
                <w:kern w:val="2"/>
                <w:sz w:val="21"/>
                <w:szCs w:val="24"/>
                <w:lang w:val="en-US" w:eastAsia="zh-CN" w:bidi="ar-SA"/>
              </w:rPr>
              <w:id w:val="147481004"/>
              <w:placeholder>
                <w:docPart w:val="{33a9def7-99a8-4c7c-bb96-8877144c2beb}"/>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r>
            <w:t>21</w:t>
          </w:r>
          <w:r>
            <w:fldChar w:fldCharType="end"/>
          </w:r>
        </w:p>
        <w:p>
          <w:pPr>
            <w:pStyle w:val="32"/>
            <w:tabs>
              <w:tab w:val="right" w:leader="dot" w:pos="8306"/>
            </w:tabs>
          </w:pPr>
          <w:r>
            <w:fldChar w:fldCharType="begin"/>
          </w:r>
          <w:r>
            <w:instrText xml:space="preserve"> HYPERLINK \l _Toc13589 </w:instrText>
          </w:r>
          <w:r>
            <w:fldChar w:fldCharType="separate"/>
          </w:r>
          <w:sdt>
            <w:sdtPr>
              <w:rPr>
                <w:rFonts w:ascii="Times New Roman" w:hAnsi="Times New Roman" w:eastAsia="宋体" w:cs="Times New Roman"/>
                <w:kern w:val="2"/>
                <w:sz w:val="21"/>
                <w:szCs w:val="24"/>
                <w:lang w:val="en-US" w:eastAsia="zh-CN" w:bidi="ar-SA"/>
              </w:rPr>
              <w:id w:val="147481004"/>
              <w:placeholder>
                <w:docPart w:val="{1177fcc0-dc54-4375-8948-efc43fe23227}"/>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“三公”经费财政拨款支出决算情况说明</w:t>
              </w:r>
            </w:sdtContent>
          </w:sdt>
          <w:r>
            <w:tab/>
          </w:r>
          <w:r>
            <w:t>21</w:t>
          </w:r>
          <w:r>
            <w:fldChar w:fldCharType="end"/>
          </w:r>
        </w:p>
        <w:p>
          <w:pPr>
            <w:pStyle w:val="32"/>
            <w:tabs>
              <w:tab w:val="right" w:leader="dot" w:pos="8306"/>
            </w:tabs>
          </w:pPr>
          <w:r>
            <w:fldChar w:fldCharType="begin"/>
          </w:r>
          <w:r>
            <w:instrText xml:space="preserve"> HYPERLINK \l _Toc8923 </w:instrText>
          </w:r>
          <w:r>
            <w:fldChar w:fldCharType="separate"/>
          </w:r>
          <w:sdt>
            <w:sdtPr>
              <w:rPr>
                <w:rFonts w:ascii="Times New Roman" w:hAnsi="Times New Roman" w:eastAsia="宋体" w:cs="Times New Roman"/>
                <w:kern w:val="2"/>
                <w:sz w:val="21"/>
                <w:szCs w:val="24"/>
                <w:lang w:val="en-US" w:eastAsia="zh-CN" w:bidi="ar-SA"/>
              </w:rPr>
              <w:id w:val="147481004"/>
              <w:placeholder>
                <w:docPart w:val="{4f2cf72d-5cbc-4622-acde-77bca536e673}"/>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r>
            <w:t>23</w:t>
          </w:r>
          <w:r>
            <w:fldChar w:fldCharType="end"/>
          </w:r>
        </w:p>
        <w:p>
          <w:pPr>
            <w:pStyle w:val="32"/>
            <w:tabs>
              <w:tab w:val="right" w:leader="dot" w:pos="8306"/>
            </w:tabs>
          </w:pPr>
          <w:r>
            <w:fldChar w:fldCharType="begin"/>
          </w:r>
          <w:r>
            <w:instrText xml:space="preserve"> HYPERLINK \l _Toc15772 </w:instrText>
          </w:r>
          <w:r>
            <w:fldChar w:fldCharType="separate"/>
          </w:r>
          <w:sdt>
            <w:sdtPr>
              <w:rPr>
                <w:rFonts w:ascii="Times New Roman" w:hAnsi="Times New Roman" w:eastAsia="宋体" w:cs="Times New Roman"/>
                <w:kern w:val="2"/>
                <w:sz w:val="21"/>
                <w:szCs w:val="24"/>
                <w:lang w:val="en-US" w:eastAsia="zh-CN" w:bidi="ar-SA"/>
              </w:rPr>
              <w:id w:val="147481004"/>
              <w:placeholder>
                <w:docPart w:val="{40b9f82e-add9-4e72-af7c-eaabfadcbc9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r>
            <w:t>23</w:t>
          </w:r>
          <w:r>
            <w:fldChar w:fldCharType="end"/>
          </w:r>
        </w:p>
        <w:p>
          <w:pPr>
            <w:pStyle w:val="32"/>
            <w:tabs>
              <w:tab w:val="right" w:leader="dot" w:pos="8306"/>
            </w:tabs>
          </w:pPr>
          <w:r>
            <w:fldChar w:fldCharType="begin"/>
          </w:r>
          <w:r>
            <w:instrText xml:space="preserve"> HYPERLINK \l _Toc13714 </w:instrText>
          </w:r>
          <w:r>
            <w:fldChar w:fldCharType="separate"/>
          </w:r>
          <w:sdt>
            <w:sdtPr>
              <w:rPr>
                <w:rFonts w:ascii="Times New Roman" w:hAnsi="Times New Roman" w:eastAsia="宋体" w:cs="Times New Roman"/>
                <w:kern w:val="2"/>
                <w:sz w:val="21"/>
                <w:szCs w:val="24"/>
                <w:lang w:val="en-US" w:eastAsia="zh-CN" w:bidi="ar-SA"/>
              </w:rPr>
              <w:id w:val="147481004"/>
              <w:placeholder>
                <w:docPart w:val="{6cbff063-4e64-4b33-b540-809ff2a5a40b}"/>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r>
            <w:t>24</w:t>
          </w:r>
          <w:r>
            <w:fldChar w:fldCharType="end"/>
          </w:r>
        </w:p>
        <w:p>
          <w:pPr>
            <w:pStyle w:val="31"/>
            <w:tabs>
              <w:tab w:val="right" w:leader="dot" w:pos="8306"/>
            </w:tabs>
          </w:pPr>
          <w:r>
            <w:rPr>
              <w:b/>
              <w:bCs/>
            </w:rPr>
            <w:fldChar w:fldCharType="begin"/>
          </w:r>
          <w:r>
            <w:instrText xml:space="preserve"> HYPERLINK \l _Toc22453 </w:instrText>
          </w:r>
          <w:r>
            <w:rPr>
              <w:b/>
              <w:bCs/>
            </w:rPr>
            <w:fldChar w:fldCharType="separate"/>
          </w:r>
          <w:sdt>
            <w:sdtPr>
              <w:rPr>
                <w:rFonts w:ascii="Times New Roman" w:hAnsi="Times New Roman" w:eastAsia="宋体" w:cs="Times New Roman"/>
                <w:b/>
                <w:bCs/>
                <w:kern w:val="2"/>
                <w:sz w:val="21"/>
                <w:szCs w:val="24"/>
                <w:lang w:val="en-US" w:eastAsia="zh-CN" w:bidi="ar-SA"/>
              </w:rPr>
              <w:id w:val="147481004"/>
              <w:placeholder>
                <w:docPart w:val="{8ba1312b-22d3-49fa-956c-84f72061c2bc}"/>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黑体"/>
                  <w:b/>
                  <w:bCs/>
                </w:rPr>
                <w:t xml:space="preserve">第三部分 </w:t>
              </w:r>
              <w:r>
                <w:rPr>
                  <w:rFonts w:hint="eastAsia" w:ascii="黑体" w:hAnsi="黑体" w:eastAsia="黑体" w:cs="Times New Roman"/>
                  <w:b/>
                  <w:bCs/>
                </w:rPr>
                <w:t>名词解释</w:t>
              </w:r>
            </w:sdtContent>
          </w:sdt>
          <w:r>
            <w:rPr>
              <w:b/>
              <w:bCs/>
            </w:rPr>
            <w:tab/>
          </w:r>
          <w:r>
            <w:rPr>
              <w:b/>
              <w:bCs/>
            </w:rPr>
            <w:t>26</w:t>
          </w:r>
          <w:r>
            <w:rPr>
              <w:b/>
              <w:bCs/>
            </w:rPr>
            <w:fldChar w:fldCharType="end"/>
          </w:r>
        </w:p>
        <w:p>
          <w:pPr>
            <w:pStyle w:val="31"/>
            <w:tabs>
              <w:tab w:val="right" w:leader="dot" w:pos="8306"/>
            </w:tabs>
          </w:pPr>
          <w:r>
            <w:rPr>
              <w:b/>
              <w:bCs/>
            </w:rPr>
            <w:fldChar w:fldCharType="begin"/>
          </w:r>
          <w:r>
            <w:instrText xml:space="preserve"> HYPERLINK \l _Toc27435 </w:instrText>
          </w:r>
          <w:r>
            <w:rPr>
              <w:b/>
              <w:bCs/>
            </w:rPr>
            <w:fldChar w:fldCharType="separate"/>
          </w:r>
          <w:sdt>
            <w:sdtPr>
              <w:rPr>
                <w:rFonts w:ascii="Times New Roman" w:hAnsi="Times New Roman" w:eastAsia="宋体" w:cs="Times New Roman"/>
                <w:b/>
                <w:bCs/>
                <w:kern w:val="2"/>
                <w:sz w:val="21"/>
                <w:szCs w:val="24"/>
                <w:lang w:val="en-US" w:eastAsia="zh-CN" w:bidi="ar-SA"/>
              </w:rPr>
              <w:id w:val="147481004"/>
              <w:placeholder>
                <w:docPart w:val="{429494cd-17db-4dc6-9c47-24f520739fd1}"/>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r>
            <w:rPr>
              <w:b/>
              <w:bCs/>
            </w:rPr>
            <w:t>30</w:t>
          </w:r>
          <w:r>
            <w:rPr>
              <w:b/>
              <w:bCs/>
            </w:rPr>
            <w:fldChar w:fldCharType="end"/>
          </w:r>
        </w:p>
        <w:p>
          <w:pPr>
            <w:pStyle w:val="31"/>
            <w:tabs>
              <w:tab w:val="right" w:leader="dot" w:pos="8306"/>
            </w:tabs>
          </w:pPr>
          <w:r>
            <w:rPr>
              <w:b/>
              <w:bCs/>
            </w:rPr>
            <w:fldChar w:fldCharType="begin"/>
          </w:r>
          <w:r>
            <w:instrText xml:space="preserve"> HYPERLINK \l _Toc15193 </w:instrText>
          </w:r>
          <w:r>
            <w:rPr>
              <w:b/>
              <w:bCs/>
            </w:rPr>
            <w:fldChar w:fldCharType="separate"/>
          </w:r>
          <w:sdt>
            <w:sdtPr>
              <w:rPr>
                <w:rFonts w:ascii="Times New Roman" w:hAnsi="Times New Roman" w:eastAsia="宋体" w:cs="Times New Roman"/>
                <w:b/>
                <w:bCs/>
                <w:kern w:val="2"/>
                <w:sz w:val="21"/>
                <w:szCs w:val="24"/>
                <w:lang w:val="en-US" w:eastAsia="zh-CN" w:bidi="ar-SA"/>
              </w:rPr>
              <w:id w:val="147481004"/>
              <w:placeholder>
                <w:docPart w:val="{fe6d319f-f57a-444b-a839-0235fbe2814e}"/>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第五部分 附表</w:t>
              </w:r>
            </w:sdtContent>
          </w:sdt>
          <w:r>
            <w:rPr>
              <w:b/>
              <w:bCs/>
            </w:rPr>
            <w:tab/>
          </w:r>
          <w:r>
            <w:rPr>
              <w:b/>
              <w:bCs/>
            </w:rPr>
            <w:t>32</w:t>
          </w:r>
          <w:r>
            <w:rPr>
              <w:b/>
              <w:bCs/>
            </w:rPr>
            <w:fldChar w:fldCharType="end"/>
          </w:r>
        </w:p>
        <w:p>
          <w:pPr>
            <w:pStyle w:val="32"/>
            <w:tabs>
              <w:tab w:val="right" w:leader="dot" w:pos="8306"/>
            </w:tabs>
          </w:pPr>
          <w:r>
            <w:fldChar w:fldCharType="begin"/>
          </w:r>
          <w:r>
            <w:instrText xml:space="preserve"> HYPERLINK \l _Toc658 </w:instrText>
          </w:r>
          <w:r>
            <w:fldChar w:fldCharType="separate"/>
          </w:r>
          <w:sdt>
            <w:sdtPr>
              <w:rPr>
                <w:rFonts w:ascii="Times New Roman" w:hAnsi="Times New Roman" w:eastAsia="宋体" w:cs="Times New Roman"/>
                <w:kern w:val="2"/>
                <w:sz w:val="21"/>
                <w:szCs w:val="24"/>
                <w:lang w:val="en-US" w:eastAsia="zh-CN" w:bidi="ar-SA"/>
              </w:rPr>
              <w:id w:val="147481004"/>
              <w:placeholder>
                <w:docPart w:val="{685fc4e8-6f48-43b3-b0c9-bb9c405eb64d}"/>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一、收入支出决算总表</w:t>
              </w:r>
            </w:sdtContent>
          </w:sdt>
          <w:r>
            <w:tab/>
          </w:r>
          <w:r>
            <w:t>32</w:t>
          </w:r>
          <w:r>
            <w:fldChar w:fldCharType="end"/>
          </w:r>
        </w:p>
        <w:p>
          <w:pPr>
            <w:pStyle w:val="32"/>
            <w:tabs>
              <w:tab w:val="right" w:leader="dot" w:pos="8306"/>
            </w:tabs>
          </w:pPr>
          <w:r>
            <w:fldChar w:fldCharType="begin"/>
          </w:r>
          <w:r>
            <w:instrText xml:space="preserve"> HYPERLINK \l _Toc16206 </w:instrText>
          </w:r>
          <w:r>
            <w:fldChar w:fldCharType="separate"/>
          </w:r>
          <w:sdt>
            <w:sdtPr>
              <w:rPr>
                <w:rFonts w:ascii="Times New Roman" w:hAnsi="Times New Roman" w:eastAsia="宋体" w:cs="Times New Roman"/>
                <w:kern w:val="2"/>
                <w:sz w:val="21"/>
                <w:szCs w:val="24"/>
                <w:lang w:val="en-US" w:eastAsia="zh-CN" w:bidi="ar-SA"/>
              </w:rPr>
              <w:id w:val="147481004"/>
              <w:placeholder>
                <w:docPart w:val="{783f5b59-5150-4501-a508-0d183b1eb431}"/>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二、收入决算表</w:t>
              </w:r>
            </w:sdtContent>
          </w:sdt>
          <w:r>
            <w:tab/>
          </w:r>
          <w:r>
            <w:t>32</w:t>
          </w:r>
          <w:r>
            <w:fldChar w:fldCharType="end"/>
          </w:r>
        </w:p>
        <w:p>
          <w:pPr>
            <w:pStyle w:val="32"/>
            <w:tabs>
              <w:tab w:val="right" w:leader="dot" w:pos="8306"/>
            </w:tabs>
          </w:pPr>
          <w:r>
            <w:fldChar w:fldCharType="begin"/>
          </w:r>
          <w:r>
            <w:instrText xml:space="preserve"> HYPERLINK \l _Toc25809 </w:instrText>
          </w:r>
          <w:r>
            <w:fldChar w:fldCharType="separate"/>
          </w:r>
          <w:sdt>
            <w:sdtPr>
              <w:rPr>
                <w:rFonts w:ascii="Times New Roman" w:hAnsi="Times New Roman" w:eastAsia="宋体" w:cs="Times New Roman"/>
                <w:kern w:val="2"/>
                <w:sz w:val="21"/>
                <w:szCs w:val="24"/>
                <w:lang w:val="en-US" w:eastAsia="zh-CN" w:bidi="ar-SA"/>
              </w:rPr>
              <w:id w:val="147481004"/>
              <w:placeholder>
                <w:docPart w:val="{558b5fec-db4b-4948-975e-e4042ec5277e}"/>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三、支出决算表</w:t>
              </w:r>
            </w:sdtContent>
          </w:sdt>
          <w:r>
            <w:tab/>
          </w:r>
          <w:r>
            <w:t>32</w:t>
          </w:r>
          <w:r>
            <w:fldChar w:fldCharType="end"/>
          </w:r>
        </w:p>
        <w:p>
          <w:pPr>
            <w:pStyle w:val="32"/>
            <w:tabs>
              <w:tab w:val="right" w:leader="dot" w:pos="8306"/>
            </w:tabs>
          </w:pPr>
          <w:r>
            <w:fldChar w:fldCharType="begin"/>
          </w:r>
          <w:r>
            <w:instrText xml:space="preserve"> HYPERLINK \l _Toc26706 </w:instrText>
          </w:r>
          <w:r>
            <w:fldChar w:fldCharType="separate"/>
          </w:r>
          <w:sdt>
            <w:sdtPr>
              <w:rPr>
                <w:rFonts w:ascii="Times New Roman" w:hAnsi="Times New Roman" w:eastAsia="宋体" w:cs="Times New Roman"/>
                <w:kern w:val="2"/>
                <w:sz w:val="21"/>
                <w:szCs w:val="24"/>
                <w:lang w:val="en-US" w:eastAsia="zh-CN" w:bidi="ar-SA"/>
              </w:rPr>
              <w:id w:val="147481004"/>
              <w:placeholder>
                <w:docPart w:val="{8ee9eeb5-8ec0-4cd6-aca7-9374b265e367}"/>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四、财政拨款收入支出决算总表</w:t>
              </w:r>
            </w:sdtContent>
          </w:sdt>
          <w:r>
            <w:tab/>
          </w:r>
          <w:r>
            <w:t>32</w:t>
          </w:r>
          <w:r>
            <w:fldChar w:fldCharType="end"/>
          </w:r>
        </w:p>
        <w:p>
          <w:pPr>
            <w:pStyle w:val="32"/>
            <w:tabs>
              <w:tab w:val="right" w:leader="dot" w:pos="8306"/>
            </w:tabs>
          </w:pPr>
          <w:r>
            <w:fldChar w:fldCharType="begin"/>
          </w:r>
          <w:r>
            <w:instrText xml:space="preserve"> HYPERLINK \l _Toc11303 </w:instrText>
          </w:r>
          <w:r>
            <w:fldChar w:fldCharType="separate"/>
          </w:r>
          <w:sdt>
            <w:sdtPr>
              <w:rPr>
                <w:rFonts w:ascii="Times New Roman" w:hAnsi="Times New Roman" w:eastAsia="宋体" w:cs="Times New Roman"/>
                <w:kern w:val="2"/>
                <w:sz w:val="21"/>
                <w:szCs w:val="24"/>
                <w:lang w:val="en-US" w:eastAsia="zh-CN" w:bidi="ar-SA"/>
              </w:rPr>
              <w:id w:val="147481004"/>
              <w:placeholder>
                <w:docPart w:val="{15edd476-da64-4498-931f-0201c0d8fef8}"/>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五、财政拨款支出决算明细表</w:t>
              </w:r>
            </w:sdtContent>
          </w:sdt>
          <w:r>
            <w:tab/>
          </w:r>
          <w:r>
            <w:t>32</w:t>
          </w:r>
          <w:r>
            <w:fldChar w:fldCharType="end"/>
          </w:r>
        </w:p>
        <w:p>
          <w:pPr>
            <w:pStyle w:val="32"/>
            <w:tabs>
              <w:tab w:val="right" w:leader="dot" w:pos="8306"/>
            </w:tabs>
          </w:pPr>
          <w:r>
            <w:fldChar w:fldCharType="begin"/>
          </w:r>
          <w:r>
            <w:instrText xml:space="preserve"> HYPERLINK \l _Toc13902 </w:instrText>
          </w:r>
          <w:r>
            <w:fldChar w:fldCharType="separate"/>
          </w:r>
          <w:sdt>
            <w:sdtPr>
              <w:rPr>
                <w:rFonts w:ascii="Times New Roman" w:hAnsi="Times New Roman" w:eastAsia="宋体" w:cs="Times New Roman"/>
                <w:kern w:val="2"/>
                <w:sz w:val="21"/>
                <w:szCs w:val="24"/>
                <w:lang w:val="en-US" w:eastAsia="zh-CN" w:bidi="ar-SA"/>
              </w:rPr>
              <w:id w:val="147481004"/>
              <w:placeholder>
                <w:docPart w:val="{03e50876-ced6-439d-b13b-412f6067cb08}"/>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六、一般公共预算财政拨款支出决算表</w:t>
              </w:r>
            </w:sdtContent>
          </w:sdt>
          <w:r>
            <w:tab/>
          </w:r>
          <w:r>
            <w:t>32</w:t>
          </w:r>
          <w:r>
            <w:fldChar w:fldCharType="end"/>
          </w:r>
        </w:p>
        <w:p>
          <w:pPr>
            <w:pStyle w:val="32"/>
            <w:tabs>
              <w:tab w:val="right" w:leader="dot" w:pos="8306"/>
            </w:tabs>
          </w:pPr>
          <w:r>
            <w:fldChar w:fldCharType="begin"/>
          </w:r>
          <w:r>
            <w:instrText xml:space="preserve"> HYPERLINK \l _Toc5334 </w:instrText>
          </w:r>
          <w:r>
            <w:fldChar w:fldCharType="separate"/>
          </w:r>
          <w:sdt>
            <w:sdtPr>
              <w:rPr>
                <w:rFonts w:ascii="Times New Roman" w:hAnsi="Times New Roman" w:eastAsia="宋体" w:cs="Times New Roman"/>
                <w:kern w:val="2"/>
                <w:sz w:val="21"/>
                <w:szCs w:val="24"/>
                <w:lang w:val="en-US" w:eastAsia="zh-CN" w:bidi="ar-SA"/>
              </w:rPr>
              <w:id w:val="147481004"/>
              <w:placeholder>
                <w:docPart w:val="{c625fd23-4772-4f58-8ac9-6e759eefe559}"/>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七、一般公共预算财政拨款支出决算明细表</w:t>
              </w:r>
            </w:sdtContent>
          </w:sdt>
          <w:r>
            <w:tab/>
          </w:r>
          <w:r>
            <w:t>32</w:t>
          </w:r>
          <w:r>
            <w:fldChar w:fldCharType="end"/>
          </w:r>
        </w:p>
        <w:p>
          <w:pPr>
            <w:pStyle w:val="32"/>
            <w:tabs>
              <w:tab w:val="right" w:leader="dot" w:pos="8306"/>
            </w:tabs>
          </w:pPr>
          <w:r>
            <w:fldChar w:fldCharType="begin"/>
          </w:r>
          <w:r>
            <w:instrText xml:space="preserve"> HYPERLINK \l _Toc18554 </w:instrText>
          </w:r>
          <w:r>
            <w:fldChar w:fldCharType="separate"/>
          </w:r>
          <w:sdt>
            <w:sdtPr>
              <w:rPr>
                <w:rFonts w:ascii="Times New Roman" w:hAnsi="Times New Roman" w:eastAsia="宋体" w:cs="Times New Roman"/>
                <w:kern w:val="2"/>
                <w:sz w:val="21"/>
                <w:szCs w:val="24"/>
                <w:lang w:val="en-US" w:eastAsia="zh-CN" w:bidi="ar-SA"/>
              </w:rPr>
              <w:id w:val="147481004"/>
              <w:placeholder>
                <w:docPart w:val="{492c9a5a-8832-4d8b-b956-db803b8ff1fd}"/>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八、一般公共预算财政拨款基本支出决算表</w:t>
              </w:r>
            </w:sdtContent>
          </w:sdt>
          <w:r>
            <w:tab/>
          </w:r>
          <w:r>
            <w:t>32</w:t>
          </w:r>
          <w:r>
            <w:fldChar w:fldCharType="end"/>
          </w:r>
        </w:p>
        <w:p>
          <w:pPr>
            <w:pStyle w:val="32"/>
            <w:tabs>
              <w:tab w:val="right" w:leader="dot" w:pos="8306"/>
            </w:tabs>
          </w:pPr>
          <w:r>
            <w:fldChar w:fldCharType="begin"/>
          </w:r>
          <w:r>
            <w:instrText xml:space="preserve"> HYPERLINK \l _Toc11591 </w:instrText>
          </w:r>
          <w:r>
            <w:fldChar w:fldCharType="separate"/>
          </w:r>
          <w:sdt>
            <w:sdtPr>
              <w:rPr>
                <w:rFonts w:ascii="Times New Roman" w:hAnsi="Times New Roman" w:eastAsia="宋体" w:cs="Times New Roman"/>
                <w:kern w:val="2"/>
                <w:sz w:val="21"/>
                <w:szCs w:val="24"/>
                <w:lang w:val="en-US" w:eastAsia="zh-CN" w:bidi="ar-SA"/>
              </w:rPr>
              <w:id w:val="147481004"/>
              <w:placeholder>
                <w:docPart w:val="{372c31da-f180-4a04-89e0-5a8a92959381}"/>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九、一般公共预算财政拨款项目支出决算表</w:t>
              </w:r>
            </w:sdtContent>
          </w:sdt>
          <w:r>
            <w:tab/>
          </w:r>
          <w:r>
            <w:t>32</w:t>
          </w:r>
          <w:r>
            <w:fldChar w:fldCharType="end"/>
          </w:r>
        </w:p>
        <w:p>
          <w:pPr>
            <w:pStyle w:val="32"/>
            <w:tabs>
              <w:tab w:val="right" w:leader="dot" w:pos="8306"/>
            </w:tabs>
          </w:pPr>
          <w:r>
            <w:fldChar w:fldCharType="begin"/>
          </w:r>
          <w:r>
            <w:instrText xml:space="preserve"> HYPERLINK \l _Toc30562 </w:instrText>
          </w:r>
          <w:r>
            <w:fldChar w:fldCharType="separate"/>
          </w:r>
          <w:sdt>
            <w:sdtPr>
              <w:rPr>
                <w:rFonts w:ascii="Times New Roman" w:hAnsi="Times New Roman" w:eastAsia="宋体" w:cs="Times New Roman"/>
                <w:kern w:val="2"/>
                <w:sz w:val="21"/>
                <w:szCs w:val="24"/>
                <w:lang w:val="en-US" w:eastAsia="zh-CN" w:bidi="ar-SA"/>
              </w:rPr>
              <w:id w:val="147481004"/>
              <w:placeholder>
                <w:docPart w:val="{a97b4282-f60a-4487-95ae-1096b06774be}"/>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十、一般公共预算财政拨款“三公”经费支出决算表</w:t>
              </w:r>
            </w:sdtContent>
          </w:sdt>
          <w:r>
            <w:tab/>
          </w:r>
          <w:r>
            <w:t>32</w:t>
          </w:r>
          <w:r>
            <w:fldChar w:fldCharType="end"/>
          </w:r>
        </w:p>
        <w:p>
          <w:pPr>
            <w:pStyle w:val="32"/>
            <w:tabs>
              <w:tab w:val="right" w:leader="dot" w:pos="8306"/>
            </w:tabs>
          </w:pPr>
          <w:r>
            <w:fldChar w:fldCharType="begin"/>
          </w:r>
          <w:r>
            <w:instrText xml:space="preserve"> HYPERLINK \l _Toc2173 </w:instrText>
          </w:r>
          <w:r>
            <w:fldChar w:fldCharType="separate"/>
          </w:r>
          <w:sdt>
            <w:sdtPr>
              <w:rPr>
                <w:rFonts w:ascii="Times New Roman" w:hAnsi="Times New Roman" w:eastAsia="宋体" w:cs="Times New Roman"/>
                <w:kern w:val="2"/>
                <w:sz w:val="21"/>
                <w:szCs w:val="24"/>
                <w:lang w:val="en-US" w:eastAsia="zh-CN" w:bidi="ar-SA"/>
              </w:rPr>
              <w:id w:val="147481004"/>
              <w:placeholder>
                <w:docPart w:val="{ba457731-df3b-4efb-b3ea-5f210fb54b05}"/>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十一、政府性基金预算财政拨款收入支出决算表</w:t>
              </w:r>
            </w:sdtContent>
          </w:sdt>
          <w:r>
            <w:tab/>
          </w:r>
          <w:r>
            <w:t>32</w:t>
          </w:r>
          <w:r>
            <w:fldChar w:fldCharType="end"/>
          </w:r>
        </w:p>
        <w:p>
          <w:pPr>
            <w:pStyle w:val="32"/>
            <w:tabs>
              <w:tab w:val="right" w:leader="dot" w:pos="8306"/>
            </w:tabs>
          </w:pPr>
          <w:r>
            <w:fldChar w:fldCharType="begin"/>
          </w:r>
          <w:r>
            <w:instrText xml:space="preserve"> HYPERLINK \l _Toc15386 </w:instrText>
          </w:r>
          <w:r>
            <w:fldChar w:fldCharType="separate"/>
          </w:r>
          <w:sdt>
            <w:sdtPr>
              <w:rPr>
                <w:rFonts w:ascii="Times New Roman" w:hAnsi="Times New Roman" w:eastAsia="宋体" w:cs="Times New Roman"/>
                <w:kern w:val="2"/>
                <w:sz w:val="21"/>
                <w:szCs w:val="24"/>
                <w:lang w:val="en-US" w:eastAsia="zh-CN" w:bidi="ar-SA"/>
              </w:rPr>
              <w:id w:val="147481004"/>
              <w:placeholder>
                <w:docPart w:val="{6d80a49c-37f1-46dc-aa7e-3e9be7f895a4}"/>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十二、政府性基金预算财政拨款“三公”经费支出决算表</w:t>
              </w:r>
            </w:sdtContent>
          </w:sdt>
          <w:r>
            <w:tab/>
          </w:r>
          <w:r>
            <w:t>32</w:t>
          </w:r>
          <w:r>
            <w:fldChar w:fldCharType="end"/>
          </w:r>
        </w:p>
        <w:p>
          <w:pPr>
            <w:pStyle w:val="32"/>
            <w:tabs>
              <w:tab w:val="right" w:leader="dot" w:pos="8306"/>
            </w:tabs>
          </w:pPr>
          <w:r>
            <w:fldChar w:fldCharType="begin"/>
          </w:r>
          <w:r>
            <w:instrText xml:space="preserve"> HYPERLINK \l _Toc3306 </w:instrText>
          </w:r>
          <w:r>
            <w:fldChar w:fldCharType="separate"/>
          </w:r>
          <w:sdt>
            <w:sdtPr>
              <w:rPr>
                <w:rFonts w:ascii="Times New Roman" w:hAnsi="Times New Roman" w:eastAsia="宋体" w:cs="Times New Roman"/>
                <w:kern w:val="2"/>
                <w:sz w:val="21"/>
                <w:szCs w:val="24"/>
                <w:lang w:val="en-US" w:eastAsia="zh-CN" w:bidi="ar-SA"/>
              </w:rPr>
              <w:id w:val="147481004"/>
              <w:placeholder>
                <w:docPart w:val="{aca133d1-0d98-44cd-aaf8-7fec0b025f77}"/>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十三、国有资本经营预算财政拨款收入支出决算表</w:t>
              </w:r>
            </w:sdtContent>
          </w:sdt>
          <w:r>
            <w:tab/>
          </w:r>
          <w:r>
            <w:t>32</w:t>
          </w:r>
          <w:r>
            <w:fldChar w:fldCharType="end"/>
          </w:r>
        </w:p>
        <w:p>
          <w:pPr>
            <w:pStyle w:val="32"/>
            <w:tabs>
              <w:tab w:val="right" w:leader="dot" w:pos="8306"/>
            </w:tabs>
          </w:pPr>
          <w:r>
            <w:fldChar w:fldCharType="begin"/>
          </w:r>
          <w:r>
            <w:instrText xml:space="preserve"> HYPERLINK \l _Toc13873 </w:instrText>
          </w:r>
          <w:r>
            <w:fldChar w:fldCharType="separate"/>
          </w:r>
          <w:sdt>
            <w:sdtPr>
              <w:rPr>
                <w:rFonts w:ascii="Times New Roman" w:hAnsi="Times New Roman" w:eastAsia="宋体" w:cs="Times New Roman"/>
                <w:kern w:val="2"/>
                <w:sz w:val="21"/>
                <w:szCs w:val="24"/>
                <w:lang w:val="en-US" w:eastAsia="zh-CN" w:bidi="ar-SA"/>
              </w:rPr>
              <w:id w:val="147481004"/>
              <w:placeholder>
                <w:docPart w:val="{2f0c7366-9ebe-4ef9-9d66-c1167c8a1d54}"/>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十四、国有资本经营预算财政拨款支出决算表</w:t>
              </w:r>
            </w:sdtContent>
          </w:sdt>
          <w:r>
            <w:tab/>
          </w:r>
          <w:r>
            <w:t>32</w:t>
          </w:r>
          <w:r>
            <w:fldChar w:fldCharType="end"/>
          </w:r>
        </w:p>
      </w:sdtContent>
    </w:sdt>
    <w:p/>
    <w:p>
      <w:pPr>
        <w:pStyle w:val="3"/>
        <w:jc w:val="center"/>
        <w:rPr>
          <w:rFonts w:hint="eastAsia" w:ascii="黑体" w:hAnsi="黑体" w:eastAsia="黑体"/>
          <w:b w:val="0"/>
        </w:rPr>
      </w:pPr>
      <w:bookmarkStart w:id="12" w:name="_Toc15377196"/>
      <w:bookmarkStart w:id="13" w:name="_Toc20537"/>
      <w:bookmarkStart w:id="14" w:name="_Toc15396599"/>
    </w:p>
    <w:p>
      <w:pPr>
        <w:pStyle w:val="3"/>
        <w:jc w:val="center"/>
        <w:rPr>
          <w:rStyle w:val="25"/>
          <w:rFonts w:ascii="黑体" w:hAnsi="黑体" w:eastAsia="黑体"/>
          <w:b/>
          <w:bCs w:val="0"/>
        </w:rPr>
      </w:pPr>
      <w:bookmarkStart w:id="15" w:name="_Toc8942"/>
      <w:r>
        <w:rPr>
          <w:rFonts w:hint="eastAsia" w:ascii="黑体" w:hAnsi="黑体" w:eastAsia="黑体"/>
          <w:b w:val="0"/>
        </w:rPr>
        <w:t>第一部分 单位</w:t>
      </w:r>
      <w:r>
        <w:rPr>
          <w:rStyle w:val="25"/>
          <w:rFonts w:hint="eastAsia" w:ascii="黑体" w:hAnsi="黑体" w:eastAsia="黑体"/>
          <w:b w:val="0"/>
          <w:bCs w:val="0"/>
        </w:rPr>
        <w:t>概况</w:t>
      </w:r>
      <w:bookmarkEnd w:id="12"/>
      <w:bookmarkEnd w:id="13"/>
      <w:bookmarkEnd w:id="14"/>
      <w:bookmarkEnd w:id="15"/>
    </w:p>
    <w:p>
      <w:pPr>
        <w:widowControl/>
        <w:jc w:val="left"/>
        <w:rPr>
          <w:rFonts w:ascii="黑体" w:eastAsia="黑体"/>
          <w:sz w:val="32"/>
          <w:szCs w:val="32"/>
        </w:rPr>
      </w:pPr>
    </w:p>
    <w:p>
      <w:pPr>
        <w:pStyle w:val="4"/>
        <w:numPr>
          <w:ilvl w:val="0"/>
          <w:numId w:val="1"/>
        </w:numPr>
        <w:rPr>
          <w:rStyle w:val="26"/>
          <w:rFonts w:hint="eastAsia" w:ascii="黑体" w:hAnsi="黑体" w:eastAsia="黑体"/>
          <w:b w:val="0"/>
          <w:bCs w:val="0"/>
        </w:rPr>
      </w:pPr>
      <w:bookmarkStart w:id="16" w:name="_Toc31712"/>
      <w:bookmarkStart w:id="17" w:name="_Toc3642"/>
      <w:bookmarkStart w:id="18" w:name="_Toc15396600"/>
      <w:bookmarkStart w:id="19" w:name="_Toc15377197"/>
      <w:r>
        <w:rPr>
          <w:rStyle w:val="26"/>
          <w:rFonts w:hint="eastAsia" w:ascii="黑体" w:hAnsi="黑体" w:eastAsia="黑体"/>
          <w:b w:val="0"/>
          <w:bCs w:val="0"/>
        </w:rPr>
        <w:t>职能简介</w:t>
      </w:r>
      <w:bookmarkEnd w:id="16"/>
      <w:bookmarkEnd w:id="17"/>
    </w:p>
    <w:p>
      <w:pPr>
        <w:pStyle w:val="6"/>
        <w:adjustRightInd w:val="0"/>
        <w:snapToGrid w:val="0"/>
        <w:spacing w:before="93" w:line="600" w:lineRule="exact"/>
        <w:ind w:firstLine="672" w:firstLineChars="210"/>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1、负责交通运输领域综合行政执法工作。</w:t>
      </w:r>
    </w:p>
    <w:p>
      <w:pPr>
        <w:pStyle w:val="6"/>
        <w:adjustRightInd w:val="0"/>
        <w:snapToGrid w:val="0"/>
        <w:spacing w:before="93" w:line="600" w:lineRule="exact"/>
        <w:ind w:firstLine="672" w:firstLineChars="210"/>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2、负责职责范围内的安全生产和职业健康、生态环境保护、审批服务便民化等工作。</w:t>
      </w:r>
    </w:p>
    <w:p>
      <w:pPr>
        <w:pStyle w:val="6"/>
        <w:adjustRightInd w:val="0"/>
        <w:snapToGrid w:val="0"/>
        <w:spacing w:before="93" w:line="600" w:lineRule="exact"/>
        <w:ind w:firstLine="672" w:firstLineChars="210"/>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3、渔船检验监督管理和行业指导等职责。</w:t>
      </w:r>
    </w:p>
    <w:p>
      <w:pPr>
        <w:pStyle w:val="6"/>
        <w:adjustRightInd w:val="0"/>
        <w:snapToGrid w:val="0"/>
        <w:spacing w:before="93" w:line="600" w:lineRule="exact"/>
        <w:ind w:firstLine="672" w:firstLineChars="210"/>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4、承担水路运输及水上安全监督管理、船舶监督管理以及港口、航道建设、养护监督管理等职责。</w:t>
      </w:r>
    </w:p>
    <w:p>
      <w:pPr>
        <w:pStyle w:val="6"/>
        <w:adjustRightInd w:val="0"/>
        <w:snapToGrid w:val="0"/>
        <w:spacing w:before="93" w:line="600" w:lineRule="exact"/>
        <w:ind w:firstLine="672" w:firstLineChars="210"/>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5、承担道路运输行业监督管理及全县公路行政审批等职责。</w:t>
      </w:r>
    </w:p>
    <w:p>
      <w:pPr>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主要工作：</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办公室。</w:t>
      </w:r>
      <w:r>
        <w:rPr>
          <w:rFonts w:hint="eastAsia" w:ascii="Times New Roman" w:hAnsi="Times New Roman" w:eastAsia="仿宋_GB2312"/>
          <w:sz w:val="32"/>
          <w:szCs w:val="32"/>
          <w:lang w:val="en-US" w:eastAsia="zh-CN"/>
        </w:rPr>
        <w:t>负责文电、会务、档案、保密、网络安全等机关日常运转工作。负责局机关会计核算、财务管理、审计、劳动保障和后勤管理工作。负责局机关意识形态、新闻宣传、党务信息、政务信息、精神文明建设、史志年鉴、教育体育和卫生健康工作。负责局机关干部职工学习教育培训、干部人事管理和专业技术职称评审工作。负责局机关信访、平安建设、维护稳定工作。负责重要文稿起草工作。承担全局年度综合目标考核、督察督办和绩效管理工作。承担局党组履行党风廉政建设主体责任的具体事务性工作。组织办理人大代表建议、政协提案。</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规划建设股</w:t>
      </w:r>
      <w:r>
        <w:rPr>
          <w:rFonts w:hint="eastAsia" w:ascii="Times New Roman" w:hAnsi="Times New Roman" w:eastAsia="仿宋_GB2312"/>
          <w:sz w:val="32"/>
          <w:szCs w:val="32"/>
          <w:lang w:val="en-US" w:eastAsia="zh-CN"/>
        </w:rPr>
        <w:t>。贯彻执行国家有关交通运输工程项目建设质量、安全生产的法律、法规、规范及标准。参与组织编制综合运输体系规划，组织研究公路和水路运输行业、物流业的发展战略及发展政策、投融资政策。组织编制公路和水路运输、交通枢纽、站场、物流等行业的发展规划。承担交通项目审查工作并审核专用公路规划。编制交通建设年度实施计划，并监督实施。负责全县交通工程建设行业项目质量、安全生产、生态环境保护等监督管理工作。参与拟订全县农村公路建设管理办法及技术标准并组织实施。负责组织公路、水路项目建设。负责交通建设项目设计文件审查、施工许可审查、竣工验收。监督、指导交通建设项目的建设程序管理和招投标工作。负责组织实施“四好农村路”建设。负责公路、水路建设从业单位和从业人员的信用评价和资质管理。负责公路行业普查、预测工作。负责高速公路和铁路运输等事项的协调联系。负责交通行业综合性的统计上报工作。负责交通运输招商引资工作。承担交通建设攻坚协调服务工作。</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法规安全股。</w:t>
      </w:r>
      <w:r>
        <w:rPr>
          <w:rFonts w:hint="eastAsia" w:ascii="Times New Roman" w:hAnsi="Times New Roman" w:eastAsia="仿宋_GB2312"/>
          <w:sz w:val="32"/>
          <w:szCs w:val="32"/>
          <w:lang w:val="en-US" w:eastAsia="zh-CN"/>
        </w:rPr>
        <w:t>负责全县交通运输行业的安全监督管理、应急管理、反恐维稳和职业健康工作。督促贯彻落实公路、水路安全生产相关政策和制度。指导交通运输行业应急处置体系建设，组织实施安全管理目标责任考核、监督检查和宣传教育工作。依法组织或参与有关事故调查处理工作。牵头负责全县交通运输行业生态环境保护监督管理工作。承担本系统、本部门推进依法行政工作的组织协调和督促指导。承担行政执法监督、行政复议、行政应诉、行政调解和规范性文件审核备案工作。负责机关并指导交通运输行业法制宣传教育工作。组织实施并监督交通运输行政执法装备标准规范，督导交通运输文明执法工作。管理交通运输执法证件。牵头负责交通运输信用体系建设。推进“放管服”改革，承担审批服务便民化有关工作。承担县本级交通运输行业有关行政审批事项的受理、审批等工作。负责一体化政务服务平台建设工作，负责组织、协调、管理政务服务窗口交通运输相关业务工作。</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运输管理股。</w:t>
      </w:r>
      <w:r>
        <w:rPr>
          <w:rFonts w:hint="eastAsia" w:ascii="Times New Roman" w:hAnsi="Times New Roman" w:eastAsia="仿宋_GB2312"/>
          <w:sz w:val="32"/>
          <w:szCs w:val="32"/>
          <w:lang w:val="en-US" w:eastAsia="zh-CN"/>
        </w:rPr>
        <w:t>贯彻执行国家、省、市、县有关公路及水路运输管理法律、法规、规章及方针政策。参与拟订综合交通运输发展战略，承担综合交通运输体系建设有关协调工作。拟订公路、水路运输行业发展政策、发展规划、年度计划及有关标准规范并监督实施。协调重点运输、紧急客货运输和公路、水路联合运输，参与运输价格管理。协调联系铁路运输。依法承担职责范围内公路水路旅客运输、货物运输、站（场）营运、城市公共交通、出租汽车、机动车维修与综合性能检测、机动车驾驶员培训、汽车租赁等道路水路运输行业监督管理工作。负责道路、水路运输许可项目的实质审查工作。依法承担职责范围内道路、水路运输行业安全监督管理、船舶监督管理等工作。负责全县航道发展、水路运输发展、港航管理等规划编制和相关计划的组织实施。负责全县交通运输行业信息化建设、技术应用和节能减排工作。负责渔船检验监督管理和行业指导工作。负责道路、水路运输统计和运输企业资质核查工作。指导乡（镇）船舶安全管理站开展乡（镇）自用船舶登记检丈和自用船舶、船员管理等工作。负责河（湖）长制职责范围内工作。协调处理水资源综合利用中与航运相关的事宜。负责交通运输市场、运输企业及新型运输方式的培育和促进。组织实施交通运输科技信息交流和科技成果推广应用工作，负责交通运输行业12328 工作。承担交通战备具体事务性工作。</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公路水路管理股。</w:t>
      </w:r>
      <w:r>
        <w:rPr>
          <w:rFonts w:hint="eastAsia" w:ascii="Times New Roman" w:hAnsi="Times New Roman" w:eastAsia="仿宋_GB2312"/>
          <w:sz w:val="32"/>
          <w:szCs w:val="32"/>
          <w:lang w:val="en-US" w:eastAsia="zh-CN"/>
        </w:rPr>
        <w:t>贯彻执行国家有关公路水路管理的法律、法规、规章和方针政策、技术规范、标准。负责县乡公路的行政管理工作。负责超限运输许可和涉路施工许可项目的实质审查工作。负责水上水下活动许可项目的实质审查工作。负责县道养护管理工作，指导乡村公路养护管理工作。组织实施所属航道、港口、码头的养护管理工作。负责公路、水路养护工程管理。</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机关党总支。</w:t>
      </w:r>
      <w:r>
        <w:rPr>
          <w:rFonts w:hint="eastAsia" w:ascii="Times New Roman" w:hAnsi="Times New Roman" w:eastAsia="仿宋_GB2312"/>
          <w:sz w:val="32"/>
          <w:szCs w:val="32"/>
          <w:lang w:val="en-US" w:eastAsia="zh-CN"/>
        </w:rPr>
        <w:t>负责机关和所属事业单位的党群工作。</w:t>
      </w:r>
    </w:p>
    <w:p>
      <w:pPr>
        <w:pStyle w:val="4"/>
        <w:rPr>
          <w:rFonts w:ascii="黑体" w:hAnsi="黑体" w:eastAsia="黑体"/>
          <w:b w:val="0"/>
        </w:rPr>
      </w:pPr>
      <w:bookmarkStart w:id="20" w:name="_Toc15449"/>
      <w:bookmarkStart w:id="21" w:name="_Toc15003"/>
      <w:r>
        <w:rPr>
          <w:rFonts w:hint="eastAsia" w:ascii="黑体" w:hAnsi="黑体" w:eastAsia="黑体"/>
          <w:b w:val="0"/>
        </w:rPr>
        <w:t>二、2021年重点工作完成情况</w:t>
      </w:r>
      <w:bookmarkEnd w:id="20"/>
      <w:bookmarkEnd w:id="21"/>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交通建设有序推进。</w:t>
      </w:r>
      <w:r>
        <w:rPr>
          <w:rFonts w:hint="eastAsia" w:ascii="Times New Roman" w:hAnsi="Times New Roman" w:eastAsia="仿宋_GB2312"/>
          <w:sz w:val="32"/>
          <w:szCs w:val="32"/>
          <w:lang w:val="en-US" w:eastAsia="zh-CN"/>
        </w:rPr>
        <w:t>2021年，我县交通重点项目计划完成投资15亿元。1-10月，我局完成固定资产投资12.1亿元，占年度目标任务80.1%，年底将按计划完成目标任务。2021年G4216宁南至攀枝花高速公路盐边段全线加紧建设中，开工截至目前累计完成投资16.99亿元，其中2021年计划投资10亿元，到2021年10月底已完成投资9.63亿元，总体形象进度完成23.06%；交付红线用地2665亩，交付临时用地1665亩；G4216宁南至攀枝花高速公路盐边连接线段设计图纸变更已完成，目前变更方案已经省交通厅批复，攀宁公司已复函同意我县建设连接线变更部分，正在开展立项工作。省道218线盐边县新九至红格段改建工程（一期），项目全长7.85公里，总投资约10229.06万元，目前已完工。完成盐边客运站建设，总投资7247万元，项目建设内容包含综合大楼、站前广场及配套附属设施，占地30亩，已建成投运。启动</w:t>
      </w:r>
      <w:r>
        <w:rPr>
          <w:rFonts w:hint="eastAsia" w:ascii="Times New Roman" w:hAnsi="Times New Roman" w:eastAsia="仿宋_GB2312"/>
          <w:sz w:val="32"/>
          <w:szCs w:val="32"/>
          <w:lang w:val="zh-CN" w:eastAsia="zh-CN"/>
        </w:rPr>
        <w:t>桑云路渔门至株木湾桥段路面改建工程，项目</w:t>
      </w:r>
      <w:r>
        <w:rPr>
          <w:rFonts w:hint="eastAsia" w:ascii="Times New Roman" w:hAnsi="Times New Roman" w:eastAsia="仿宋_GB2312"/>
          <w:sz w:val="32"/>
          <w:szCs w:val="32"/>
          <w:lang w:val="en-US" w:eastAsia="zh-CN"/>
        </w:rPr>
        <w:t>全长5.79公里，总投资1489.95万元，目前已完工。盐择路桑园桥至红宝乡段道路改建工程顺利开工建设，项目全长33.584公里，总投资约3671.3万元。启动撤并建制村畅通（新建）工程，项目全长33公里，争取补助资金1650万元，预计年底主体完工。红坭林场欧方营地森林康养国际合作示范基地及菩萨岩种养殖通林下经济节点公路，全长27.3公里，投资12037.4万元，目前已完成目标任务的90%，计划年底竣工。启动手攀岩大桥及接线工程，总投资约2.6亿元，目前该项目正在有序推进。完成盐边县农村公路网规划编制和盐边县综合交通运输“十四五”发展规划等相关规划编制工作。</w:t>
      </w:r>
      <w:r>
        <w:rPr>
          <w:rFonts w:hint="eastAsia" w:ascii="Times New Roman" w:hAnsi="Times New Roman" w:eastAsia="仿宋_GB2312"/>
          <w:sz w:val="32"/>
          <w:szCs w:val="32"/>
          <w:lang w:val="zh-CN" w:eastAsia="zh-CN"/>
        </w:rPr>
        <w:t>争取年底内完成</w:t>
      </w:r>
      <w:r>
        <w:rPr>
          <w:rFonts w:hint="eastAsia" w:ascii="Times New Roman" w:hAnsi="Times New Roman" w:eastAsia="仿宋_GB2312"/>
          <w:sz w:val="32"/>
          <w:szCs w:val="32"/>
          <w:lang w:val="en-US" w:eastAsia="zh-CN"/>
        </w:rPr>
        <w:t>盐边县X001桐银路（桐子林大桥至东区界）美丽乡村路和盐边县格萨拉旅游示范路前期工作，为以上两个项目明年开工建设做好准备</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运输服务保障能力稳步提升。</w:t>
      </w:r>
      <w:r>
        <w:rPr>
          <w:rFonts w:hint="eastAsia" w:ascii="Times New Roman" w:hAnsi="Times New Roman" w:eastAsia="仿宋_GB2312"/>
          <w:sz w:val="32"/>
          <w:szCs w:val="32"/>
          <w:lang w:val="en-US" w:eastAsia="zh-CN"/>
        </w:rPr>
        <w:t>一是加强交通运输数字化管理。全方位、全过程监控车辆运行动态，把GPS定位系统的使用和开通纳入监管范围，充分发挥GPS的作用，在日常检查过程中加大对企业开展动态监控工作的力度，对无故不开通、故意遮挡摄影头、不使用GPS的追究相关责任人的责任。实现对辖区码头、船舶、水域全方位动态监管，实现日常安全监管、交通组织、应急处置、海事调查等综合功能，今年开工水上交通安全监测系统建设，整合盐边辖区重点水域视频、码头视频和船载视频系统，并完成与市级水上交通安全监控中心的数据对接，实现统一协调和信息共享，目前已正常投入使用。二是营造良好市场营运氛围。严格按照“安全第一、预防为主”的工作方针，认真履行“三把关一监督”的安全管理职责，运输市场安全形势平稳。年初制定方案，将安全监管职责纳入年度目标责任书，并认真组织实施，层层落实安全管理责任制。以驻站办公室为基点，检查客运站经营行为，重点督促客运站做好新冠病毒疫情防控工作、“三不进站，七不出站”和违禁三品管理工作，杜绝客运站不按规定售票、乱收费等违规行为的发生。强化流动稽查，对运输市场实施全面检查，对运输车辆进行路面监管。对不按核定班次运行、无证经营等违规行为进行处罚。通过加强对市场的监管和巡查力度，妥善处理了群众投诉和举报事件，实现了“以人为本、平安交通”的目标。三是严把疫情防控交通运输关卡。认真抓好客运站、码头、客运车辆、寄递物流等重点领域疫情防控工作，切实加强监督检查，使各项防控措施落到实处。认真开展客运站、客运车、公交车、出租车每日消毒工作，严格执行驾驶员、售票员、安检员等从业人员戴口罩上岗，乘客戴口罩测体温后乘车。积极做好应急运输车辆、船只保障工作，调集客运车20辆，大货车10辆，快艇10艘，装载机10台作为应急运输装备，全面提高行业应急处置能力。</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道路养护持续加强。</w:t>
      </w:r>
      <w:r>
        <w:rPr>
          <w:rFonts w:hint="eastAsia" w:ascii="Times New Roman" w:hAnsi="Times New Roman" w:eastAsia="仿宋_GB2312"/>
          <w:sz w:val="32"/>
          <w:szCs w:val="32"/>
          <w:lang w:val="en-US" w:eastAsia="zh-CN"/>
        </w:rPr>
        <w:t>一是加强管辖范围内道路日常养护常态化。汛前及时清理疏通堵塞的边沟、涵洞，共计清扫路面1250000平方米，疏通边沟约280公里，疏通涵洞22座。二是加大安全隐患整治。建立健全安全隐患台账，有序开展安全隐患治理工作。完成2020年水毁隐患点30处治理工作，2021年安装减速标志牌28块，安装减速带134米，汛前排查出的31处公路安全隐患，目前已整治28处，剩余3处正在治理。三是抓好中小修复工程。完成2021年国胜乡大石房社区白石岩至红宝乡上白石岩村道路项目治理工程，完成原柏观路（小石洼至观音岩段）和盐择路（红宝乡政府至迷塘段）增设错车道建设试验工程，完成原柏观路（小石洼至观音岩段）增设错车道建设试验工程（新增挡墙），完成二滩右干线病害路面修复工程，完成盐边县新九镇平红路新九高速出口至野猪沟路段及平新路湾板桥至新坝桥路段破损路面修补整治工程。</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平安交通建设不断深化。</w:t>
      </w:r>
      <w:r>
        <w:rPr>
          <w:rFonts w:hint="eastAsia" w:ascii="Times New Roman" w:hAnsi="Times New Roman" w:eastAsia="仿宋_GB2312"/>
          <w:sz w:val="32"/>
          <w:szCs w:val="32"/>
          <w:lang w:val="en-US" w:eastAsia="zh-CN"/>
        </w:rPr>
        <w:t>一是牢树安全理念，凝聚安全发展共识。为深入开展安全生产工作，我局与各下属单位层层签订安全生产责任书，召开安全生产工作例会，要求各客、货运输企业、客运站、危化品运输企业、水运企业及码头、机动车驾驶培训学校及二类以上维修企业积极开展安全教育培训，充分认识安全生产工作的重要性，同时向社会广泛宣传交通运输安全法律、法规，切实把安全生产工作引向了深入并取得了实效。二是继续抓好汛期安全值班值守应急抢险工作。年初制定防汛抢险应急预案，下发防汛抗旱及汛前隐患排查整治工作通知，层层落实责任。狠抓安全检查，强化隐患排查治理。主要领导带队督查检查18余次，分管领导30余次。加大行业工作检查和排查治理力度，有力推进了汛期安全生产工作的平稳。共计清除塌方11万余m3，防汛期间道路交通部门抢通保通公路断道202余处，坍方量2万余方，其余清坍9万余方。确保了全县管养公路安全畅通。三是强化道路、水路交通安全监管。强化对辖区客、货运企业和码头的督促指导，深入开展打击非法营运及超限等违法违规行为专项行动，我局今年累计开展超限检测2万余台次，查处超限运输车辆216台次，罚款190.2万元；查处非法营运车辆共7台，罚款3.5万元；已处理未封盖篷布车辆7台次，罚款1.05万元。上路巡查累计1500余人次，巡查里程5.1万余公里，查处占用公路堆放建筑材料、打场晒粮、堆放其他杂物等占用公路违法行为34起，共向当事人下达《违法行为通知书》34份，处理路产赔偿案件6起，累计收取路产补偿费用4.56万元。违反车辆技术管理档案件4件，罚款2万元。加强了对营运船舶的检测和例行保养，加强船员安全教育培训，开展“救生衣”行动，确保两个100%落实到位。今年，共开展安全检查280次。其中，巡航检查50航次，出动执法艇60艘次，执法人员750人次，检查船舶1520余艘次。检查码头、渡口250座次，共查出隐患15余起，整改完毕10起，发布预警信息5000余条。四是积极开展道路交通安全隐患整治行动。对2021年排查出的48处省、县、乡、村道公路安全隐患，目前已整治了40处；对5处地质灾害点我局已组织专业设计队伍进行了现场勘探，目前正在对两处隐患点制定方案对其余三处隐患点安全风险已消除待走程序消耗处理。加大道路养护力度，加强盐择路、盐红路、桑云路、S216、柏观路的汛前、汛期管养力度，共计清扫路面200余万平方米，疏通边沟约210余公里。</w:t>
      </w:r>
    </w:p>
    <w:p>
      <w:pPr>
        <w:numPr>
          <w:ilvl w:val="0"/>
          <w:numId w:val="0"/>
        </w:num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党的建设不断加强。</w:t>
      </w:r>
      <w:r>
        <w:rPr>
          <w:rFonts w:hint="eastAsia" w:ascii="Times New Roman" w:hAnsi="Times New Roman" w:eastAsia="仿宋_GB2312"/>
          <w:sz w:val="32"/>
          <w:szCs w:val="32"/>
          <w:lang w:val="en-US" w:eastAsia="zh-CN"/>
        </w:rPr>
        <w:t>一是党建责任落实到位。制发党建工作“三张清单”和党建工作要点，把党建工作与业务工作同计划、同布置、同落实、同检查、同考核，压实主体责任、第一责任和一岗双责，全面推动党的建设落地落实。坚持履行好意识形态工作第一责任人职责，旗帜鲜明地站在意识形态工作第一线，牢牢掌握意识形态工作的领导权、管理权和话语权。梳理排查“政绩观、文件、会议、督查检查考核、调查研究、干部担当作为”方面形式主义、官僚主义突出问题，制定切实有效改进措施，以上率下，一级带一级，层层做示范，为干事者担当，为担当者担当。二是不断加强政治思想和党风廉政建设。通过党组、局党组中心组学习、局务会、工作例会等形式，深入学习贯彻习近平新时代中国特色社会主义思想、习近平总书记对四川工作系列重要指示精神，结合党史学习教育，深入推进“钒钛首县、滋味盐边”建设，树牢“四个意识”、坚定“四个自信”，做到“两个维护”，在政治上、思想上、行动上始终与</w:t>
      </w:r>
      <w:r>
        <w:rPr>
          <w:rFonts w:hint="eastAsia" w:eastAsia="仿宋_GB2312"/>
          <w:sz w:val="32"/>
          <w:szCs w:val="32"/>
          <w:lang w:val="en-US" w:eastAsia="zh-CN"/>
        </w:rPr>
        <w:t>以习近平同志为核心的党中央</w:t>
      </w:r>
      <w:r>
        <w:rPr>
          <w:rFonts w:hint="eastAsia" w:ascii="Times New Roman" w:hAnsi="Times New Roman" w:eastAsia="仿宋_GB2312"/>
          <w:sz w:val="32"/>
          <w:szCs w:val="32"/>
          <w:lang w:val="en-US" w:eastAsia="zh-CN"/>
        </w:rPr>
        <w:t>保持高度一致。严格落实从严治党主体责任和“一岗双责”。三是不断加强干部队伍建设。结合机构改革，正在积极推进局机关干部与局属单位优秀年轻干部的选拔任用工作。局主要领导和局班子成员同干部谈心谈话20余人次，鼓励交通干部干事创业，弘扬交通人能吃苦的交通精神。四是基层组织建设有力。紧紧围绕中心、服务大局，把党建工作与中心工作“双挂钩”，切实把“两张皮”变成“一股绳”，抓实三项基层党建重点工作，以党建工作促进行业发展。</w:t>
      </w:r>
    </w:p>
    <w:p>
      <w:pPr>
        <w:numPr>
          <w:ilvl w:val="0"/>
          <w:numId w:val="0"/>
        </w:numPr>
      </w:pPr>
    </w:p>
    <w:bookmarkEnd w:id="18"/>
    <w:bookmarkEnd w:id="19"/>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2" w:name="_Toc22307"/>
      <w:bookmarkStart w:id="23" w:name="_Toc15377204"/>
      <w:bookmarkStart w:id="24" w:name="_Toc15396602"/>
      <w:bookmarkStart w:id="25" w:name="_Toc12149"/>
      <w:r>
        <w:rPr>
          <w:rFonts w:hint="eastAsia" w:ascii="黑体" w:hAnsi="黑体" w:eastAsia="黑体"/>
          <w:b w:val="0"/>
        </w:rPr>
        <w:t>第二部分 2021年度</w:t>
      </w:r>
      <w:r>
        <w:rPr>
          <w:rStyle w:val="25"/>
          <w:rFonts w:hint="eastAsia" w:ascii="黑体" w:hAnsi="黑体" w:eastAsia="黑体"/>
          <w:b w:val="0"/>
          <w:bCs/>
        </w:rPr>
        <w:t>单位决算情况说明</w:t>
      </w:r>
      <w:bookmarkEnd w:id="22"/>
      <w:bookmarkEnd w:id="23"/>
      <w:bookmarkEnd w:id="24"/>
      <w:bookmarkEnd w:id="25"/>
    </w:p>
    <w:p/>
    <w:p>
      <w:pPr>
        <w:pStyle w:val="24"/>
        <w:numPr>
          <w:ilvl w:val="0"/>
          <w:numId w:val="2"/>
        </w:numPr>
        <w:spacing w:line="600" w:lineRule="exact"/>
        <w:ind w:firstLineChars="0"/>
        <w:outlineLvl w:val="1"/>
        <w:rPr>
          <w:rStyle w:val="26"/>
          <w:rFonts w:ascii="黑体" w:hAnsi="黑体" w:eastAsia="黑体"/>
          <w:b w:val="0"/>
        </w:rPr>
      </w:pPr>
      <w:bookmarkStart w:id="26" w:name="_Toc30851"/>
      <w:bookmarkStart w:id="27" w:name="_Toc15396603"/>
      <w:bookmarkStart w:id="28" w:name="_Toc15377205"/>
      <w:bookmarkStart w:id="29" w:name="_Toc15410"/>
      <w:r>
        <w:rPr>
          <w:rFonts w:hint="eastAsia" w:ascii="黑体" w:hAnsi="黑体" w:eastAsia="黑体"/>
          <w:sz w:val="32"/>
          <w:szCs w:val="32"/>
        </w:rPr>
        <w:t>收</w:t>
      </w:r>
      <w:r>
        <w:rPr>
          <w:rStyle w:val="26"/>
          <w:rFonts w:hint="eastAsia" w:ascii="黑体" w:hAnsi="黑体" w:eastAsia="黑体"/>
          <w:b w:val="0"/>
        </w:rPr>
        <w:t>入支出决算总体情况说明</w:t>
      </w:r>
      <w:bookmarkEnd w:id="26"/>
      <w:bookmarkEnd w:id="27"/>
      <w:bookmarkEnd w:id="28"/>
      <w:bookmarkEnd w:id="29"/>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17209.29</w:t>
      </w:r>
      <w:r>
        <w:rPr>
          <w:rFonts w:hint="eastAsia" w:ascii="仿宋" w:hAnsi="仿宋" w:eastAsia="仿宋"/>
          <w:sz w:val="32"/>
          <w:szCs w:val="32"/>
        </w:rPr>
        <w:t>万元。与2020年相比，收、支总计各</w:t>
      </w:r>
      <w:r>
        <w:rPr>
          <w:rFonts w:hint="eastAsia" w:ascii="仿宋" w:hAnsi="仿宋" w:eastAsia="仿宋"/>
          <w:sz w:val="32"/>
          <w:szCs w:val="32"/>
          <w:lang w:eastAsia="zh-CN"/>
        </w:rPr>
        <w:t>减少</w:t>
      </w:r>
      <w:r>
        <w:rPr>
          <w:rFonts w:hint="eastAsia" w:ascii="仿宋" w:hAnsi="仿宋" w:eastAsia="仿宋"/>
          <w:sz w:val="32"/>
          <w:szCs w:val="32"/>
          <w:lang w:val="en-US" w:eastAsia="zh-CN"/>
        </w:rPr>
        <w:t>6.38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0.04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正常变动</w:t>
      </w:r>
      <w:r>
        <w:rPr>
          <w:rFonts w:hint="eastAsia" w:ascii="仿宋" w:hAnsi="仿宋" w:eastAsia="仿宋"/>
          <w:sz w:val="32"/>
          <w:szCs w:val="32"/>
          <w:lang w:val="en-US" w:eastAsia="zh-CN"/>
        </w:rPr>
        <w:t>。</w:t>
      </w:r>
    </w:p>
    <w:p>
      <w:pPr>
        <w:pStyle w:val="2"/>
        <w:rPr>
          <w:rFonts w:hint="eastAsia"/>
          <w:lang w:val="en-US" w:eastAsia="zh-CN"/>
        </w:rPr>
      </w:pPr>
      <w:r>
        <w:rPr>
          <w:color w:val="auto"/>
        </w:rPr>
        <w:drawing>
          <wp:anchor distT="0" distB="0" distL="0" distR="0" simplePos="0" relativeHeight="251659264" behindDoc="0" locked="0" layoutInCell="1" allowOverlap="1">
            <wp:simplePos x="0" y="0"/>
            <wp:positionH relativeFrom="column">
              <wp:posOffset>52070</wp:posOffset>
            </wp:positionH>
            <wp:positionV relativeFrom="paragraph">
              <wp:posOffset>316230</wp:posOffset>
            </wp:positionV>
            <wp:extent cx="5674995" cy="2565400"/>
            <wp:effectExtent l="4445" t="4445" r="16510" b="2095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30" w:name="_Toc23452"/>
      <w:bookmarkStart w:id="31" w:name="_Toc15396604"/>
      <w:bookmarkStart w:id="32" w:name="_Toc15377206"/>
      <w:bookmarkStart w:id="33" w:name="_Toc6351"/>
      <w:r>
        <w:rPr>
          <w:rFonts w:hint="eastAsia" w:ascii="黑体" w:hAnsi="黑体" w:eastAsia="黑体"/>
          <w:sz w:val="32"/>
          <w:szCs w:val="32"/>
        </w:rPr>
        <w:t>收</w:t>
      </w:r>
      <w:r>
        <w:rPr>
          <w:rStyle w:val="26"/>
          <w:rFonts w:hint="eastAsia" w:ascii="黑体" w:hAnsi="黑体" w:eastAsia="黑体"/>
          <w:b w:val="0"/>
        </w:rPr>
        <w:t>入决算情况说明</w:t>
      </w:r>
      <w:bookmarkEnd w:id="30"/>
      <w:bookmarkEnd w:id="31"/>
      <w:bookmarkEnd w:id="32"/>
      <w:bookmarkEnd w:id="33"/>
    </w:p>
    <w:p>
      <w:pPr>
        <w:spacing w:line="600" w:lineRule="exact"/>
        <w:ind w:firstLine="640" w:firstLineChars="200"/>
        <w:outlineLvl w:val="1"/>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17209.29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11249.5</w:t>
      </w:r>
      <w:r>
        <w:rPr>
          <w:rFonts w:hint="eastAsia" w:ascii="仿宋" w:hAnsi="仿宋" w:eastAsia="仿宋"/>
          <w:sz w:val="32"/>
          <w:szCs w:val="32"/>
        </w:rPr>
        <w:t>万元，占</w:t>
      </w:r>
      <w:r>
        <w:rPr>
          <w:rFonts w:hint="eastAsia" w:ascii="仿宋" w:hAnsi="仿宋" w:eastAsia="仿宋"/>
          <w:sz w:val="32"/>
          <w:szCs w:val="32"/>
          <w:lang w:val="en-US" w:eastAsia="zh-CN"/>
        </w:rPr>
        <w:t>65.37</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2730</w:t>
      </w:r>
      <w:r>
        <w:rPr>
          <w:rFonts w:hint="eastAsia" w:ascii="仿宋" w:hAnsi="仿宋" w:eastAsia="仿宋"/>
          <w:sz w:val="32"/>
          <w:szCs w:val="32"/>
        </w:rPr>
        <w:t>万元，占</w:t>
      </w:r>
      <w:r>
        <w:rPr>
          <w:rFonts w:hint="eastAsia" w:ascii="仿宋" w:hAnsi="仿宋" w:eastAsia="仿宋"/>
          <w:sz w:val="32"/>
          <w:szCs w:val="32"/>
          <w:lang w:val="en-US" w:eastAsia="zh-CN"/>
        </w:rPr>
        <w:t>15.86</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310</w:t>
      </w:r>
      <w:r>
        <w:rPr>
          <w:rFonts w:hint="eastAsia" w:ascii="仿宋" w:hAnsi="仿宋" w:eastAsia="仿宋"/>
          <w:sz w:val="32"/>
          <w:szCs w:val="32"/>
        </w:rPr>
        <w:t>万元，占</w:t>
      </w:r>
      <w:r>
        <w:rPr>
          <w:rFonts w:hint="eastAsia" w:ascii="仿宋" w:hAnsi="仿宋" w:eastAsia="仿宋"/>
          <w:sz w:val="32"/>
          <w:szCs w:val="32"/>
          <w:lang w:val="en-US" w:eastAsia="zh-CN"/>
        </w:rPr>
        <w:t>1.80</w:t>
      </w:r>
      <w:r>
        <w:rPr>
          <w:rFonts w:ascii="仿宋" w:hAnsi="仿宋" w:eastAsia="仿宋"/>
          <w:sz w:val="32"/>
          <w:szCs w:val="32"/>
        </w:rPr>
        <w:t>%</w:t>
      </w:r>
      <w:r>
        <w:rPr>
          <w:rFonts w:hint="eastAsia" w:ascii="仿宋" w:hAnsi="仿宋" w:eastAsia="仿宋"/>
          <w:sz w:val="32"/>
          <w:szCs w:val="32"/>
          <w:lang w:eastAsia="zh-CN"/>
        </w:rPr>
        <w:t>，年初结转和结余</w:t>
      </w:r>
      <w:r>
        <w:rPr>
          <w:rFonts w:hint="eastAsia" w:ascii="仿宋" w:hAnsi="仿宋" w:eastAsia="仿宋"/>
          <w:sz w:val="32"/>
          <w:szCs w:val="32"/>
          <w:lang w:val="en-US" w:eastAsia="zh-CN"/>
        </w:rPr>
        <w:t>2919.79万元，占16.97%。</w:t>
      </w:r>
    </w:p>
    <w:p>
      <w:pPr>
        <w:pStyle w:val="2"/>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567055</wp:posOffset>
            </wp:positionH>
            <wp:positionV relativeFrom="paragraph">
              <wp:posOffset>349250</wp:posOffset>
            </wp:positionV>
            <wp:extent cx="4785360" cy="2660650"/>
            <wp:effectExtent l="4445" t="4445" r="10795" b="2095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34" w:name="_Toc27756"/>
      <w:bookmarkStart w:id="35" w:name="_Toc18258"/>
      <w:bookmarkStart w:id="36" w:name="_Toc15396605"/>
      <w:bookmarkStart w:id="37" w:name="_Toc15377207"/>
      <w:r>
        <w:rPr>
          <w:rFonts w:hint="eastAsia" w:ascii="黑体" w:hAnsi="黑体" w:eastAsia="黑体"/>
          <w:sz w:val="32"/>
          <w:szCs w:val="32"/>
        </w:rPr>
        <w:t>支</w:t>
      </w:r>
      <w:r>
        <w:rPr>
          <w:rStyle w:val="26"/>
          <w:rFonts w:hint="eastAsia" w:ascii="黑体" w:hAnsi="黑体" w:eastAsia="黑体"/>
          <w:b w:val="0"/>
        </w:rPr>
        <w:t>出决算情况说明</w:t>
      </w:r>
      <w:bookmarkEnd w:id="34"/>
      <w:bookmarkEnd w:id="35"/>
      <w:bookmarkEnd w:id="36"/>
      <w:bookmarkEnd w:id="37"/>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17209.29</w:t>
      </w:r>
      <w:r>
        <w:rPr>
          <w:rFonts w:hint="eastAsia" w:ascii="仿宋" w:hAnsi="仿宋" w:eastAsia="仿宋"/>
          <w:sz w:val="32"/>
          <w:szCs w:val="32"/>
        </w:rPr>
        <w:t>万元，其中：基本支出</w:t>
      </w:r>
      <w:r>
        <w:rPr>
          <w:rFonts w:hint="eastAsia" w:ascii="仿宋" w:hAnsi="仿宋" w:eastAsia="仿宋"/>
          <w:sz w:val="32"/>
          <w:szCs w:val="32"/>
          <w:lang w:val="en-US" w:eastAsia="zh-CN"/>
        </w:rPr>
        <w:t>481.28</w:t>
      </w:r>
      <w:r>
        <w:rPr>
          <w:rFonts w:hint="eastAsia" w:ascii="仿宋" w:hAnsi="仿宋" w:eastAsia="仿宋"/>
          <w:sz w:val="32"/>
          <w:szCs w:val="32"/>
        </w:rPr>
        <w:t>万元，占</w:t>
      </w:r>
      <w:r>
        <w:rPr>
          <w:rFonts w:hint="eastAsia" w:ascii="仿宋" w:hAnsi="仿宋" w:eastAsia="仿宋"/>
          <w:sz w:val="32"/>
          <w:szCs w:val="32"/>
          <w:lang w:val="en-US" w:eastAsia="zh-CN"/>
        </w:rPr>
        <w:t>2.80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16728.01</w:t>
      </w:r>
      <w:r>
        <w:rPr>
          <w:rFonts w:hint="eastAsia" w:ascii="仿宋" w:hAnsi="仿宋" w:eastAsia="仿宋"/>
          <w:sz w:val="32"/>
          <w:szCs w:val="32"/>
        </w:rPr>
        <w:t>万元，占</w:t>
      </w:r>
      <w:r>
        <w:rPr>
          <w:rFonts w:hint="eastAsia" w:ascii="仿宋" w:hAnsi="仿宋" w:eastAsia="仿宋"/>
          <w:sz w:val="32"/>
          <w:szCs w:val="32"/>
          <w:lang w:val="en-US" w:eastAsia="zh-CN"/>
        </w:rPr>
        <w:t>97.2</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648970</wp:posOffset>
            </wp:positionH>
            <wp:positionV relativeFrom="paragraph">
              <wp:posOffset>77470</wp:posOffset>
            </wp:positionV>
            <wp:extent cx="4366260" cy="2414905"/>
            <wp:effectExtent l="4445" t="4445" r="10795" b="1905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38" w:name="_Toc15396606"/>
      <w:bookmarkStart w:id="39" w:name="_Toc15377208"/>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332740</wp:posOffset>
            </wp:positionH>
            <wp:positionV relativeFrom="paragraph">
              <wp:posOffset>1660525</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8"/>
      <w:bookmarkEnd w:id="39"/>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17209.29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20年相比，财政拨款收、支总计各减少</w:t>
      </w:r>
      <w:r>
        <w:rPr>
          <w:rFonts w:hint="eastAsia" w:ascii="仿宋" w:hAnsi="仿宋" w:eastAsia="仿宋"/>
          <w:sz w:val="32"/>
          <w:szCs w:val="32"/>
          <w:lang w:val="en-US" w:eastAsia="zh-CN"/>
        </w:rPr>
        <w:t>6.38</w:t>
      </w:r>
      <w:r>
        <w:rPr>
          <w:rFonts w:hint="eastAsia" w:ascii="仿宋" w:hAnsi="仿宋" w:eastAsia="仿宋"/>
          <w:sz w:val="32"/>
          <w:szCs w:val="32"/>
        </w:rPr>
        <w:t>万元，下降</w:t>
      </w:r>
      <w:r>
        <w:rPr>
          <w:rFonts w:hint="eastAsia" w:ascii="仿宋" w:hAnsi="仿宋" w:eastAsia="仿宋"/>
          <w:sz w:val="32"/>
          <w:szCs w:val="32"/>
          <w:lang w:val="en-US" w:eastAsia="zh-CN"/>
        </w:rPr>
        <w:t>0.04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正常变动。</w:t>
      </w:r>
    </w:p>
    <w:p>
      <w:pPr>
        <w:spacing w:line="600" w:lineRule="exact"/>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40" w:name="_Toc15396607"/>
      <w:bookmarkStart w:id="41" w:name="_Toc17698"/>
      <w:bookmarkStart w:id="42" w:name="_Toc8039"/>
      <w:bookmarkStart w:id="4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0"/>
      <w:bookmarkEnd w:id="41"/>
      <w:bookmarkEnd w:id="42"/>
      <w:bookmarkEnd w:id="43"/>
    </w:p>
    <w:p>
      <w:pPr>
        <w:spacing w:line="600" w:lineRule="exact"/>
        <w:ind w:firstLine="643" w:firstLineChars="200"/>
        <w:outlineLvl w:val="2"/>
        <w:rPr>
          <w:rFonts w:ascii="仿宋" w:hAnsi="仿宋" w:eastAsia="仿宋"/>
          <w:b/>
          <w:sz w:val="32"/>
          <w:szCs w:val="32"/>
        </w:rPr>
      </w:pPr>
      <w:bookmarkStart w:id="44" w:name="_Toc15377210"/>
      <w:r>
        <w:rPr>
          <w:rFonts w:hint="eastAsia" w:ascii="仿宋" w:hAnsi="仿宋" w:eastAsia="仿宋"/>
          <w:b/>
          <w:sz w:val="32"/>
          <w:szCs w:val="32"/>
        </w:rPr>
        <w:t>（一）一般公共预算财政拨款支出决算总体情况</w:t>
      </w:r>
      <w:bookmarkEnd w:id="44"/>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14169.29</w:t>
      </w:r>
      <w:r>
        <w:rPr>
          <w:rFonts w:hint="eastAsia" w:ascii="仿宋" w:hAnsi="仿宋" w:eastAsia="仿宋"/>
          <w:sz w:val="32"/>
          <w:szCs w:val="32"/>
        </w:rPr>
        <w:t>万元，占本年支出合计的</w:t>
      </w:r>
      <w:r>
        <w:rPr>
          <w:rFonts w:hint="eastAsia" w:ascii="仿宋" w:hAnsi="仿宋" w:eastAsia="仿宋"/>
          <w:sz w:val="32"/>
          <w:szCs w:val="32"/>
          <w:lang w:val="en-US" w:eastAsia="zh-CN"/>
        </w:rPr>
        <w:t>82.34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1299.37</w:t>
      </w:r>
      <w:r>
        <w:rPr>
          <w:rFonts w:hint="eastAsia" w:ascii="仿宋" w:hAnsi="仿宋" w:eastAsia="仿宋"/>
          <w:sz w:val="32"/>
          <w:szCs w:val="32"/>
        </w:rPr>
        <w:t>万元，增长</w:t>
      </w:r>
      <w:r>
        <w:rPr>
          <w:rFonts w:hint="eastAsia" w:ascii="仿宋" w:hAnsi="仿宋" w:eastAsia="仿宋"/>
          <w:sz w:val="32"/>
          <w:szCs w:val="32"/>
          <w:lang w:val="en-US" w:eastAsia="zh-CN"/>
        </w:rPr>
        <w:t>10.1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盐边县交通运输综合行政执法大队于</w:t>
      </w:r>
      <w:r>
        <w:rPr>
          <w:rFonts w:hint="eastAsia" w:ascii="仿宋" w:hAnsi="仿宋" w:eastAsia="仿宋"/>
          <w:sz w:val="32"/>
          <w:szCs w:val="32"/>
          <w:lang w:val="en-US" w:eastAsia="zh-CN"/>
        </w:rPr>
        <w:t>2021年1月合并至盐边县交通运输局。</w:t>
      </w:r>
    </w:p>
    <w:p>
      <w:pPr>
        <w:pStyle w:val="2"/>
        <w:rPr>
          <w:rFonts w:hint="eastAsia"/>
          <w:lang w:val="en-US" w:eastAsia="zh-CN"/>
        </w:rPr>
      </w:pPr>
      <w:r>
        <w:rPr>
          <w:rFonts w:hint="eastAsia"/>
          <w:lang w:val="en-US"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5" w:name="_Toc15377211"/>
      <w:r>
        <w:rPr>
          <w:rFonts w:hint="eastAsia" w:ascii="仿宋" w:hAnsi="仿宋" w:eastAsia="仿宋"/>
          <w:b/>
          <w:sz w:val="32"/>
          <w:szCs w:val="32"/>
        </w:rPr>
        <w:t>（二）一般公共预算财政拨款支出决算结构情况</w:t>
      </w:r>
      <w:bookmarkEnd w:id="45"/>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14169.29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cs="Times New Roman"/>
          <w:b/>
          <w:sz w:val="32"/>
          <w:szCs w:val="32"/>
          <w:lang w:eastAsia="zh-CN"/>
        </w:rPr>
        <w:t>一般公共服务</w:t>
      </w:r>
      <w:r>
        <w:rPr>
          <w:rFonts w:hint="eastAsia" w:ascii="仿宋" w:hAnsi="仿宋" w:eastAsia="仿宋" w:cs="Times New Roman"/>
          <w:b/>
          <w:sz w:val="32"/>
          <w:szCs w:val="32"/>
        </w:rPr>
        <w:t>（</w:t>
      </w:r>
      <w:r>
        <w:rPr>
          <w:rFonts w:hint="eastAsia" w:ascii="仿宋" w:hAnsi="仿宋" w:eastAsia="仿宋"/>
          <w:b/>
          <w:sz w:val="32"/>
          <w:szCs w:val="32"/>
        </w:rPr>
        <w:t>类）</w:t>
      </w:r>
      <w:r>
        <w:rPr>
          <w:rFonts w:hint="eastAsia" w:ascii="Times New Roman" w:hAnsi="Times New Roman" w:eastAsia="仿宋_GB2312"/>
          <w:sz w:val="32"/>
          <w:szCs w:val="32"/>
          <w:lang w:val="en-US" w:eastAsia="zh-CN"/>
        </w:rPr>
        <w:t>支出2万元，占0.01%；</w:t>
      </w:r>
      <w:r>
        <w:rPr>
          <w:rFonts w:hint="eastAsia" w:ascii="仿宋" w:hAnsi="仿宋" w:eastAsia="仿宋" w:cs="Times New Roman"/>
          <w:b/>
          <w:sz w:val="32"/>
          <w:szCs w:val="32"/>
          <w:lang w:val="en-US" w:eastAsia="zh-CN"/>
        </w:rPr>
        <w:t>城乡社区支出</w:t>
      </w:r>
      <w:r>
        <w:rPr>
          <w:rFonts w:hint="eastAsia" w:ascii="仿宋" w:hAnsi="仿宋" w:eastAsia="仿宋" w:cs="Times New Roman"/>
          <w:b/>
          <w:sz w:val="32"/>
          <w:szCs w:val="32"/>
        </w:rPr>
        <w:t>（</w:t>
      </w:r>
      <w:r>
        <w:rPr>
          <w:rFonts w:hint="eastAsia" w:ascii="仿宋" w:hAnsi="仿宋" w:eastAsia="仿宋"/>
          <w:b/>
          <w:sz w:val="32"/>
          <w:szCs w:val="32"/>
        </w:rPr>
        <w:t>类）</w:t>
      </w:r>
      <w:r>
        <w:rPr>
          <w:rFonts w:hint="eastAsia" w:ascii="Times New Roman" w:hAnsi="Times New Roman" w:eastAsia="仿宋_GB2312"/>
          <w:sz w:val="32"/>
          <w:szCs w:val="32"/>
          <w:lang w:val="en-US" w:eastAsia="zh-CN"/>
        </w:rPr>
        <w:t>支出5万元，占0.03%；</w:t>
      </w:r>
      <w:r>
        <w:rPr>
          <w:rFonts w:hint="eastAsia" w:ascii="仿宋" w:hAnsi="仿宋" w:eastAsia="仿宋"/>
          <w:b/>
          <w:sz w:val="32"/>
          <w:szCs w:val="32"/>
        </w:rPr>
        <w:t>社会保障和就业（类）</w:t>
      </w:r>
      <w:r>
        <w:rPr>
          <w:rFonts w:hint="eastAsia" w:ascii="Times New Roman" w:hAnsi="Times New Roman" w:eastAsia="仿宋_GB2312"/>
          <w:sz w:val="32"/>
          <w:szCs w:val="32"/>
          <w:lang w:val="en-US" w:eastAsia="zh-CN"/>
        </w:rPr>
        <w:t>支出94.28万元，占0.67%</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22.14</w:t>
      </w:r>
      <w:r>
        <w:rPr>
          <w:rFonts w:hint="eastAsia" w:ascii="Times New Roman" w:hAnsi="Times New Roman" w:eastAsia="仿宋_GB2312"/>
          <w:sz w:val="32"/>
          <w:szCs w:val="32"/>
          <w:lang w:val="en-US" w:eastAsia="zh-CN"/>
        </w:rPr>
        <w:t>万元，占0.16%</w:t>
      </w:r>
      <w:r>
        <w:rPr>
          <w:rFonts w:hint="eastAsia" w:ascii="仿宋" w:hAnsi="仿宋" w:eastAsia="仿宋"/>
          <w:sz w:val="32"/>
          <w:szCs w:val="32"/>
        </w:rPr>
        <w:t>；</w:t>
      </w:r>
      <w:r>
        <w:rPr>
          <w:rFonts w:hint="eastAsia" w:ascii="仿宋" w:hAnsi="仿宋" w:eastAsia="仿宋"/>
          <w:b/>
          <w:bCs/>
          <w:sz w:val="32"/>
          <w:szCs w:val="32"/>
          <w:lang w:val="en-US" w:eastAsia="zh-CN"/>
        </w:rPr>
        <w:t xml:space="preserve"> 农林水</w:t>
      </w:r>
      <w:r>
        <w:rPr>
          <w:rFonts w:hint="eastAsia" w:ascii="仿宋" w:hAnsi="仿宋" w:eastAsia="仿宋"/>
          <w:b/>
          <w:bCs/>
          <w:sz w:val="32"/>
          <w:szCs w:val="32"/>
        </w:rPr>
        <w:t>支出</w:t>
      </w:r>
      <w:r>
        <w:rPr>
          <w:rFonts w:hint="eastAsia" w:ascii="仿宋" w:hAnsi="仿宋" w:eastAsia="仿宋"/>
          <w:b/>
          <w:bCs/>
          <w:sz w:val="32"/>
          <w:szCs w:val="32"/>
          <w:lang w:val="en-US" w:eastAsia="zh-CN"/>
        </w:rPr>
        <w:t>3088.92</w:t>
      </w:r>
      <w:r>
        <w:rPr>
          <w:rFonts w:hint="eastAsia" w:ascii="Times New Roman" w:hAnsi="Times New Roman" w:eastAsia="仿宋_GB2312"/>
          <w:sz w:val="32"/>
          <w:szCs w:val="32"/>
          <w:lang w:val="en-US" w:eastAsia="zh-CN"/>
        </w:rPr>
        <w:t>万元，占21.8%</w:t>
      </w:r>
      <w:r>
        <w:rPr>
          <w:rFonts w:hint="eastAsia" w:ascii="仿宋" w:hAnsi="仿宋" w:eastAsia="仿宋"/>
          <w:sz w:val="32"/>
          <w:szCs w:val="32"/>
        </w:rPr>
        <w:t>；</w:t>
      </w:r>
      <w:r>
        <w:rPr>
          <w:rFonts w:hint="eastAsia" w:ascii="仿宋" w:hAnsi="仿宋" w:eastAsia="仿宋"/>
          <w:b/>
          <w:bCs/>
          <w:sz w:val="32"/>
          <w:szCs w:val="32"/>
          <w:lang w:eastAsia="zh-CN"/>
        </w:rPr>
        <w:t>交通运输</w:t>
      </w:r>
      <w:r>
        <w:rPr>
          <w:rFonts w:hint="eastAsia" w:ascii="仿宋" w:hAnsi="仿宋" w:eastAsia="仿宋"/>
          <w:b/>
          <w:bCs/>
          <w:sz w:val="32"/>
          <w:szCs w:val="32"/>
        </w:rPr>
        <w:t>支出</w:t>
      </w:r>
      <w:r>
        <w:rPr>
          <w:rFonts w:hint="eastAsia" w:ascii="仿宋" w:hAnsi="仿宋" w:eastAsia="仿宋"/>
          <w:b/>
          <w:bCs/>
          <w:sz w:val="32"/>
          <w:szCs w:val="32"/>
          <w:lang w:val="en-US" w:eastAsia="zh-CN"/>
        </w:rPr>
        <w:t>10875.18</w:t>
      </w:r>
      <w:r>
        <w:rPr>
          <w:rFonts w:hint="eastAsia" w:ascii="Times New Roman" w:hAnsi="Times New Roman" w:eastAsia="仿宋_GB2312"/>
          <w:sz w:val="32"/>
          <w:szCs w:val="32"/>
          <w:lang w:val="en-US" w:eastAsia="zh-CN"/>
        </w:rPr>
        <w:t>万元，占76.75%</w:t>
      </w:r>
      <w:r>
        <w:rPr>
          <w:rFonts w:hint="eastAsia" w:ascii="仿宋" w:hAnsi="仿宋" w:eastAsia="仿宋"/>
          <w:sz w:val="32"/>
          <w:szCs w:val="32"/>
        </w:rPr>
        <w:t>；</w:t>
      </w:r>
      <w:r>
        <w:rPr>
          <w:rFonts w:hint="eastAsia" w:ascii="仿宋" w:hAnsi="仿宋" w:eastAsia="仿宋"/>
          <w:b/>
          <w:bCs/>
          <w:sz w:val="32"/>
          <w:szCs w:val="32"/>
          <w:lang w:eastAsia="zh-CN"/>
        </w:rPr>
        <w:t>住房保障支出</w:t>
      </w:r>
      <w:r>
        <w:rPr>
          <w:rFonts w:hint="eastAsia" w:ascii="Times New Roman" w:hAnsi="Times New Roman" w:eastAsia="仿宋_GB2312"/>
          <w:sz w:val="32"/>
          <w:szCs w:val="32"/>
          <w:lang w:val="en-US" w:eastAsia="zh-CN"/>
        </w:rPr>
        <w:t>38.91万元，占0.27%</w:t>
      </w:r>
      <w:r>
        <w:rPr>
          <w:rFonts w:hint="eastAsia" w:ascii="仿宋" w:hAnsi="仿宋" w:eastAsia="仿宋"/>
          <w:sz w:val="32"/>
          <w:szCs w:val="32"/>
        </w:rPr>
        <w:t>；</w:t>
      </w:r>
      <w:r>
        <w:rPr>
          <w:rFonts w:hint="eastAsia" w:ascii="仿宋" w:hAnsi="仿宋" w:eastAsia="仿宋"/>
          <w:b/>
          <w:bCs/>
          <w:sz w:val="32"/>
          <w:szCs w:val="32"/>
          <w:lang w:eastAsia="zh-CN"/>
        </w:rPr>
        <w:t>灾害防治及应急管理支出</w:t>
      </w:r>
      <w:r>
        <w:rPr>
          <w:rFonts w:hint="eastAsia" w:ascii="仿宋" w:hAnsi="仿宋" w:eastAsia="仿宋"/>
          <w:b/>
          <w:bCs/>
          <w:sz w:val="32"/>
          <w:szCs w:val="32"/>
          <w:lang w:val="en-US" w:eastAsia="zh-CN"/>
        </w:rPr>
        <w:t>3.86</w:t>
      </w:r>
      <w:r>
        <w:rPr>
          <w:rFonts w:hint="eastAsia" w:ascii="Times New Roman" w:hAnsi="Times New Roman" w:eastAsia="仿宋_GB2312"/>
          <w:sz w:val="32"/>
          <w:szCs w:val="32"/>
          <w:lang w:val="en-US" w:eastAsia="zh-CN"/>
        </w:rPr>
        <w:t>万元，占0.03%</w:t>
      </w:r>
      <w:r>
        <w:rPr>
          <w:rFonts w:hint="eastAsia" w:ascii="仿宋" w:hAnsi="仿宋" w:eastAsia="仿宋"/>
          <w:b/>
          <w:bCs/>
          <w:sz w:val="32"/>
          <w:szCs w:val="32"/>
          <w:lang w:eastAsia="zh-CN"/>
        </w:rPr>
        <w:t>其他</w:t>
      </w:r>
      <w:r>
        <w:rPr>
          <w:rFonts w:hint="eastAsia" w:ascii="仿宋" w:hAnsi="仿宋" w:eastAsia="仿宋"/>
          <w:b/>
          <w:bCs/>
          <w:sz w:val="32"/>
          <w:szCs w:val="32"/>
        </w:rPr>
        <w:t>支出</w:t>
      </w:r>
      <w:r>
        <w:rPr>
          <w:rFonts w:hint="eastAsia" w:ascii="仿宋" w:hAnsi="仿宋" w:eastAsia="仿宋"/>
          <w:b/>
          <w:bCs/>
          <w:sz w:val="32"/>
          <w:szCs w:val="32"/>
          <w:lang w:val="en-US" w:eastAsia="zh-CN"/>
        </w:rPr>
        <w:t>39</w:t>
      </w:r>
      <w:r>
        <w:rPr>
          <w:rFonts w:hint="eastAsia" w:ascii="Times New Roman" w:hAnsi="Times New Roman" w:eastAsia="仿宋_GB2312"/>
          <w:sz w:val="32"/>
          <w:szCs w:val="32"/>
          <w:lang w:val="en-US" w:eastAsia="zh-CN"/>
        </w:rPr>
        <w:t>万元，占0.28%</w:t>
      </w:r>
      <w:r>
        <w:rPr>
          <w:rFonts w:hint="eastAsia" w:ascii="仿宋" w:hAnsi="仿宋" w:eastAsia="仿宋"/>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rPr>
          <w:rFonts w:ascii="仿宋" w:hAnsi="仿宋" w:eastAsia="仿宋"/>
          <w:sz w:val="32"/>
          <w:szCs w:val="32"/>
        </w:rPr>
      </w:pPr>
      <w:r>
        <w:rPr>
          <w:rFonts w:hint="eastAsia" w:ascii="仿宋" w:hAnsi="仿宋" w:eastAsia="仿宋"/>
          <w:b/>
          <w:sz w:val="32"/>
          <w:szCs w:val="32"/>
          <w:lang w:eastAsia="zh-CN"/>
        </w:rPr>
        <w:drawing>
          <wp:anchor distT="0" distB="0" distL="114300" distR="114300" simplePos="0" relativeHeight="251663360" behindDoc="0" locked="0" layoutInCell="1" allowOverlap="1">
            <wp:simplePos x="0" y="0"/>
            <wp:positionH relativeFrom="column">
              <wp:posOffset>-187960</wp:posOffset>
            </wp:positionH>
            <wp:positionV relativeFrom="paragraph">
              <wp:posOffset>177165</wp:posOffset>
            </wp:positionV>
            <wp:extent cx="5794375" cy="3810000"/>
            <wp:effectExtent l="4445" t="5080" r="1143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sz w:val="32"/>
          <w:szCs w:val="32"/>
        </w:rPr>
      </w:pPr>
      <w:bookmarkStart w:id="46" w:name="_Toc15377212"/>
      <w:r>
        <w:rPr>
          <w:rFonts w:hint="eastAsia" w:ascii="仿宋" w:hAnsi="仿宋" w:eastAsia="仿宋"/>
          <w:b/>
          <w:sz w:val="32"/>
          <w:szCs w:val="32"/>
        </w:rPr>
        <w:t>（三）一般公共预算财政拨款支出决算具体情况</w:t>
      </w:r>
      <w:bookmarkEnd w:id="46"/>
    </w:p>
    <w:p>
      <w:pPr>
        <w:spacing w:line="600" w:lineRule="exact"/>
        <w:ind w:firstLine="643" w:firstLineChars="200"/>
        <w:outlineLvl w:val="2"/>
        <w:rPr>
          <w:rStyle w:val="15"/>
          <w:rFonts w:hint="eastAsia" w:ascii="仿宋" w:hAnsi="仿宋" w:eastAsia="仿宋"/>
          <w:bCs/>
          <w:sz w:val="32"/>
          <w:szCs w:val="32"/>
        </w:rPr>
      </w:pPr>
      <w:bookmarkStart w:id="47" w:name="_Toc15377444"/>
      <w:bookmarkStart w:id="48" w:name="_Toc15377213"/>
      <w:bookmarkStart w:id="49" w:name="_Toc15378460"/>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14169.29</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47"/>
      <w:bookmarkEnd w:id="48"/>
      <w:bookmarkEnd w:id="49"/>
    </w:p>
    <w:p>
      <w:pPr>
        <w:numPr>
          <w:ilvl w:val="0"/>
          <w:numId w:val="0"/>
        </w:numPr>
        <w:spacing w:line="600" w:lineRule="exact"/>
        <w:ind w:firstLine="643" w:firstLineChars="200"/>
      </w:pPr>
      <w:r>
        <w:rPr>
          <w:rStyle w:val="15"/>
          <w:rFonts w:hint="eastAsia" w:ascii="仿宋" w:hAnsi="仿宋" w:eastAsia="仿宋"/>
          <w:bCs/>
          <w:sz w:val="32"/>
          <w:szCs w:val="32"/>
          <w:lang w:val="en-US" w:eastAsia="zh-CN"/>
        </w:rPr>
        <w:t>1.</w:t>
      </w:r>
      <w:r>
        <w:rPr>
          <w:rStyle w:val="15"/>
          <w:rFonts w:hint="eastAsia" w:ascii="仿宋" w:hAnsi="仿宋" w:eastAsia="仿宋"/>
          <w:bCs/>
          <w:sz w:val="32"/>
          <w:szCs w:val="32"/>
          <w:lang w:eastAsia="zh-CN"/>
        </w:rPr>
        <w:t>一般公共服务支出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统计信息事务</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专项统计业务</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sz w:val="32"/>
          <w:szCs w:val="32"/>
          <w:lang w:val="en-US" w:eastAsia="zh-CN"/>
        </w:rPr>
        <w:t>支出决算为2万元，完成预算100%，决算数等于预算数。</w:t>
      </w:r>
    </w:p>
    <w:p>
      <w:pPr>
        <w:numPr>
          <w:ilvl w:val="0"/>
          <w:numId w:val="0"/>
        </w:numPr>
        <w:spacing w:line="600" w:lineRule="exact"/>
        <w:ind w:firstLine="643" w:firstLineChars="200"/>
        <w:rPr>
          <w:rStyle w:val="15"/>
          <w:rFonts w:hint="eastAsia" w:ascii="仿宋" w:hAnsi="仿宋" w:eastAsia="仿宋"/>
          <w:b w:val="0"/>
          <w:bCs/>
          <w:sz w:val="32"/>
          <w:szCs w:val="32"/>
        </w:rPr>
      </w:pPr>
      <w:bookmarkStart w:id="50" w:name="_Toc15396608"/>
      <w:bookmarkStart w:id="51" w:name="_Toc15377214"/>
      <w:r>
        <w:rPr>
          <w:rStyle w:val="15"/>
          <w:rFonts w:hint="eastAsia" w:ascii="仿宋" w:hAnsi="仿宋" w:eastAsia="仿宋"/>
          <w:bCs/>
          <w:sz w:val="32"/>
          <w:szCs w:val="32"/>
          <w:lang w:val="en-US" w:eastAsia="zh-CN"/>
        </w:rPr>
        <w:t>2.</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行政事业单位养老支出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行政单位离退休</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sz w:val="32"/>
          <w:szCs w:val="32"/>
          <w:lang w:val="en-US" w:eastAsia="zh-CN"/>
        </w:rPr>
        <w:t>支出决算为20万元，完成预算100%，决算数等于预算数。</w:t>
      </w:r>
    </w:p>
    <w:p>
      <w:pPr>
        <w:numPr>
          <w:ilvl w:val="0"/>
          <w:numId w:val="0"/>
        </w:numPr>
        <w:spacing w:line="600" w:lineRule="exact"/>
        <w:ind w:firstLine="643" w:firstLineChars="200"/>
        <w:rPr>
          <w:rFonts w:hint="eastAsia" w:ascii="Times New Roman" w:hAnsi="Times New Roman" w:eastAsia="仿宋_GB2312"/>
          <w:sz w:val="32"/>
          <w:szCs w:val="32"/>
          <w:lang w:val="en-US" w:eastAsia="zh-CN"/>
        </w:rPr>
      </w:pPr>
      <w:r>
        <w:rPr>
          <w:rStyle w:val="15"/>
          <w:rFonts w:hint="eastAsia" w:ascii="仿宋" w:hAnsi="仿宋" w:eastAsia="仿宋"/>
          <w:bCs/>
          <w:sz w:val="32"/>
          <w:szCs w:val="32"/>
          <w:lang w:val="en-US" w:eastAsia="zh-CN"/>
        </w:rPr>
        <w:t>3.</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行政事业单位养老支出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事业单位离退休</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sz w:val="32"/>
          <w:szCs w:val="32"/>
          <w:lang w:val="en-US" w:eastAsia="zh-CN"/>
        </w:rPr>
        <w:t>支出决算为8.4万元，完成预算100%，决算数等于预算数。</w:t>
      </w:r>
    </w:p>
    <w:p>
      <w:pPr>
        <w:numPr>
          <w:ilvl w:val="0"/>
          <w:numId w:val="0"/>
        </w:numPr>
        <w:spacing w:line="600" w:lineRule="exact"/>
        <w:ind w:firstLine="643" w:firstLineChars="200"/>
        <w:rPr>
          <w:rFonts w:hint="eastAsia" w:ascii="Times New Roman" w:hAnsi="Times New Roman" w:eastAsia="仿宋_GB2312"/>
          <w:sz w:val="32"/>
          <w:szCs w:val="32"/>
          <w:lang w:val="en-US" w:eastAsia="zh-CN"/>
        </w:rPr>
      </w:pPr>
      <w:r>
        <w:rPr>
          <w:rStyle w:val="15"/>
          <w:rFonts w:hint="eastAsia" w:ascii="仿宋" w:hAnsi="仿宋" w:eastAsia="仿宋"/>
          <w:bCs/>
          <w:sz w:val="32"/>
          <w:szCs w:val="32"/>
          <w:lang w:val="en-US" w:eastAsia="zh-CN"/>
        </w:rPr>
        <w:t>4.</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行政事业单位养老支出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机关事业单位基本养老保险缴费支出</w:t>
      </w:r>
      <w:r>
        <w:rPr>
          <w:rStyle w:val="15"/>
          <w:rFonts w:hint="eastAsia" w:ascii="仿宋" w:hAnsi="仿宋" w:eastAsia="仿宋"/>
          <w:bCs/>
          <w:sz w:val="32"/>
          <w:szCs w:val="32"/>
        </w:rPr>
        <w:t>（项）</w:t>
      </w:r>
      <w:r>
        <w:rPr>
          <w:rFonts w:hint="eastAsia" w:ascii="Times New Roman" w:hAnsi="Times New Roman" w:eastAsia="仿宋_GB2312"/>
          <w:sz w:val="32"/>
          <w:szCs w:val="32"/>
          <w:lang w:val="en-US" w:eastAsia="zh-CN"/>
        </w:rPr>
        <w:t>:支出决算为28.67万元，完成预算100%，决算数等于预算数。</w:t>
      </w:r>
    </w:p>
    <w:p>
      <w:pPr>
        <w:numPr>
          <w:ilvl w:val="0"/>
          <w:numId w:val="0"/>
        </w:numPr>
        <w:spacing w:line="600"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5.</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行政事业单位养老支出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机关事业单位职业年金缴费支出</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sz w:val="32"/>
          <w:szCs w:val="32"/>
          <w:lang w:val="en-US" w:eastAsia="zh-CN"/>
        </w:rPr>
        <w:t>支出决算为2.92万元，完成预算100%，决算数等于预算数。</w:t>
      </w:r>
    </w:p>
    <w:p>
      <w:pPr>
        <w:numPr>
          <w:ilvl w:val="0"/>
          <w:numId w:val="0"/>
        </w:numPr>
        <w:spacing w:line="600"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6.</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抚恤</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死亡抚恤</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sz w:val="32"/>
          <w:szCs w:val="32"/>
          <w:lang w:val="en-US" w:eastAsia="zh-CN"/>
        </w:rPr>
        <w:t>支出决算为39.99万元，完成预算100%，决算数等于预算数。</w:t>
      </w:r>
    </w:p>
    <w:p>
      <w:pPr>
        <w:pStyle w:val="6"/>
        <w:widowControl w:val="0"/>
        <w:numPr>
          <w:ilvl w:val="0"/>
          <w:numId w:val="0"/>
        </w:numPr>
        <w:spacing w:beforeLines="30"/>
        <w:ind w:firstLine="643" w:firstLineChars="200"/>
        <w:jc w:val="both"/>
      </w:pPr>
      <w:r>
        <w:rPr>
          <w:rStyle w:val="15"/>
          <w:rFonts w:hint="eastAsia" w:ascii="仿宋" w:hAnsi="仿宋" w:eastAsia="仿宋"/>
          <w:bCs/>
          <w:sz w:val="32"/>
          <w:szCs w:val="32"/>
          <w:lang w:val="en-US" w:eastAsia="zh-CN"/>
        </w:rPr>
        <w:t>7.</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抚恤</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伤残抚恤</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1.86</w:t>
      </w:r>
      <w:r>
        <w:rPr>
          <w:rFonts w:hint="eastAsia" w:ascii="Times New Roman" w:hAnsi="Times New Roman" w:eastAsia="仿宋_GB2312" w:cs="Times New Roman"/>
          <w:kern w:val="2"/>
          <w:sz w:val="32"/>
          <w:szCs w:val="32"/>
          <w:lang w:val="en-US" w:eastAsia="zh-CN" w:bidi="ar-SA"/>
        </w:rPr>
        <w:t>万元，完成预算100%，决算数等于预算数。</w:t>
      </w:r>
    </w:p>
    <w:p>
      <w:pPr>
        <w:spacing w:line="600"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8</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行政事业单位医疗</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行政单位医疗</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支出决算为19.36万元，完成预算100%，决算数等于预算数</w:t>
      </w:r>
      <w:r>
        <w:rPr>
          <w:rStyle w:val="15"/>
          <w:rFonts w:hint="eastAsia" w:ascii="仿宋" w:hAnsi="仿宋" w:eastAsia="仿宋"/>
          <w:b w:val="0"/>
          <w:bCs/>
          <w:sz w:val="32"/>
          <w:szCs w:val="32"/>
        </w:rPr>
        <w:t>。</w:t>
      </w:r>
    </w:p>
    <w:p>
      <w:pPr>
        <w:spacing w:line="600" w:lineRule="exact"/>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9</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行政事业单位医疗</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公务员医疗补助</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支出决算为2.78万元，完成预算100%，决算数等于预算数。</w:t>
      </w:r>
    </w:p>
    <w:p>
      <w:pPr>
        <w:spacing w:line="600" w:lineRule="exact"/>
        <w:ind w:firstLine="643" w:firstLineChars="200"/>
        <w:rPr>
          <w:rStyle w:val="15"/>
          <w:rFonts w:hint="eastAsia" w:ascii="仿宋" w:hAnsi="仿宋" w:eastAsia="仿宋"/>
          <w:bCs/>
          <w:sz w:val="32"/>
          <w:szCs w:val="32"/>
          <w:lang w:val="en-US" w:eastAsia="zh-CN"/>
        </w:rPr>
      </w:pPr>
      <w:r>
        <w:rPr>
          <w:rStyle w:val="15"/>
          <w:rFonts w:hint="eastAsia" w:ascii="仿宋" w:hAnsi="仿宋" w:eastAsia="仿宋"/>
          <w:bCs/>
          <w:sz w:val="32"/>
          <w:szCs w:val="32"/>
          <w:lang w:val="en-US" w:eastAsia="zh-CN"/>
        </w:rPr>
        <w:t>10</w:t>
      </w:r>
      <w:r>
        <w:rPr>
          <w:rStyle w:val="15"/>
          <w:rFonts w:ascii="仿宋" w:hAnsi="仿宋" w:eastAsia="仿宋"/>
          <w:bCs/>
          <w:sz w:val="32"/>
          <w:szCs w:val="32"/>
        </w:rPr>
        <w:t>.</w:t>
      </w:r>
      <w:r>
        <w:rPr>
          <w:rFonts w:hint="eastAsia" w:ascii="仿宋" w:hAnsi="仿宋" w:eastAsia="仿宋"/>
          <w:b/>
          <w:bCs/>
          <w:sz w:val="32"/>
          <w:szCs w:val="32"/>
          <w:lang w:eastAsia="zh-CN"/>
        </w:rPr>
        <w:t>城乡社区支出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城乡社区环境卫生</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城乡社区环境卫生</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支出决算为5万元，完成预算100%，决算数等于预算数。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lang w:val="en-US" w:eastAsia="zh-CN"/>
        </w:rPr>
        <w:t>11</w:t>
      </w:r>
      <w:r>
        <w:rPr>
          <w:rStyle w:val="15"/>
          <w:rFonts w:ascii="仿宋" w:hAnsi="仿宋" w:eastAsia="仿宋"/>
          <w:bCs/>
          <w:sz w:val="32"/>
          <w:szCs w:val="32"/>
        </w:rPr>
        <w:t>.</w:t>
      </w:r>
      <w:r>
        <w:rPr>
          <w:rFonts w:hint="eastAsia" w:ascii="仿宋" w:hAnsi="仿宋" w:eastAsia="仿宋"/>
          <w:b/>
          <w:bCs/>
          <w:sz w:val="32"/>
          <w:szCs w:val="32"/>
          <w:lang w:eastAsia="zh-CN"/>
        </w:rPr>
        <w:t>农林水</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农业农村</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其他农业农村支出</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支出决算为2万元，完成预算100%，决算数等于预算数。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12</w:t>
      </w:r>
      <w:r>
        <w:rPr>
          <w:rStyle w:val="15"/>
          <w:rFonts w:ascii="仿宋" w:hAnsi="仿宋" w:eastAsia="仿宋"/>
          <w:bCs/>
          <w:sz w:val="32"/>
          <w:szCs w:val="32"/>
        </w:rPr>
        <w:t>.</w:t>
      </w:r>
      <w:r>
        <w:rPr>
          <w:rFonts w:hint="eastAsia" w:ascii="仿宋" w:hAnsi="仿宋" w:eastAsia="仿宋"/>
          <w:b/>
          <w:bCs/>
          <w:sz w:val="32"/>
          <w:szCs w:val="32"/>
          <w:lang w:eastAsia="zh-CN"/>
        </w:rPr>
        <w:t>农林水</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其他农林水支出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其他农林水支出</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支出决算为3086.92万元，完成预算100%，决算数等于预算数。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13</w:t>
      </w:r>
      <w:r>
        <w:rPr>
          <w:rStyle w:val="15"/>
          <w:rFonts w:ascii="仿宋" w:hAnsi="仿宋" w:eastAsia="仿宋"/>
          <w:bCs/>
          <w:sz w:val="32"/>
          <w:szCs w:val="32"/>
        </w:rPr>
        <w:t>.</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公路水路运输</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行政运行</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325.95</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14</w:t>
      </w:r>
      <w:r>
        <w:rPr>
          <w:rStyle w:val="15"/>
          <w:rFonts w:ascii="仿宋" w:hAnsi="仿宋" w:eastAsia="仿宋"/>
          <w:bCs/>
          <w:sz w:val="32"/>
          <w:szCs w:val="32"/>
        </w:rPr>
        <w:t>.</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公路水路运输</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一般行政管理事务</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1.2</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15</w:t>
      </w:r>
      <w:r>
        <w:rPr>
          <w:rStyle w:val="15"/>
          <w:rFonts w:ascii="仿宋" w:hAnsi="仿宋" w:eastAsia="仿宋"/>
          <w:bCs/>
          <w:sz w:val="32"/>
          <w:szCs w:val="32"/>
        </w:rPr>
        <w:t>.</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公路水路运输</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公路建设</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5976.31</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16</w:t>
      </w:r>
      <w:r>
        <w:rPr>
          <w:rStyle w:val="15"/>
          <w:rFonts w:ascii="仿宋" w:hAnsi="仿宋" w:eastAsia="仿宋"/>
          <w:bCs/>
          <w:sz w:val="32"/>
          <w:szCs w:val="32"/>
        </w:rPr>
        <w:t>.</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公路水路运输</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公路养护</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支出决算为523.34万元，完成预算100%，决算数等于预算数。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17</w:t>
      </w:r>
      <w:r>
        <w:rPr>
          <w:rStyle w:val="15"/>
          <w:rFonts w:ascii="仿宋" w:hAnsi="仿宋" w:eastAsia="仿宋"/>
          <w:bCs/>
          <w:sz w:val="32"/>
          <w:szCs w:val="32"/>
        </w:rPr>
        <w:t>.</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公路水路运输</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公路运输管理</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39.34</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18</w:t>
      </w:r>
      <w:r>
        <w:rPr>
          <w:rStyle w:val="15"/>
          <w:rFonts w:ascii="仿宋" w:hAnsi="仿宋" w:eastAsia="仿宋"/>
          <w:bCs/>
          <w:sz w:val="32"/>
          <w:szCs w:val="32"/>
        </w:rPr>
        <w:t>.</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公路水路运输</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其他公路水路运输支出</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2682.11</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Fonts w:hint="eastAsia" w:ascii="仿宋" w:hAnsi="仿宋" w:eastAsia="仿宋"/>
          <w:b/>
          <w:bCs/>
          <w:sz w:val="32"/>
          <w:szCs w:val="32"/>
          <w:lang w:val="en-US" w:eastAsia="zh-CN"/>
        </w:rPr>
        <w:t>19.</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成品油价格改革对交通运输的补贴</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对城市公交的补贴</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33.91</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20</w:t>
      </w:r>
      <w:r>
        <w:rPr>
          <w:rStyle w:val="15"/>
          <w:rFonts w:ascii="仿宋" w:hAnsi="仿宋" w:eastAsia="仿宋"/>
          <w:bCs/>
          <w:sz w:val="32"/>
          <w:szCs w:val="32"/>
        </w:rPr>
        <w:t>.</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成品油价格改革对交通运输的补贴</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对农村道路客运的补贴</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764.36</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21.</w:t>
      </w:r>
      <w:r>
        <w:rPr>
          <w:rFonts w:hint="eastAsia" w:ascii="仿宋" w:hAnsi="仿宋" w:eastAsia="仿宋"/>
          <w:b/>
          <w:bCs/>
          <w:sz w:val="32"/>
          <w:szCs w:val="32"/>
          <w:lang w:eastAsia="zh-CN"/>
        </w:rPr>
        <w:t>交通运输支出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车辆购置税支出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车辆购置税用于公路等基础设施建设支出</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1052</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22</w:t>
      </w:r>
      <w:r>
        <w:rPr>
          <w:rStyle w:val="15"/>
          <w:rFonts w:ascii="仿宋" w:hAnsi="仿宋" w:eastAsia="仿宋"/>
          <w:bCs/>
          <w:sz w:val="32"/>
          <w:szCs w:val="32"/>
        </w:rPr>
        <w:t>.</w:t>
      </w:r>
      <w:r>
        <w:rPr>
          <w:rFonts w:hint="eastAsia" w:ascii="仿宋" w:hAnsi="仿宋" w:eastAsia="仿宋"/>
          <w:b/>
          <w:bCs/>
          <w:sz w:val="32"/>
          <w:szCs w:val="32"/>
          <w:lang w:eastAsia="zh-CN"/>
        </w:rPr>
        <w:t>住房保障支出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住房改革支出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住房公积金</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34.66</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23</w:t>
      </w:r>
      <w:r>
        <w:rPr>
          <w:rStyle w:val="15"/>
          <w:rFonts w:ascii="仿宋" w:hAnsi="仿宋" w:eastAsia="仿宋"/>
          <w:bCs/>
          <w:sz w:val="32"/>
          <w:szCs w:val="32"/>
        </w:rPr>
        <w:t>.</w:t>
      </w:r>
      <w:r>
        <w:rPr>
          <w:rFonts w:hint="eastAsia" w:ascii="仿宋" w:hAnsi="仿宋" w:eastAsia="仿宋"/>
          <w:b/>
          <w:bCs/>
          <w:sz w:val="32"/>
          <w:szCs w:val="32"/>
          <w:lang w:eastAsia="zh-CN"/>
        </w:rPr>
        <w:t>住房保障支出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住房改革支出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住房公积金</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w:t>
      </w:r>
      <w:r>
        <w:rPr>
          <w:rFonts w:hint="eastAsia" w:ascii="Times New Roman" w:hAnsi="Times New Roman" w:cs="Times New Roman"/>
          <w:kern w:val="2"/>
          <w:sz w:val="32"/>
          <w:szCs w:val="32"/>
          <w:lang w:val="en-US" w:eastAsia="zh-CN" w:bidi="ar-SA"/>
        </w:rPr>
        <w:t>4.25</w:t>
      </w:r>
      <w:r>
        <w:rPr>
          <w:rFonts w:hint="eastAsia" w:ascii="Times New Roman" w:hAnsi="Times New Roman" w:eastAsia="仿宋_GB2312" w:cs="Times New Roman"/>
          <w:kern w:val="2"/>
          <w:sz w:val="32"/>
          <w:szCs w:val="32"/>
          <w:lang w:val="en-US" w:eastAsia="zh-CN" w:bidi="ar-SA"/>
        </w:rPr>
        <w:t>万元，完成预算100%，决算数等于预算数。</w:t>
      </w:r>
    </w:p>
    <w:p>
      <w:pPr>
        <w:pStyle w:val="6"/>
        <w:ind w:firstLine="643" w:firstLineChars="200"/>
        <w:rPr>
          <w:rFonts w:hint="eastAsia" w:ascii="Times New Roman" w:hAnsi="Times New Roman" w:eastAsia="仿宋_GB2312" w:cs="Times New Roman"/>
          <w:kern w:val="2"/>
          <w:sz w:val="32"/>
          <w:szCs w:val="32"/>
          <w:lang w:val="en-US" w:eastAsia="zh-CN" w:bidi="ar-SA"/>
        </w:rPr>
      </w:pPr>
      <w:r>
        <w:rPr>
          <w:rStyle w:val="15"/>
          <w:rFonts w:hint="eastAsia" w:ascii="仿宋" w:hAnsi="仿宋" w:eastAsia="仿宋"/>
          <w:bCs/>
          <w:sz w:val="32"/>
          <w:szCs w:val="32"/>
          <w:lang w:val="en-US" w:eastAsia="zh-CN"/>
        </w:rPr>
        <w:t>24</w:t>
      </w:r>
      <w:r>
        <w:rPr>
          <w:rStyle w:val="15"/>
          <w:rFonts w:ascii="仿宋" w:hAnsi="仿宋" w:eastAsia="仿宋"/>
          <w:bCs/>
          <w:sz w:val="32"/>
          <w:szCs w:val="32"/>
        </w:rPr>
        <w:t>.</w:t>
      </w:r>
      <w:r>
        <w:rPr>
          <w:rFonts w:hint="eastAsia" w:ascii="仿宋" w:hAnsi="仿宋" w:eastAsia="仿宋"/>
          <w:b/>
          <w:bCs/>
          <w:sz w:val="32"/>
          <w:szCs w:val="32"/>
          <w:lang w:eastAsia="zh-CN"/>
        </w:rPr>
        <w:t>其他支出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其他支出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其他支出</w:t>
      </w:r>
      <w:r>
        <w:rPr>
          <w:rStyle w:val="15"/>
          <w:rFonts w:hint="eastAsia" w:ascii="仿宋" w:hAnsi="仿宋" w:eastAsia="仿宋"/>
          <w:bCs/>
          <w:sz w:val="32"/>
          <w:szCs w:val="32"/>
        </w:rPr>
        <w:t>（项）</w:t>
      </w:r>
      <w:r>
        <w:rPr>
          <w:rStyle w:val="15"/>
          <w:rFonts w:ascii="仿宋" w:hAnsi="仿宋" w:eastAsia="仿宋"/>
          <w:bCs/>
          <w:sz w:val="32"/>
          <w:szCs w:val="32"/>
        </w:rPr>
        <w:t>:</w:t>
      </w:r>
      <w:r>
        <w:rPr>
          <w:rFonts w:hint="eastAsia" w:ascii="Times New Roman" w:hAnsi="Times New Roman" w:eastAsia="仿宋_GB2312" w:cs="Times New Roman"/>
          <w:kern w:val="2"/>
          <w:sz w:val="32"/>
          <w:szCs w:val="32"/>
          <w:lang w:val="en-US" w:eastAsia="zh-CN" w:bidi="ar-SA"/>
        </w:rPr>
        <w:t>支出决算为39万元，完成预算100%，决算数等于预算数。</w:t>
      </w:r>
    </w:p>
    <w:p>
      <w:pPr>
        <w:pStyle w:val="6"/>
        <w:ind w:firstLine="640" w:firstLineChars="200"/>
        <w:rPr>
          <w:rFonts w:hint="eastAsia" w:ascii="Times New Roman" w:hAnsi="Times New Roman" w:eastAsia="仿宋_GB2312" w:cs="Times New Roman"/>
          <w:kern w:val="2"/>
          <w:sz w:val="32"/>
          <w:szCs w:val="32"/>
          <w:lang w:val="en-US" w:eastAsia="zh-CN" w:bidi="ar-SA"/>
        </w:rPr>
      </w:pPr>
    </w:p>
    <w:p>
      <w:pPr>
        <w:tabs>
          <w:tab w:val="right" w:pos="8306"/>
        </w:tabs>
        <w:spacing w:line="600" w:lineRule="exact"/>
        <w:ind w:firstLine="640"/>
        <w:outlineLvl w:val="1"/>
        <w:rPr>
          <w:rStyle w:val="26"/>
        </w:rPr>
      </w:pPr>
      <w:bookmarkStart w:id="52" w:name="_Toc18699"/>
      <w:bookmarkStart w:id="53" w:name="_Toc3236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0"/>
      <w:bookmarkEnd w:id="51"/>
      <w:bookmarkEnd w:id="52"/>
      <w:bookmarkEnd w:id="53"/>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481.28</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438.81</w:t>
      </w:r>
      <w:r>
        <w:rPr>
          <w:rFonts w:hint="eastAsia" w:ascii="仿宋" w:hAnsi="仿宋" w:eastAsia="仿宋"/>
          <w:sz w:val="32"/>
          <w:szCs w:val="32"/>
        </w:rPr>
        <w:t>万元，主要包括：基本工资、津贴补贴、奖金、机关事业单位基本养老保险缴费、职业年金缴费、其他工资福利支出、抚恤金、生活补助、奖励金、住房公积金、其他对个人和家庭的补助支出等。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42.47</w:t>
      </w:r>
      <w:r>
        <w:rPr>
          <w:rFonts w:hint="eastAsia" w:ascii="仿宋" w:hAnsi="仿宋" w:eastAsia="仿宋"/>
          <w:sz w:val="32"/>
          <w:szCs w:val="32"/>
        </w:rPr>
        <w:t>万元，主要包括：办公费、水费、电费、邮电费、差旅费、维修（护）费、公务接待费、劳务费、委托业务费、工会经费、福利费、公务用车运行维护费、其他交通费。</w:t>
      </w:r>
    </w:p>
    <w:p>
      <w:pPr>
        <w:spacing w:line="600" w:lineRule="exact"/>
        <w:ind w:firstLine="640"/>
        <w:rPr>
          <w:rFonts w:ascii="仿宋" w:hAnsi="仿宋" w:eastAsia="仿宋"/>
          <w:b/>
          <w:sz w:val="32"/>
          <w:szCs w:val="32"/>
        </w:rPr>
      </w:pPr>
    </w:p>
    <w:p>
      <w:pPr>
        <w:spacing w:line="600" w:lineRule="exact"/>
        <w:ind w:firstLine="640"/>
        <w:outlineLvl w:val="1"/>
        <w:rPr>
          <w:rStyle w:val="26"/>
          <w:rFonts w:ascii="黑体" w:hAnsi="黑体" w:eastAsia="黑体"/>
          <w:b w:val="0"/>
        </w:rPr>
      </w:pPr>
      <w:bookmarkStart w:id="54" w:name="_Toc13589"/>
      <w:bookmarkStart w:id="55" w:name="_Toc15396609"/>
      <w:bookmarkStart w:id="56" w:name="_Toc15377215"/>
      <w:bookmarkStart w:id="57" w:name="_Toc17588"/>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4"/>
      <w:bookmarkEnd w:id="55"/>
      <w:bookmarkEnd w:id="56"/>
      <w:bookmarkEnd w:id="57"/>
    </w:p>
    <w:p>
      <w:pPr>
        <w:spacing w:line="600" w:lineRule="exact"/>
        <w:ind w:firstLine="640"/>
        <w:outlineLvl w:val="2"/>
        <w:rPr>
          <w:rFonts w:ascii="仿宋" w:hAnsi="仿宋" w:eastAsia="仿宋"/>
          <w:b/>
          <w:sz w:val="32"/>
          <w:szCs w:val="32"/>
        </w:rPr>
      </w:pPr>
      <w:bookmarkStart w:id="58" w:name="_Toc15377216"/>
      <w:r>
        <w:rPr>
          <w:rFonts w:hint="eastAsia" w:ascii="仿宋" w:hAnsi="仿宋" w:eastAsia="仿宋"/>
          <w:b/>
          <w:sz w:val="32"/>
          <w:szCs w:val="32"/>
        </w:rPr>
        <w:t>（一）“三公”经费财政拨款支出决算总体情况说明</w:t>
      </w:r>
      <w:bookmarkEnd w:id="5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1.56</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59" w:name="_Toc15377217"/>
      <w:r>
        <w:rPr>
          <w:rFonts w:hint="eastAsia" w:ascii="仿宋" w:hAnsi="仿宋" w:eastAsia="仿宋"/>
          <w:b/>
          <w:sz w:val="32"/>
          <w:szCs w:val="32"/>
        </w:rPr>
        <w:t>（二）“三公”经费财政拨款支出决算具体情况说明</w:t>
      </w:r>
      <w:bookmarkEnd w:id="5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1.2</w:t>
      </w:r>
      <w:r>
        <w:rPr>
          <w:rFonts w:hint="eastAsia" w:ascii="仿宋" w:hAnsi="仿宋" w:eastAsia="仿宋"/>
          <w:sz w:val="32"/>
          <w:szCs w:val="32"/>
        </w:rPr>
        <w:t>万元，占</w:t>
      </w:r>
      <w:r>
        <w:rPr>
          <w:rFonts w:hint="eastAsia" w:ascii="仿宋" w:hAnsi="仿宋" w:eastAsia="仿宋"/>
          <w:sz w:val="32"/>
          <w:szCs w:val="32"/>
          <w:lang w:val="en-US" w:eastAsia="zh-CN"/>
        </w:rPr>
        <w:t>76.92</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0.36</w:t>
      </w:r>
      <w:r>
        <w:rPr>
          <w:rFonts w:hint="eastAsia" w:ascii="仿宋" w:hAnsi="仿宋" w:eastAsia="仿宋"/>
          <w:sz w:val="32"/>
          <w:szCs w:val="32"/>
        </w:rPr>
        <w:t>万元，占</w:t>
      </w:r>
      <w:r>
        <w:rPr>
          <w:rFonts w:hint="eastAsia" w:ascii="仿宋" w:hAnsi="仿宋" w:eastAsia="仿宋"/>
          <w:sz w:val="32"/>
          <w:szCs w:val="32"/>
          <w:lang w:val="en-US" w:eastAsia="zh-CN"/>
        </w:rPr>
        <w:t>23.08</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eastAsia="仿宋"/>
          <w:lang w:eastAsia="zh-CN"/>
        </w:rPr>
      </w:pPr>
      <w:r>
        <w:rPr>
          <w:rFonts w:hint="eastAsia" w:eastAsia="仿宋"/>
          <w:lang w:eastAsia="zh-CN"/>
        </w:rPr>
        <w:drawing>
          <wp:inline distT="0" distB="0" distL="114300" distR="114300">
            <wp:extent cx="4858385" cy="3104515"/>
            <wp:effectExtent l="5080" t="5080" r="1333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1.2</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1.2</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车辆为原盐边县交通运输综合行政执法大队特种作业车辆合并至盐边县交通运输局产生</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1.2</w:t>
      </w:r>
      <w:r>
        <w:rPr>
          <w:rFonts w:hint="eastAsia" w:ascii="仿宋_GB2312" w:eastAsia="仿宋_GB2312"/>
          <w:sz w:val="32"/>
          <w:szCs w:val="32"/>
        </w:rPr>
        <w:t>万元。主要用于</w:t>
      </w:r>
      <w:r>
        <w:rPr>
          <w:rFonts w:hint="eastAsia" w:ascii="仿宋_GB2312" w:eastAsia="仿宋_GB2312"/>
          <w:sz w:val="32"/>
          <w:szCs w:val="32"/>
          <w:lang w:eastAsia="zh-CN"/>
        </w:rPr>
        <w:t>县域管理道路巡查、应急安全处置、打击非法营运、打击超限超载、道路安全执法保障</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0.36</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0.17</w:t>
      </w:r>
      <w:r>
        <w:rPr>
          <w:rFonts w:hint="eastAsia" w:ascii="仿宋_GB2312" w:eastAsia="仿宋_GB2312"/>
          <w:sz w:val="32"/>
          <w:szCs w:val="32"/>
        </w:rPr>
        <w:t>万元，增长</w:t>
      </w:r>
      <w:r>
        <w:rPr>
          <w:rFonts w:hint="eastAsia" w:ascii="仿宋_GB2312" w:eastAsia="仿宋_GB2312"/>
          <w:sz w:val="32"/>
          <w:szCs w:val="32"/>
          <w:lang w:val="en-US" w:eastAsia="zh-CN"/>
        </w:rPr>
        <w:t>89.47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公务接待增加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0.36</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7</w:t>
      </w:r>
      <w:r>
        <w:rPr>
          <w:rFonts w:hint="eastAsia" w:ascii="仿宋_GB2312" w:eastAsia="仿宋_GB2312"/>
          <w:sz w:val="32"/>
          <w:szCs w:val="32"/>
        </w:rPr>
        <w:t>批次，</w:t>
      </w:r>
      <w:r>
        <w:rPr>
          <w:rFonts w:hint="eastAsia" w:ascii="仿宋_GB2312" w:eastAsia="仿宋_GB2312"/>
          <w:sz w:val="32"/>
          <w:szCs w:val="32"/>
          <w:lang w:val="en-US" w:eastAsia="zh-CN"/>
        </w:rPr>
        <w:t>49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0.36</w:t>
      </w:r>
      <w:r>
        <w:rPr>
          <w:rFonts w:hint="eastAsia" w:ascii="仿宋_GB2312" w:eastAsia="仿宋_GB2312"/>
          <w:sz w:val="32"/>
          <w:szCs w:val="32"/>
        </w:rPr>
        <w:t>万元，具体内容包括：</w:t>
      </w:r>
      <w:r>
        <w:rPr>
          <w:rFonts w:hint="eastAsia" w:eastAsia="仿宋_GB2312" w:cs="Times New Roman"/>
          <w:kern w:val="2"/>
          <w:sz w:val="32"/>
          <w:szCs w:val="32"/>
          <w:lang w:val="en-US" w:eastAsia="zh-CN" w:bidi="ar-SA"/>
        </w:rPr>
        <w:t>农村公路路面使用性能指数（PQI）检测接待19人次，接待费2172元</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省道路面技术状况核查接待15人次，接待费1382元。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（具体项目）。主要用于……</w:t>
      </w:r>
    </w:p>
    <w:p>
      <w:pPr>
        <w:spacing w:line="600" w:lineRule="exact"/>
        <w:ind w:firstLine="640"/>
        <w:outlineLvl w:val="1"/>
        <w:rPr>
          <w:rFonts w:ascii="黑体" w:eastAsia="黑体"/>
          <w:sz w:val="32"/>
          <w:szCs w:val="32"/>
        </w:rPr>
      </w:pPr>
      <w:bookmarkStart w:id="60" w:name="_Toc15396610"/>
      <w:bookmarkStart w:id="61" w:name="_Toc15377218"/>
    </w:p>
    <w:p>
      <w:pPr>
        <w:spacing w:line="600" w:lineRule="exact"/>
        <w:ind w:firstLine="640"/>
        <w:outlineLvl w:val="1"/>
        <w:rPr>
          <w:rStyle w:val="26"/>
          <w:rFonts w:ascii="黑体" w:hAnsi="黑体" w:eastAsia="黑体"/>
        </w:rPr>
      </w:pPr>
      <w:bookmarkStart w:id="62" w:name="_Toc32060"/>
      <w:bookmarkStart w:id="63" w:name="_Toc8923"/>
      <w:r>
        <w:rPr>
          <w:rFonts w:hint="eastAsia" w:ascii="黑体" w:eastAsia="黑体"/>
          <w:sz w:val="32"/>
          <w:szCs w:val="32"/>
        </w:rPr>
        <w:t>八、</w:t>
      </w:r>
      <w:r>
        <w:rPr>
          <w:rStyle w:val="26"/>
          <w:rFonts w:hint="eastAsia" w:ascii="黑体" w:hAnsi="黑体" w:eastAsia="黑体"/>
          <w:b w:val="0"/>
        </w:rPr>
        <w:t>政府性基金预算支出决算情况说明</w:t>
      </w:r>
      <w:bookmarkEnd w:id="60"/>
      <w:bookmarkEnd w:id="61"/>
      <w:bookmarkEnd w:id="62"/>
      <w:bookmarkEnd w:id="6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2730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6"/>
          <w:rFonts w:ascii="黑体" w:hAnsi="黑体" w:eastAsia="黑体"/>
          <w:b w:val="0"/>
        </w:rPr>
      </w:pPr>
      <w:bookmarkStart w:id="64" w:name="_Toc15772"/>
      <w:bookmarkStart w:id="65" w:name="_Toc15377219"/>
      <w:bookmarkStart w:id="66" w:name="_Toc19470"/>
      <w:bookmarkStart w:id="67" w:name="_Toc15396611"/>
      <w:r>
        <w:rPr>
          <w:rStyle w:val="26"/>
          <w:rFonts w:hint="eastAsia" w:ascii="黑体" w:hAnsi="黑体" w:eastAsia="黑体"/>
          <w:b w:val="0"/>
        </w:rPr>
        <w:t>国有资本经营预算支出决算情况说明</w:t>
      </w:r>
      <w:bookmarkEnd w:id="64"/>
      <w:bookmarkEnd w:id="65"/>
      <w:bookmarkEnd w:id="66"/>
      <w:bookmarkEnd w:id="6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6"/>
          <w:rFonts w:ascii="黑体" w:hAnsi="黑体" w:eastAsia="黑体"/>
          <w:b w:val="0"/>
        </w:rPr>
      </w:pPr>
      <w:bookmarkStart w:id="68" w:name="_Toc15396612"/>
      <w:bookmarkStart w:id="69" w:name="_Toc17802"/>
      <w:bookmarkStart w:id="70" w:name="_Toc15377221"/>
      <w:bookmarkStart w:id="71" w:name="_Toc13714"/>
      <w:r>
        <w:rPr>
          <w:rStyle w:val="26"/>
          <w:rFonts w:hint="eastAsia" w:ascii="黑体" w:hAnsi="黑体" w:eastAsia="黑体"/>
          <w:b w:val="0"/>
        </w:rPr>
        <w:t>其他重要事项的情况说明</w:t>
      </w:r>
      <w:bookmarkEnd w:id="68"/>
      <w:bookmarkEnd w:id="69"/>
      <w:bookmarkEnd w:id="70"/>
      <w:bookmarkEnd w:id="71"/>
    </w:p>
    <w:p>
      <w:pPr>
        <w:spacing w:line="600" w:lineRule="exact"/>
        <w:ind w:firstLine="643" w:firstLineChars="200"/>
        <w:outlineLvl w:val="2"/>
        <w:rPr>
          <w:rFonts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盐边县交通运输局</w:t>
      </w:r>
      <w:r>
        <w:rPr>
          <w:rFonts w:hint="eastAsia" w:ascii="仿宋_GB2312" w:eastAsia="仿宋_GB2312"/>
          <w:sz w:val="32"/>
          <w:szCs w:val="32"/>
        </w:rPr>
        <w:t>机关运行经费支出</w:t>
      </w:r>
      <w:r>
        <w:rPr>
          <w:rFonts w:hint="eastAsia" w:ascii="仿宋_GB2312" w:eastAsia="仿宋_GB2312"/>
          <w:sz w:val="32"/>
          <w:szCs w:val="32"/>
          <w:lang w:val="en-US" w:eastAsia="zh-CN"/>
        </w:rPr>
        <w:t>42.47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17.48</w:t>
      </w:r>
      <w:r>
        <w:rPr>
          <w:rFonts w:hint="eastAsia" w:ascii="仿宋_GB2312" w:eastAsia="仿宋_GB2312"/>
          <w:sz w:val="32"/>
          <w:szCs w:val="32"/>
        </w:rPr>
        <w:t>万元，增长</w:t>
      </w:r>
      <w:r>
        <w:rPr>
          <w:rFonts w:hint="eastAsia" w:ascii="仿宋_GB2312" w:eastAsia="仿宋_GB2312"/>
          <w:sz w:val="32"/>
          <w:szCs w:val="32"/>
          <w:lang w:val="en-US" w:eastAsia="zh-CN"/>
        </w:rPr>
        <w:t>69.95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原盐边县交通运输综合行政执法大队合并至盐边县交通运输局。</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盐边县交通运输局</w:t>
      </w:r>
      <w:r>
        <w:rPr>
          <w:rFonts w:hint="eastAsia" w:ascii="仿宋_GB2312" w:eastAsia="仿宋_GB2312"/>
          <w:sz w:val="32"/>
          <w:szCs w:val="32"/>
        </w:rPr>
        <w:t>政府采购支出总额</w:t>
      </w:r>
      <w:r>
        <w:rPr>
          <w:rFonts w:hint="eastAsia" w:ascii="仿宋_GB2312" w:eastAsia="仿宋_GB2312"/>
          <w:sz w:val="32"/>
          <w:szCs w:val="32"/>
          <w:lang w:val="en-US" w:eastAsia="zh-CN"/>
        </w:rPr>
        <w:t>2.74</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2.74</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hint="eastAsia" w:ascii="仿宋_GB2312" w:eastAsia="仿宋_GB2312"/>
          <w:sz w:val="32"/>
          <w:szCs w:val="32"/>
          <w:lang w:val="en-US" w:eastAsia="zh-CN"/>
        </w:rPr>
        <w:t>2.74</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2.74</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4"/>
      <w:r>
        <w:rPr>
          <w:rFonts w:hint="eastAsia" w:ascii="仿宋" w:hAnsi="仿宋" w:eastAsia="仿宋"/>
          <w:b/>
          <w:sz w:val="32"/>
          <w:szCs w:val="32"/>
        </w:rPr>
        <w:t>（三）国有资产占有使用情况</w:t>
      </w:r>
      <w:bookmarkEnd w:id="7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盐边县交通运输局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5</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hint="eastAsia" w:ascii="仿宋_GB2312" w:hAnsi="仿宋_GB2312" w:eastAsia="仿宋_GB2312" w:cs="仿宋_GB2312"/>
          <w:sz w:val="32"/>
          <w:szCs w:val="32"/>
          <w:lang w:eastAsia="zh-CN"/>
        </w:rPr>
        <w:t>北部片区农村客运运营补贴</w:t>
      </w:r>
      <w:r>
        <w:rPr>
          <w:rFonts w:hint="eastAsia" w:ascii="仿宋_GB2312" w:hAnsi="仿宋_GB2312" w:eastAsia="仿宋_GB2312" w:cs="仿宋_GB2312"/>
          <w:sz w:val="32"/>
          <w:szCs w:val="32"/>
        </w:rPr>
        <w:t>项目（项目名称）等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个项目开展了绩效自评，2021年特定目标类部门预算项目绩效目标自评表见附件（第四部分）。</w:t>
      </w:r>
    </w:p>
    <w:p>
      <w:pPr>
        <w:pStyle w:val="6"/>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75" w:name="_Toc15377225"/>
      <w:bookmarkStart w:id="76" w:name="_Toc31151"/>
      <w:bookmarkStart w:id="77" w:name="_Toc15396613"/>
      <w:bookmarkStart w:id="78" w:name="_Toc22453"/>
      <w:r>
        <w:rPr>
          <w:rFonts w:hint="eastAsia" w:ascii="黑体" w:hAnsi="黑体" w:eastAsia="黑体"/>
          <w:sz w:val="44"/>
          <w:szCs w:val="44"/>
        </w:rPr>
        <w:t>名</w:t>
      </w:r>
      <w:r>
        <w:rPr>
          <w:rStyle w:val="25"/>
          <w:rFonts w:hint="eastAsia" w:ascii="黑体" w:hAnsi="黑体" w:eastAsia="黑体"/>
          <w:b w:val="0"/>
        </w:rPr>
        <w:t>词解释</w:t>
      </w:r>
      <w:bookmarkEnd w:id="75"/>
      <w:bookmarkEnd w:id="76"/>
      <w:bookmarkEnd w:id="77"/>
      <w:bookmarkEnd w:id="78"/>
    </w:p>
    <w:p>
      <w:pPr>
        <w:spacing w:line="600" w:lineRule="exact"/>
        <w:jc w:val="left"/>
        <w:rPr>
          <w:rFonts w:ascii="宋体"/>
          <w:b/>
          <w:sz w:val="44"/>
          <w:szCs w:val="44"/>
        </w:rPr>
      </w:pPr>
    </w:p>
    <w:p>
      <w:pPr>
        <w:pStyle w:val="23"/>
        <w:spacing w:line="560" w:lineRule="exact"/>
        <w:ind w:firstLine="640" w:firstLineChars="200"/>
        <w:rPr>
          <w:rFonts w:hint="eastAsia" w:ascii="Times New Roman" w:hAnsi="Times New Roman" w:eastAsia="仿宋_GB2312" w:cs="Times New Roman"/>
          <w:kern w:val="2"/>
          <w:sz w:val="32"/>
          <w:szCs w:val="32"/>
          <w:lang w:val="en-US" w:eastAsia="zh-CN" w:bidi="ar-SA"/>
        </w:rPr>
      </w:pPr>
      <w:bookmarkStart w:id="79" w:name="_Toc15377226"/>
      <w:r>
        <w:rPr>
          <w:rFonts w:hint="eastAsia" w:ascii="Times New Roman" w:hAnsi="Times New Roman" w:eastAsia="仿宋_GB2312" w:cs="Times New Roman"/>
          <w:kern w:val="2"/>
          <w:sz w:val="32"/>
          <w:szCs w:val="32"/>
          <w:lang w:val="en-US" w:eastAsia="zh-CN" w:bidi="ar-SA"/>
        </w:rPr>
        <w:t xml:space="preserve">1.财政拨款收入：指单位从同级财政部门取得的财政预算资金。 </w:t>
      </w:r>
    </w:p>
    <w:p>
      <w:pPr>
        <w:pStyle w:val="2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2.年初结转和结余：指以前年度尚未完成、结转到本年按有关规定继续使用的资金。 </w:t>
      </w:r>
    </w:p>
    <w:p>
      <w:pPr>
        <w:pStyle w:val="2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3.结余分配：指事业单位按照事业单位会计制度的规定从非财政补助结余中分配的事业基金和职工福利基金等。</w:t>
      </w:r>
    </w:p>
    <w:p>
      <w:pPr>
        <w:pStyle w:val="2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4、年末结转和结余：指单位按有关规定结转到下年或以后年度继续使用的资金。</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5.城乡社区支出（类）国有土地使用权出让收入及对应专项债务收入安排的支出（款）农村基础设施建设支出（项）：指反映土地出让收入用于农村饮水、环境、卫生、教育以及文化等基础设施建设支出。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6.农林水支出（类）农业（款）其他农业支出（项）：指反映除上述项目以外其他用于农业方面的支出。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7.交通运输支出（类）公路水路运输（款）行政运行（项）：指反映行政单位（包括实行公务员管理的事业单位）的基本支出。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8.交通运输支出（类）公路水路运输（款）一般行政管理事务（项）：指反映行政单位（包括实行公务员管理的事业单位）未单独设置项级科目的其他项目支出。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9.交通运输支出（类）公路水路运输（款）公路建设（项）：指反映新建公路支出，公路改建支出，特大型桥梁建设支出，公路客货运站（场）建设支出。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10.交通运输支出（类）公路水路运输（款）公路养护（项）：指反映公路养护支出。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11.交通运输支出（类）公路水路运输（款）公路和运输安全（项）：指反映公路和运输安全支出。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12.交通运输支出（类）公路水路运输（款）取消政府还贷二级公路收费专项支出（项）：指反映按《国务院关于实施成品油价格和税费改革的通知》安排的专项用于各地逐年有序解决已经取消的政府还贷二级收费公路债务偿还、人员安置、养护管理和公路建设等方面的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13.交通运输支出（类）公路水路运输（款）其他公路水路运输支出（项）：指反映除上述项目以外其他用于公路水路运输方面的支出。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14.交通运输支出（类）成品油价格改革对交通运输的补贴（款）对城市公交的补贴（项）：指反映成品油价格改革财政对城市公交的补贴。</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15.交通运输支出（类）成品油价格改革对交通运输的补贴（款）成品油价格改革补贴其他支出（项）：指反映成品油价格改革财政对其他方面的支出。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16.住房保障（类）住房改革支出（款）住房公积金（项）：指反映行政事业单位按人力资源和社会保障部、财政部规定的基本工资和津贴补贴以及规定比例为职工缴纳的住房公积金。</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17.社会保障和就业支出（类）行政事业单位离退休（款）未归口管理的行政单位离退休（项）：指反映未实行归口管理的行政单位（包括实行公务员管理的事业单位）开支的离退休支出。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18.基本支出：指为保障机构正常运转、完成日常工作任务而发生的人员支出和公用支出。</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19.项目支出：指在基本支出之外为完成特定行政任务和事业发展目标所发生的支出。 </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20.经营支出：指事业单位在专业业务活动及其辅助活动之外开展非独立核算经营活动发生的支出。</w:t>
      </w:r>
    </w:p>
    <w:p>
      <w:pPr>
        <w:pStyle w:val="2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Times New Roman" w:hAnsi="Times New Roman" w:eastAsia="仿宋_GB2312" w:cs="Times New Roman"/>
          <w:kern w:val="2"/>
          <w:sz w:val="32"/>
          <w:szCs w:val="32"/>
          <w:lang w:val="en-US" w:eastAsia="zh-CN" w:bidi="ar-SA"/>
        </w:rPr>
      </w:pPr>
    </w:p>
    <w:p>
      <w:pPr>
        <w:spacing w:line="600" w:lineRule="exact"/>
        <w:jc w:val="center"/>
        <w:outlineLvl w:val="0"/>
        <w:rPr>
          <w:rStyle w:val="25"/>
          <w:rFonts w:ascii="黑体" w:hAnsi="黑体" w:eastAsia="黑体"/>
          <w:b w:val="0"/>
        </w:rPr>
      </w:pPr>
      <w:r>
        <w:rPr>
          <w:rFonts w:ascii="宋体"/>
          <w:b/>
          <w:sz w:val="44"/>
          <w:szCs w:val="44"/>
        </w:rPr>
        <w:br w:type="page"/>
      </w:r>
      <w:bookmarkStart w:id="80" w:name="_Toc17442"/>
      <w:bookmarkStart w:id="81" w:name="_Toc15396614"/>
      <w:bookmarkStart w:id="82" w:name="_Toc27435"/>
      <w:r>
        <w:rPr>
          <w:rFonts w:hint="eastAsia" w:ascii="黑体" w:hAnsi="黑体" w:eastAsia="黑体"/>
          <w:sz w:val="44"/>
          <w:szCs w:val="44"/>
        </w:rPr>
        <w:t>第</w:t>
      </w:r>
      <w:r>
        <w:rPr>
          <w:rStyle w:val="25"/>
          <w:rFonts w:hint="eastAsia" w:ascii="黑体" w:hAnsi="黑体" w:eastAsia="黑体"/>
          <w:b w:val="0"/>
        </w:rPr>
        <w:t>四部分 附件</w:t>
      </w:r>
      <w:bookmarkEnd w:id="80"/>
      <w:bookmarkEnd w:id="81"/>
      <w:bookmarkEnd w:id="8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bookmarkStart w:id="83" w:name="_Toc15396618"/>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lang w:val="en-US" w:eastAsia="zh-CN"/>
              </w:rPr>
              <w:t>221001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lang w:val="en-US" w:eastAsia="zh-CN"/>
              </w:rPr>
              <w:t>盐边县交通运输局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lang w:val="en-US" w:eastAsia="zh-CN"/>
              </w:rPr>
              <w:t>329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lang w:val="en-US" w:eastAsia="zh-CN"/>
              </w:rPr>
              <w:t>329</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lang w:val="en-US" w:eastAsia="zh-CN"/>
              </w:rPr>
              <w:t>329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lang w:val="en-US" w:eastAsia="zh-CN"/>
              </w:rPr>
              <w:t>324.56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1180"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top"/>
              <w:rPr>
                <w:rFonts w:ascii="宋体" w:hAnsi="宋体" w:cs="宋体"/>
                <w:sz w:val="24"/>
              </w:rPr>
            </w:pPr>
            <w:r>
              <w:rPr>
                <w:rFonts w:hint="eastAsia" w:ascii="宋体" w:hAnsi="宋体" w:cs="宋体"/>
                <w:sz w:val="21"/>
                <w:szCs w:val="21"/>
                <w:lang w:eastAsia="zh-CN"/>
              </w:rPr>
              <w:t>县域内</w:t>
            </w:r>
            <w:r>
              <w:rPr>
                <w:rFonts w:hint="eastAsia" w:ascii="宋体" w:hAnsi="宋体" w:cs="宋体"/>
                <w:sz w:val="21"/>
                <w:szCs w:val="21"/>
              </w:rPr>
              <w:t>2020年度省道公路及农村公路养护费用329万元。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top"/>
              <w:rPr>
                <w:rFonts w:ascii="宋体" w:hAnsi="宋体" w:cs="宋体"/>
                <w:sz w:val="24"/>
              </w:rPr>
            </w:pPr>
            <w:r>
              <w:rPr>
                <w:rFonts w:hint="eastAsia" w:ascii="宋体" w:hAnsi="宋体" w:cs="宋体"/>
                <w:sz w:val="21"/>
                <w:szCs w:val="21"/>
              </w:rPr>
              <w:t>2020年度省道公路及农村公路养护费用</w:t>
            </w:r>
            <w:r>
              <w:rPr>
                <w:rFonts w:hint="eastAsia" w:ascii="宋体" w:hAnsi="宋体" w:cs="宋体"/>
                <w:sz w:val="21"/>
                <w:szCs w:val="21"/>
                <w:lang w:val="en-US" w:eastAsia="zh-CN"/>
              </w:rPr>
              <w:t>329</w:t>
            </w:r>
            <w:r>
              <w:rPr>
                <w:rFonts w:hint="eastAsia" w:ascii="宋体" w:hAnsi="宋体" w:cs="宋体"/>
                <w:sz w:val="21"/>
                <w:szCs w:val="21"/>
              </w:rPr>
              <w:t>万元，完成支付324.56万元，支付执行率98.65%。节约资金4.43万元</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rPr>
              <w:t>省道公路及农村公路养护费用329万元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329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324.56</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rPr>
              <w:t>资金使用规范性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eastAsia="zh-CN"/>
              </w:rPr>
              <w:t>规范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eastAsia="zh-CN"/>
              </w:rPr>
              <w:t>规范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2021年全年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2021年全年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2021年全年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eastAsia="zh-CN"/>
              </w:rPr>
              <w:t>项目预算金额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329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324.56</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rPr>
              <w:t>群众出行体验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eastAsia="zh-CN"/>
              </w:rPr>
              <w:t>提升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eastAsia="zh-CN"/>
              </w:rPr>
              <w:t>提升</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rPr>
              <w:t>促进交通行业发展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eastAsia="zh-CN"/>
              </w:rPr>
              <w:t>提高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eastAsia="zh-CN"/>
              </w:rPr>
              <w:t>提高</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1"/>
                <w:szCs w:val="21"/>
                <w:lang w:val="en-US" w:eastAsia="zh-CN"/>
              </w:rPr>
              <w:t>90%以上</w:t>
            </w:r>
          </w:p>
        </w:tc>
      </w:tr>
    </w:tbl>
    <w:p>
      <w:pPr>
        <w:spacing w:line="600" w:lineRule="exact"/>
        <w:jc w:val="both"/>
        <w:outlineLvl w:val="0"/>
        <w:rPr>
          <w:rFonts w:ascii="黑体" w:hAnsi="黑体" w:eastAsia="黑体"/>
          <w:sz w:val="44"/>
          <w:szCs w:val="44"/>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spacing w:line="600" w:lineRule="exact"/>
        <w:jc w:val="center"/>
        <w:outlineLvl w:val="0"/>
        <w:rPr>
          <w:rFonts w:ascii="仿宋" w:hAnsi="仿宋" w:eastAsia="仿宋"/>
        </w:rPr>
      </w:pPr>
      <w:bookmarkStart w:id="84" w:name="_Toc15193"/>
      <w:bookmarkStart w:id="85" w:name="_Toc5654"/>
      <w:r>
        <w:rPr>
          <w:rFonts w:hint="eastAsia" w:ascii="黑体" w:hAnsi="黑体" w:eastAsia="黑体"/>
          <w:sz w:val="44"/>
          <w:szCs w:val="44"/>
        </w:rPr>
        <w:t>第</w:t>
      </w:r>
      <w:r>
        <w:rPr>
          <w:rStyle w:val="25"/>
          <w:rFonts w:hint="eastAsia" w:ascii="黑体" w:hAnsi="黑体" w:eastAsia="黑体"/>
          <w:b w:val="0"/>
        </w:rPr>
        <w:t>五部分 附表</w:t>
      </w:r>
      <w:bookmarkEnd w:id="79"/>
      <w:bookmarkEnd w:id="83"/>
      <w:bookmarkEnd w:id="84"/>
      <w:bookmarkEnd w:id="85"/>
      <w:bookmarkStart w:id="86" w:name="_Toc15396619"/>
    </w:p>
    <w:p>
      <w:pPr>
        <w:pStyle w:val="4"/>
        <w:rPr>
          <w:rFonts w:ascii="仿宋" w:hAnsi="仿宋" w:eastAsia="仿宋"/>
        </w:rPr>
      </w:pPr>
      <w:bookmarkStart w:id="87" w:name="_Toc6786"/>
      <w:bookmarkStart w:id="88" w:name="_Toc658"/>
      <w:r>
        <w:rPr>
          <w:rFonts w:hint="eastAsia" w:ascii="仿宋" w:hAnsi="仿宋" w:eastAsia="仿宋"/>
          <w:b w:val="0"/>
        </w:rPr>
        <w:t>一、收</w:t>
      </w:r>
      <w:r>
        <w:rPr>
          <w:rStyle w:val="26"/>
          <w:rFonts w:hint="eastAsia" w:ascii="仿宋" w:hAnsi="仿宋" w:eastAsia="仿宋"/>
          <w:b w:val="0"/>
          <w:bCs w:val="0"/>
        </w:rPr>
        <w:t>入支出决算总表</w:t>
      </w:r>
      <w:bookmarkEnd w:id="86"/>
      <w:bookmarkEnd w:id="87"/>
      <w:bookmarkEnd w:id="88"/>
    </w:p>
    <w:p>
      <w:pPr>
        <w:pStyle w:val="4"/>
        <w:rPr>
          <w:rFonts w:ascii="仿宋" w:hAnsi="仿宋" w:eastAsia="仿宋"/>
        </w:rPr>
      </w:pPr>
      <w:bookmarkStart w:id="89" w:name="_Toc16206"/>
      <w:bookmarkStart w:id="90" w:name="_Toc15396620"/>
      <w:bookmarkStart w:id="91" w:name="_Toc13272"/>
      <w:r>
        <w:rPr>
          <w:rFonts w:hint="eastAsia" w:ascii="仿宋" w:hAnsi="仿宋" w:eastAsia="仿宋"/>
          <w:b w:val="0"/>
        </w:rPr>
        <w:t>二、收</w:t>
      </w:r>
      <w:r>
        <w:rPr>
          <w:rStyle w:val="26"/>
          <w:rFonts w:hint="eastAsia" w:ascii="仿宋" w:hAnsi="仿宋" w:eastAsia="仿宋"/>
          <w:b w:val="0"/>
          <w:bCs w:val="0"/>
        </w:rPr>
        <w:t>入决算表</w:t>
      </w:r>
      <w:bookmarkEnd w:id="89"/>
      <w:bookmarkEnd w:id="90"/>
      <w:bookmarkEnd w:id="91"/>
    </w:p>
    <w:p>
      <w:pPr>
        <w:pStyle w:val="4"/>
        <w:rPr>
          <w:rFonts w:ascii="仿宋" w:hAnsi="仿宋" w:eastAsia="仿宋"/>
        </w:rPr>
      </w:pPr>
      <w:bookmarkStart w:id="92" w:name="_Toc29618"/>
      <w:bookmarkStart w:id="93" w:name="_Toc15396621"/>
      <w:bookmarkStart w:id="94" w:name="_Toc25809"/>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92"/>
      <w:bookmarkEnd w:id="93"/>
      <w:bookmarkEnd w:id="94"/>
    </w:p>
    <w:p>
      <w:pPr>
        <w:pStyle w:val="4"/>
        <w:rPr>
          <w:rFonts w:ascii="仿宋" w:hAnsi="仿宋" w:eastAsia="仿宋"/>
          <w:b w:val="0"/>
        </w:rPr>
      </w:pPr>
      <w:bookmarkStart w:id="95" w:name="_Toc20866"/>
      <w:bookmarkStart w:id="96" w:name="_Toc26706"/>
      <w:bookmarkStart w:id="9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95"/>
      <w:bookmarkEnd w:id="96"/>
      <w:bookmarkEnd w:id="97"/>
    </w:p>
    <w:p>
      <w:pPr>
        <w:pStyle w:val="4"/>
        <w:rPr>
          <w:rStyle w:val="26"/>
          <w:rFonts w:ascii="仿宋" w:hAnsi="仿宋" w:eastAsia="仿宋"/>
          <w:b w:val="0"/>
          <w:bCs w:val="0"/>
        </w:rPr>
      </w:pPr>
      <w:bookmarkStart w:id="98" w:name="_Toc15396623"/>
      <w:bookmarkStart w:id="99" w:name="_Toc11303"/>
      <w:bookmarkStart w:id="100" w:name="_Toc23849"/>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98"/>
      <w:bookmarkEnd w:id="99"/>
      <w:bookmarkEnd w:id="100"/>
      <w:bookmarkStart w:id="101" w:name="_Toc15396624"/>
    </w:p>
    <w:p>
      <w:pPr>
        <w:pStyle w:val="4"/>
        <w:rPr>
          <w:rFonts w:ascii="仿宋" w:hAnsi="仿宋" w:eastAsia="仿宋"/>
        </w:rPr>
      </w:pPr>
      <w:bookmarkStart w:id="102" w:name="_Toc4959"/>
      <w:bookmarkStart w:id="103" w:name="_Toc13902"/>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01"/>
      <w:bookmarkEnd w:id="102"/>
      <w:bookmarkEnd w:id="103"/>
    </w:p>
    <w:p>
      <w:pPr>
        <w:pStyle w:val="4"/>
        <w:rPr>
          <w:rFonts w:ascii="仿宋" w:hAnsi="仿宋" w:eastAsia="仿宋"/>
        </w:rPr>
      </w:pPr>
      <w:bookmarkStart w:id="104" w:name="_Toc19438"/>
      <w:bookmarkStart w:id="105" w:name="_Toc5334"/>
      <w:bookmarkStart w:id="106"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04"/>
      <w:bookmarkEnd w:id="105"/>
      <w:bookmarkEnd w:id="106"/>
    </w:p>
    <w:p>
      <w:pPr>
        <w:pStyle w:val="4"/>
        <w:rPr>
          <w:rFonts w:ascii="仿宋" w:hAnsi="仿宋" w:eastAsia="仿宋"/>
        </w:rPr>
      </w:pPr>
      <w:bookmarkStart w:id="107" w:name="_Toc15396626"/>
      <w:bookmarkStart w:id="108" w:name="_Toc7322"/>
      <w:bookmarkStart w:id="109" w:name="_Toc18554"/>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07"/>
      <w:bookmarkEnd w:id="108"/>
      <w:bookmarkEnd w:id="109"/>
    </w:p>
    <w:p>
      <w:pPr>
        <w:pStyle w:val="4"/>
        <w:rPr>
          <w:rFonts w:ascii="仿宋" w:hAnsi="仿宋" w:eastAsia="仿宋"/>
        </w:rPr>
      </w:pPr>
      <w:bookmarkStart w:id="110" w:name="_Toc22460"/>
      <w:bookmarkStart w:id="111" w:name="_Toc11591"/>
      <w:bookmarkStart w:id="11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10"/>
      <w:bookmarkEnd w:id="111"/>
      <w:bookmarkEnd w:id="112"/>
    </w:p>
    <w:p>
      <w:pPr>
        <w:pStyle w:val="4"/>
        <w:rPr>
          <w:rFonts w:ascii="仿宋" w:hAnsi="仿宋" w:eastAsia="仿宋"/>
        </w:rPr>
      </w:pPr>
      <w:bookmarkStart w:id="113" w:name="_Toc30562"/>
      <w:bookmarkStart w:id="114" w:name="_Toc2649"/>
      <w:bookmarkStart w:id="115"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13"/>
      <w:bookmarkEnd w:id="114"/>
      <w:bookmarkEnd w:id="115"/>
    </w:p>
    <w:p>
      <w:pPr>
        <w:pStyle w:val="4"/>
        <w:rPr>
          <w:rFonts w:ascii="仿宋" w:hAnsi="仿宋" w:eastAsia="仿宋"/>
        </w:rPr>
      </w:pPr>
      <w:bookmarkStart w:id="116" w:name="_Toc15396629"/>
      <w:bookmarkStart w:id="117" w:name="_Toc2173"/>
      <w:bookmarkStart w:id="118" w:name="_Toc17445"/>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16"/>
      <w:bookmarkEnd w:id="117"/>
      <w:bookmarkEnd w:id="118"/>
    </w:p>
    <w:p>
      <w:pPr>
        <w:pStyle w:val="4"/>
        <w:rPr>
          <w:rFonts w:ascii="仿宋" w:hAnsi="仿宋" w:eastAsia="仿宋"/>
        </w:rPr>
      </w:pPr>
      <w:bookmarkStart w:id="119" w:name="_Toc15396630"/>
      <w:bookmarkStart w:id="120" w:name="_Toc15386"/>
      <w:bookmarkStart w:id="121" w:name="_Toc26819"/>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19"/>
      <w:bookmarkEnd w:id="120"/>
      <w:bookmarkEnd w:id="121"/>
    </w:p>
    <w:p>
      <w:pPr>
        <w:pStyle w:val="4"/>
        <w:rPr>
          <w:rStyle w:val="26"/>
          <w:rFonts w:ascii="仿宋" w:hAnsi="仿宋" w:eastAsia="仿宋"/>
          <w:b w:val="0"/>
          <w:bCs w:val="0"/>
        </w:rPr>
      </w:pPr>
      <w:bookmarkStart w:id="122" w:name="_Toc15396631"/>
      <w:bookmarkStart w:id="123" w:name="_Toc28693"/>
      <w:bookmarkStart w:id="124" w:name="_Toc3306"/>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22"/>
      <w:bookmarkEnd w:id="123"/>
      <w:bookmarkEnd w:id="124"/>
    </w:p>
    <w:p>
      <w:pPr>
        <w:rPr>
          <w:rFonts w:eastAsia="仿宋"/>
        </w:rPr>
      </w:pPr>
      <w:bookmarkStart w:id="125" w:name="_Toc30985"/>
      <w:bookmarkStart w:id="126" w:name="_Toc13873"/>
      <w:r>
        <w:rPr>
          <w:rStyle w:val="26"/>
          <w:rFonts w:hint="eastAsia" w:ascii="仿宋" w:hAnsi="仿宋" w:eastAsia="仿宋"/>
          <w:b w:val="0"/>
          <w:bCs w:val="0"/>
        </w:rPr>
        <w:t>十四、国有资本经营预算财政拨款支出决算表</w:t>
      </w:r>
      <w:bookmarkEnd w:id="125"/>
      <w:bookmarkEnd w:id="12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穝灿砰">
    <w:altName w:val="宋体"/>
    <w:panose1 w:val="00000000000000000000"/>
    <w:charset w:val="01"/>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75A21CB"/>
    <w:multiLevelType w:val="singleLevel"/>
    <w:tmpl w:val="F75A21CB"/>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ZjdjODhlZDU2MmJhOGM3Y2NhYmZmNzU0YWQ1O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4BBD"/>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F1E02"/>
    <w:rsid w:val="00FF30B4"/>
    <w:rsid w:val="02A64821"/>
    <w:rsid w:val="046B30CF"/>
    <w:rsid w:val="091458D4"/>
    <w:rsid w:val="0A2032A3"/>
    <w:rsid w:val="0A7243D5"/>
    <w:rsid w:val="0B8A37D8"/>
    <w:rsid w:val="10C055FF"/>
    <w:rsid w:val="118107EC"/>
    <w:rsid w:val="11DD6519"/>
    <w:rsid w:val="133839B9"/>
    <w:rsid w:val="16BB723D"/>
    <w:rsid w:val="18015F3F"/>
    <w:rsid w:val="192C2943"/>
    <w:rsid w:val="1B3807E3"/>
    <w:rsid w:val="1BE8440E"/>
    <w:rsid w:val="1D155CEE"/>
    <w:rsid w:val="20F57F95"/>
    <w:rsid w:val="240371BF"/>
    <w:rsid w:val="25C741E6"/>
    <w:rsid w:val="26615952"/>
    <w:rsid w:val="27842671"/>
    <w:rsid w:val="29FD04D3"/>
    <w:rsid w:val="2ABE7A3E"/>
    <w:rsid w:val="2EFA178C"/>
    <w:rsid w:val="30B46D73"/>
    <w:rsid w:val="314B5AFA"/>
    <w:rsid w:val="319F7F4E"/>
    <w:rsid w:val="34B80D16"/>
    <w:rsid w:val="34BB475A"/>
    <w:rsid w:val="37A763BC"/>
    <w:rsid w:val="39AE70AB"/>
    <w:rsid w:val="3C0C0783"/>
    <w:rsid w:val="3C610D62"/>
    <w:rsid w:val="3D223B5E"/>
    <w:rsid w:val="3F2D3405"/>
    <w:rsid w:val="3F9F3A96"/>
    <w:rsid w:val="404C24D8"/>
    <w:rsid w:val="490F4770"/>
    <w:rsid w:val="493C27E9"/>
    <w:rsid w:val="496F39ED"/>
    <w:rsid w:val="49FF41D3"/>
    <w:rsid w:val="4BE068DB"/>
    <w:rsid w:val="4BF6002B"/>
    <w:rsid w:val="4D6C2D12"/>
    <w:rsid w:val="4ECE2238"/>
    <w:rsid w:val="4F232EA5"/>
    <w:rsid w:val="513B318E"/>
    <w:rsid w:val="51DB4B86"/>
    <w:rsid w:val="55333C3E"/>
    <w:rsid w:val="5A5F654C"/>
    <w:rsid w:val="5AFF0621"/>
    <w:rsid w:val="5C1A1EFE"/>
    <w:rsid w:val="608E6F34"/>
    <w:rsid w:val="60EC3E6E"/>
    <w:rsid w:val="61CE2826"/>
    <w:rsid w:val="64CA39A1"/>
    <w:rsid w:val="6A5633D5"/>
    <w:rsid w:val="6C4A05C8"/>
    <w:rsid w:val="6E111AA3"/>
    <w:rsid w:val="715F3205"/>
    <w:rsid w:val="71E43203"/>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09" w:after="209" w:line="0" w:lineRule="atLeast"/>
      <w:jc w:val="center"/>
    </w:pPr>
    <w:rPr>
      <w:rFonts w:ascii="Arial" w:hAnsi="Arial" w:eastAsia="穝灿砰"/>
      <w:sz w:val="52"/>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988698668457"/>
          <c:y val="0.0720297029702967"/>
          <c:w val="0.680762081784387"/>
          <c:h val="0.815594059405941"/>
        </c:manualLayout>
      </c:layout>
      <c:barChart>
        <c:barDir val="col"/>
        <c:grouping val="clustered"/>
        <c:varyColors val="0"/>
        <c:ser>
          <c:idx val="0"/>
          <c:order val="0"/>
          <c:tx>
            <c:strRef>
              <c:f>Sheet1!$B$1</c:f>
              <c:strCache>
                <c:ptCount val="1"/>
                <c:pt idx="0">
                  <c:v>2021年</c:v>
                </c:pt>
              </c:strCache>
            </c:strRef>
          </c:tx>
          <c:invertIfNegative val="0"/>
          <c:dLbls>
            <c:delete val="1"/>
          </c:dLbls>
          <c:cat>
            <c:strRef>
              <c:f>Sheet1!$A$2:$A$4</c:f>
              <c:strCache>
                <c:ptCount val="3"/>
                <c:pt idx="0">
                  <c:v>收、支</c:v>
                </c:pt>
              </c:strCache>
            </c:strRef>
          </c:cat>
          <c:val>
            <c:numRef>
              <c:f>Sheet1!$B$2:$B$4</c:f>
              <c:numCache>
                <c:formatCode>General</c:formatCode>
                <c:ptCount val="3"/>
                <c:pt idx="0">
                  <c:v>17209.29</c:v>
                </c:pt>
              </c:numCache>
            </c:numRef>
          </c:val>
        </c:ser>
        <c:ser>
          <c:idx val="1"/>
          <c:order val="1"/>
          <c:tx>
            <c:strRef>
              <c:f>Sheet1!$C$1</c:f>
              <c:strCache>
                <c:ptCount val="1"/>
                <c:pt idx="0">
                  <c:v>2020年</c:v>
                </c:pt>
              </c:strCache>
            </c:strRef>
          </c:tx>
          <c:invertIfNegative val="0"/>
          <c:dLbls>
            <c:delete val="1"/>
          </c:dLbls>
          <c:cat>
            <c:strRef>
              <c:f>Sheet1!$A$2:$A$4</c:f>
              <c:strCache>
                <c:ptCount val="3"/>
                <c:pt idx="0">
                  <c:v>收、支</c:v>
                </c:pt>
              </c:strCache>
            </c:strRef>
          </c:cat>
          <c:val>
            <c:numRef>
              <c:f>Sheet1!$C$2:$C$4</c:f>
              <c:numCache>
                <c:formatCode>General</c:formatCode>
                <c:ptCount val="3"/>
                <c:pt idx="0">
                  <c:v>17215.67</c:v>
                </c:pt>
              </c:numCache>
            </c:numRef>
          </c:val>
        </c:ser>
        <c:ser>
          <c:idx val="2"/>
          <c:order val="2"/>
          <c:tx>
            <c:strRef>
              <c:f>Sheet1!$D$1</c:f>
              <c:strCache>
                <c:ptCount val="1"/>
                <c:pt idx="0">
                  <c:v/>
                </c:pt>
              </c:strCache>
            </c:strRef>
          </c:tx>
          <c:invertIfNegative val="0"/>
          <c:dLbls>
            <c:delete val="1"/>
          </c:dLbls>
          <c:cat>
            <c:strRef>
              <c:f>Sheet1!$A$2:$A$4</c:f>
              <c:strCache>
                <c:ptCount val="3"/>
                <c:pt idx="0">
                  <c:v>收、支</c:v>
                </c:pt>
              </c:strCache>
            </c:strRef>
          </c:cat>
          <c:val>
            <c:numRef>
              <c:f>Sheet1!$D$2:$D$4</c:f>
              <c:numCache>
                <c:formatCode>General</c:formatCode>
                <c:ptCount val="3"/>
              </c:numCache>
            </c:numRef>
          </c:val>
        </c:ser>
        <c:dLbls>
          <c:showLegendKey val="0"/>
          <c:showVal val="0"/>
          <c:showCatName val="0"/>
          <c:showSerName val="0"/>
          <c:showPercent val="0"/>
          <c:showBubbleSize val="0"/>
        </c:dLbls>
        <c:gapWidth val="330"/>
        <c:overlap val="-100"/>
        <c:axId val="177253376"/>
        <c:axId val="177304320"/>
      </c:barChart>
      <c:catAx>
        <c:axId val="1772533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304320"/>
        <c:crosses val="autoZero"/>
        <c:auto val="1"/>
        <c:lblAlgn val="ctr"/>
        <c:lblOffset val="100"/>
        <c:noMultiLvlLbl val="0"/>
      </c:catAx>
      <c:valAx>
        <c:axId val="177304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2533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一般公共预算财政拨款收入</c:v>
                </c:pt>
                <c:pt idx="1">
                  <c:v>政府性基金预算财政拨款收入</c:v>
                </c:pt>
                <c:pt idx="2">
                  <c:v>其他收入</c:v>
                </c:pt>
                <c:pt idx="3">
                  <c:v>年初结转和结余</c:v>
                </c:pt>
              </c:strCache>
            </c:strRef>
          </c:cat>
          <c:val>
            <c:numRef>
              <c:f>Sheet1!$B$2:$B$5</c:f>
              <c:numCache>
                <c:formatCode>General</c:formatCode>
                <c:ptCount val="4"/>
                <c:pt idx="0">
                  <c:v>11249.5</c:v>
                </c:pt>
                <c:pt idx="1">
                  <c:v>2730</c:v>
                </c:pt>
                <c:pt idx="2">
                  <c:v>310</c:v>
                </c:pt>
                <c:pt idx="3">
                  <c:v>2919.79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398905442384"/>
          <c:y val="0.296038769490097"/>
          <c:w val="0.503344481605351"/>
          <c:h val="0.6976401179941"/>
        </c:manualLayout>
      </c:layout>
      <c:pieChart>
        <c:varyColors val="1"/>
        <c:ser>
          <c:idx val="0"/>
          <c:order val="0"/>
          <c:tx>
            <c:strRef>
              <c:f>Sheet1!$B$1</c:f>
              <c:strCache>
                <c:ptCount val="1"/>
                <c:pt idx="0">
                  <c:v>支出情况</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c:v>
                </c:pt>
                <c:pt idx="1">
                  <c:v>项目支出</c:v>
                </c:pt>
              </c:strCache>
            </c:strRef>
          </c:cat>
          <c:val>
            <c:numRef>
              <c:f>Sheet1!$B$2:$B$5</c:f>
              <c:numCache>
                <c:formatCode>General</c:formatCode>
                <c:ptCount val="4"/>
                <c:pt idx="0">
                  <c:v>481.28</c:v>
                </c:pt>
                <c:pt idx="1">
                  <c:v>16728.01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028032327797"/>
          <c:y val="0.0993324397433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2021年</c:v>
                </c:pt>
                <c:pt idx="1">
                  <c:v>2020年</c:v>
                </c:pt>
              </c:strCache>
            </c:strRef>
          </c:cat>
          <c:val>
            <c:numRef>
              <c:f>Sheet1!$B$2:$B$5</c:f>
              <c:numCache>
                <c:formatCode>General</c:formatCode>
                <c:ptCount val="4"/>
                <c:pt idx="0">
                  <c:v>17209.29</c:v>
                </c:pt>
                <c:pt idx="1">
                  <c:v>17215.67</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2021年</c:v>
                </c:pt>
                <c:pt idx="1">
                  <c:v>2020年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2021年</c:v>
                </c:pt>
                <c:pt idx="1">
                  <c:v>2020年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576081395"/>
        <c:axId val="207789005"/>
      </c:barChart>
      <c:catAx>
        <c:axId val="5760813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789005"/>
        <c:crosses val="autoZero"/>
        <c:auto val="1"/>
        <c:lblAlgn val="ctr"/>
        <c:lblOffset val="100"/>
        <c:noMultiLvlLbl val="0"/>
      </c:catAx>
      <c:valAx>
        <c:axId val="2077890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0813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一般财政拨款支出</c:v>
                </c:pt>
              </c:strCache>
            </c:strRef>
          </c:tx>
          <c:spPr>
            <a:solidFill>
              <a:schemeClr val="accent1"/>
            </a:solidFill>
            <a:ln>
              <a:noFill/>
            </a:ln>
            <a:effectLst/>
          </c:spPr>
          <c:invertIfNegative val="0"/>
          <c:dLbls>
            <c:delete val="1"/>
          </c:dLbls>
          <c:cat>
            <c:strRef>
              <c:f>Sheet1!$A$2:$A$5</c:f>
              <c:strCache>
                <c:ptCount val="4"/>
                <c:pt idx="0">
                  <c:v>2021年</c:v>
                </c:pt>
                <c:pt idx="1">
                  <c:v>2020年</c:v>
                </c:pt>
              </c:strCache>
            </c:strRef>
          </c:cat>
          <c:val>
            <c:numRef>
              <c:f>Sheet1!$B$2:$B$5</c:f>
              <c:numCache>
                <c:formatCode>General</c:formatCode>
                <c:ptCount val="4"/>
                <c:pt idx="0">
                  <c:v>14169.29</c:v>
                </c:pt>
                <c:pt idx="1">
                  <c:v>12869.92</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2021年</c:v>
                </c:pt>
                <c:pt idx="1">
                  <c:v>2020年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2021年</c:v>
                </c:pt>
                <c:pt idx="1">
                  <c:v>2020年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22537805"/>
        <c:axId val="193959986"/>
      </c:barChart>
      <c:catAx>
        <c:axId val="3225378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959986"/>
        <c:crosses val="autoZero"/>
        <c:auto val="1"/>
        <c:lblAlgn val="ctr"/>
        <c:lblOffset val="100"/>
        <c:noMultiLvlLbl val="0"/>
      </c:catAx>
      <c:valAx>
        <c:axId val="1939599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5378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c:v>
                </c:pt>
                <c:pt idx="1">
                  <c:v>城乡社区支出</c:v>
                </c:pt>
                <c:pt idx="2">
                  <c:v>社会保障和就业</c:v>
                </c:pt>
                <c:pt idx="3">
                  <c:v>卫生健康支出</c:v>
                </c:pt>
              </c:strCache>
            </c:strRef>
          </c:cat>
          <c:val>
            <c:numRef>
              <c:f>Sheet1!$B$2:$B$5</c:f>
              <c:numCache>
                <c:formatCode>General</c:formatCode>
                <c:ptCount val="4"/>
                <c:pt idx="0">
                  <c:v>2</c:v>
                </c:pt>
                <c:pt idx="1">
                  <c:v>5</c:v>
                </c:pt>
                <c:pt idx="2">
                  <c:v>94.28</c:v>
                </c:pt>
                <c:pt idx="3">
                  <c:v>22.14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20713184931507"/>
          <c:y val="0.917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0</c:v>
                </c:pt>
                <c:pt idx="1">
                  <c:v>1.2</c:v>
                </c:pt>
                <c:pt idx="2">
                  <c:v>0.36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d42f28-6ed9-4981-b775-c8cb3ab21188}"/>
        <w:style w:val=""/>
        <w:category>
          <w:name w:val="常规"/>
          <w:gallery w:val="placeholder"/>
        </w:category>
        <w:types>
          <w:type w:val="bbPlcHdr"/>
        </w:types>
        <w:behaviors>
          <w:behavior w:val="content"/>
        </w:behaviors>
        <w:description w:val=""/>
        <w:guid w:val="{a9d42f28-6ed9-4981-b775-c8cb3ab21188}"/>
      </w:docPartPr>
      <w:docPartBody>
        <w:p>
          <w:r>
            <w:rPr>
              <w:color w:val="808080"/>
            </w:rPr>
            <w:t>单击此处输入文字。</w:t>
          </w:r>
        </w:p>
      </w:docPartBody>
    </w:docPart>
    <w:docPart>
      <w:docPartPr>
        <w:name w:val="{fa11d73f-a1c9-4d45-b9bd-ded4808d20a1}"/>
        <w:style w:val=""/>
        <w:category>
          <w:name w:val="常规"/>
          <w:gallery w:val="placeholder"/>
        </w:category>
        <w:types>
          <w:type w:val="bbPlcHdr"/>
        </w:types>
        <w:behaviors>
          <w:behavior w:val="content"/>
        </w:behaviors>
        <w:description w:val=""/>
        <w:guid w:val="{fa11d73f-a1c9-4d45-b9bd-ded4808d20a1}"/>
      </w:docPartPr>
      <w:docPartBody>
        <w:p>
          <w:r>
            <w:rPr>
              <w:color w:val="808080"/>
            </w:rPr>
            <w:t>单击此处输入文字。</w:t>
          </w:r>
        </w:p>
      </w:docPartBody>
    </w:docPart>
    <w:docPart>
      <w:docPartPr>
        <w:name w:val="{e8b1dfd0-6895-4a2d-9c89-7c9fcf655e17}"/>
        <w:style w:val=""/>
        <w:category>
          <w:name w:val="常规"/>
          <w:gallery w:val="placeholder"/>
        </w:category>
        <w:types>
          <w:type w:val="bbPlcHdr"/>
        </w:types>
        <w:behaviors>
          <w:behavior w:val="content"/>
        </w:behaviors>
        <w:description w:val=""/>
        <w:guid w:val="{e8b1dfd0-6895-4a2d-9c89-7c9fcf655e17}"/>
      </w:docPartPr>
      <w:docPartBody>
        <w:p>
          <w:r>
            <w:rPr>
              <w:color w:val="808080"/>
            </w:rPr>
            <w:t>单击此处输入文字。</w:t>
          </w:r>
        </w:p>
      </w:docPartBody>
    </w:docPart>
    <w:docPart>
      <w:docPartPr>
        <w:name w:val="{8e3c8807-ba24-40ed-ac3f-4c09f1d51cd2}"/>
        <w:style w:val=""/>
        <w:category>
          <w:name w:val="常规"/>
          <w:gallery w:val="placeholder"/>
        </w:category>
        <w:types>
          <w:type w:val="bbPlcHdr"/>
        </w:types>
        <w:behaviors>
          <w:behavior w:val="content"/>
        </w:behaviors>
        <w:description w:val=""/>
        <w:guid w:val="{8e3c8807-ba24-40ed-ac3f-4c09f1d51cd2}"/>
      </w:docPartPr>
      <w:docPartBody>
        <w:p>
          <w:r>
            <w:rPr>
              <w:color w:val="808080"/>
            </w:rPr>
            <w:t>单击此处输入文字。</w:t>
          </w:r>
        </w:p>
      </w:docPartBody>
    </w:docPart>
    <w:docPart>
      <w:docPartPr>
        <w:name w:val="{9c57224e-acab-4e20-baed-ab2e6a6b7a4a}"/>
        <w:style w:val=""/>
        <w:category>
          <w:name w:val="常规"/>
          <w:gallery w:val="placeholder"/>
        </w:category>
        <w:types>
          <w:type w:val="bbPlcHdr"/>
        </w:types>
        <w:behaviors>
          <w:behavior w:val="content"/>
        </w:behaviors>
        <w:description w:val=""/>
        <w:guid w:val="{9c57224e-acab-4e20-baed-ab2e6a6b7a4a}"/>
      </w:docPartPr>
      <w:docPartBody>
        <w:p>
          <w:r>
            <w:rPr>
              <w:color w:val="808080"/>
            </w:rPr>
            <w:t>单击此处输入文字。</w:t>
          </w:r>
        </w:p>
      </w:docPartBody>
    </w:docPart>
    <w:docPart>
      <w:docPartPr>
        <w:name w:val="{8ee34cdd-1933-489c-9f30-6ffa3a08b572}"/>
        <w:style w:val=""/>
        <w:category>
          <w:name w:val="常规"/>
          <w:gallery w:val="placeholder"/>
        </w:category>
        <w:types>
          <w:type w:val="bbPlcHdr"/>
        </w:types>
        <w:behaviors>
          <w:behavior w:val="content"/>
        </w:behaviors>
        <w:description w:val=""/>
        <w:guid w:val="{8ee34cdd-1933-489c-9f30-6ffa3a08b572}"/>
      </w:docPartPr>
      <w:docPartBody>
        <w:p>
          <w:r>
            <w:rPr>
              <w:color w:val="808080"/>
            </w:rPr>
            <w:t>单击此处输入文字。</w:t>
          </w:r>
        </w:p>
      </w:docPartBody>
    </w:docPart>
    <w:docPart>
      <w:docPartPr>
        <w:name w:val="{718e78f3-6e94-4b4a-ad21-c4e361324cf9}"/>
        <w:style w:val=""/>
        <w:category>
          <w:name w:val="常规"/>
          <w:gallery w:val="placeholder"/>
        </w:category>
        <w:types>
          <w:type w:val="bbPlcHdr"/>
        </w:types>
        <w:behaviors>
          <w:behavior w:val="content"/>
        </w:behaviors>
        <w:description w:val=""/>
        <w:guid w:val="{718e78f3-6e94-4b4a-ad21-c4e361324cf9}"/>
      </w:docPartPr>
      <w:docPartBody>
        <w:p>
          <w:r>
            <w:rPr>
              <w:color w:val="808080"/>
            </w:rPr>
            <w:t>单击此处输入文字。</w:t>
          </w:r>
        </w:p>
      </w:docPartBody>
    </w:docPart>
    <w:docPart>
      <w:docPartPr>
        <w:name w:val="{3b188757-0171-49e3-92b7-609be91de1ef}"/>
        <w:style w:val=""/>
        <w:category>
          <w:name w:val="常规"/>
          <w:gallery w:val="placeholder"/>
        </w:category>
        <w:types>
          <w:type w:val="bbPlcHdr"/>
        </w:types>
        <w:behaviors>
          <w:behavior w:val="content"/>
        </w:behaviors>
        <w:description w:val=""/>
        <w:guid w:val="{3b188757-0171-49e3-92b7-609be91de1ef}"/>
      </w:docPartPr>
      <w:docPartBody>
        <w:p>
          <w:r>
            <w:rPr>
              <w:color w:val="808080"/>
            </w:rPr>
            <w:t>单击此处输入文字。</w:t>
          </w:r>
        </w:p>
      </w:docPartBody>
    </w:docPart>
    <w:docPart>
      <w:docPartPr>
        <w:name w:val="{33a9def7-99a8-4c7c-bb96-8877144c2beb}"/>
        <w:style w:val=""/>
        <w:category>
          <w:name w:val="常规"/>
          <w:gallery w:val="placeholder"/>
        </w:category>
        <w:types>
          <w:type w:val="bbPlcHdr"/>
        </w:types>
        <w:behaviors>
          <w:behavior w:val="content"/>
        </w:behaviors>
        <w:description w:val=""/>
        <w:guid w:val="{33a9def7-99a8-4c7c-bb96-8877144c2beb}"/>
      </w:docPartPr>
      <w:docPartBody>
        <w:p>
          <w:r>
            <w:rPr>
              <w:color w:val="808080"/>
            </w:rPr>
            <w:t>单击此处输入文字。</w:t>
          </w:r>
        </w:p>
      </w:docPartBody>
    </w:docPart>
    <w:docPart>
      <w:docPartPr>
        <w:name w:val="{1177fcc0-dc54-4375-8948-efc43fe23227}"/>
        <w:style w:val=""/>
        <w:category>
          <w:name w:val="常规"/>
          <w:gallery w:val="placeholder"/>
        </w:category>
        <w:types>
          <w:type w:val="bbPlcHdr"/>
        </w:types>
        <w:behaviors>
          <w:behavior w:val="content"/>
        </w:behaviors>
        <w:description w:val=""/>
        <w:guid w:val="{1177fcc0-dc54-4375-8948-efc43fe23227}"/>
      </w:docPartPr>
      <w:docPartBody>
        <w:p>
          <w:r>
            <w:rPr>
              <w:color w:val="808080"/>
            </w:rPr>
            <w:t>单击此处输入文字。</w:t>
          </w:r>
        </w:p>
      </w:docPartBody>
    </w:docPart>
    <w:docPart>
      <w:docPartPr>
        <w:name w:val="{4f2cf72d-5cbc-4622-acde-77bca536e673}"/>
        <w:style w:val=""/>
        <w:category>
          <w:name w:val="常规"/>
          <w:gallery w:val="placeholder"/>
        </w:category>
        <w:types>
          <w:type w:val="bbPlcHdr"/>
        </w:types>
        <w:behaviors>
          <w:behavior w:val="content"/>
        </w:behaviors>
        <w:description w:val=""/>
        <w:guid w:val="{4f2cf72d-5cbc-4622-acde-77bca536e673}"/>
      </w:docPartPr>
      <w:docPartBody>
        <w:p>
          <w:r>
            <w:rPr>
              <w:color w:val="808080"/>
            </w:rPr>
            <w:t>单击此处输入文字。</w:t>
          </w:r>
        </w:p>
      </w:docPartBody>
    </w:docPart>
    <w:docPart>
      <w:docPartPr>
        <w:name w:val="{40b9f82e-add9-4e72-af7c-eaabfadcbc90}"/>
        <w:style w:val=""/>
        <w:category>
          <w:name w:val="常规"/>
          <w:gallery w:val="placeholder"/>
        </w:category>
        <w:types>
          <w:type w:val="bbPlcHdr"/>
        </w:types>
        <w:behaviors>
          <w:behavior w:val="content"/>
        </w:behaviors>
        <w:description w:val=""/>
        <w:guid w:val="{40b9f82e-add9-4e72-af7c-eaabfadcbc90}"/>
      </w:docPartPr>
      <w:docPartBody>
        <w:p>
          <w:r>
            <w:rPr>
              <w:color w:val="808080"/>
            </w:rPr>
            <w:t>单击此处输入文字。</w:t>
          </w:r>
        </w:p>
      </w:docPartBody>
    </w:docPart>
    <w:docPart>
      <w:docPartPr>
        <w:name w:val="{6cbff063-4e64-4b33-b540-809ff2a5a40b}"/>
        <w:style w:val=""/>
        <w:category>
          <w:name w:val="常规"/>
          <w:gallery w:val="placeholder"/>
        </w:category>
        <w:types>
          <w:type w:val="bbPlcHdr"/>
        </w:types>
        <w:behaviors>
          <w:behavior w:val="content"/>
        </w:behaviors>
        <w:description w:val=""/>
        <w:guid w:val="{6cbff063-4e64-4b33-b540-809ff2a5a40b}"/>
      </w:docPartPr>
      <w:docPartBody>
        <w:p>
          <w:r>
            <w:rPr>
              <w:color w:val="808080"/>
            </w:rPr>
            <w:t>单击此处输入文字。</w:t>
          </w:r>
        </w:p>
      </w:docPartBody>
    </w:docPart>
    <w:docPart>
      <w:docPartPr>
        <w:name w:val="{8ba1312b-22d3-49fa-956c-84f72061c2bc}"/>
        <w:style w:val=""/>
        <w:category>
          <w:name w:val="常规"/>
          <w:gallery w:val="placeholder"/>
        </w:category>
        <w:types>
          <w:type w:val="bbPlcHdr"/>
        </w:types>
        <w:behaviors>
          <w:behavior w:val="content"/>
        </w:behaviors>
        <w:description w:val=""/>
        <w:guid w:val="{8ba1312b-22d3-49fa-956c-84f72061c2bc}"/>
      </w:docPartPr>
      <w:docPartBody>
        <w:p>
          <w:r>
            <w:rPr>
              <w:color w:val="808080"/>
            </w:rPr>
            <w:t>单击此处输入文字。</w:t>
          </w:r>
        </w:p>
      </w:docPartBody>
    </w:docPart>
    <w:docPart>
      <w:docPartPr>
        <w:name w:val="{429494cd-17db-4dc6-9c47-24f520739fd1}"/>
        <w:style w:val=""/>
        <w:category>
          <w:name w:val="常规"/>
          <w:gallery w:val="placeholder"/>
        </w:category>
        <w:types>
          <w:type w:val="bbPlcHdr"/>
        </w:types>
        <w:behaviors>
          <w:behavior w:val="content"/>
        </w:behaviors>
        <w:description w:val=""/>
        <w:guid w:val="{429494cd-17db-4dc6-9c47-24f520739fd1}"/>
      </w:docPartPr>
      <w:docPartBody>
        <w:p>
          <w:r>
            <w:rPr>
              <w:color w:val="808080"/>
            </w:rPr>
            <w:t>单击此处输入文字。</w:t>
          </w:r>
        </w:p>
      </w:docPartBody>
    </w:docPart>
    <w:docPart>
      <w:docPartPr>
        <w:name w:val="{fe6d319f-f57a-444b-a839-0235fbe2814e}"/>
        <w:style w:val=""/>
        <w:category>
          <w:name w:val="常规"/>
          <w:gallery w:val="placeholder"/>
        </w:category>
        <w:types>
          <w:type w:val="bbPlcHdr"/>
        </w:types>
        <w:behaviors>
          <w:behavior w:val="content"/>
        </w:behaviors>
        <w:description w:val=""/>
        <w:guid w:val="{fe6d319f-f57a-444b-a839-0235fbe2814e}"/>
      </w:docPartPr>
      <w:docPartBody>
        <w:p>
          <w:r>
            <w:rPr>
              <w:color w:val="808080"/>
            </w:rPr>
            <w:t>单击此处输入文字。</w:t>
          </w:r>
        </w:p>
      </w:docPartBody>
    </w:docPart>
    <w:docPart>
      <w:docPartPr>
        <w:name w:val="{685fc4e8-6f48-43b3-b0c9-bb9c405eb64d}"/>
        <w:style w:val=""/>
        <w:category>
          <w:name w:val="常规"/>
          <w:gallery w:val="placeholder"/>
        </w:category>
        <w:types>
          <w:type w:val="bbPlcHdr"/>
        </w:types>
        <w:behaviors>
          <w:behavior w:val="content"/>
        </w:behaviors>
        <w:description w:val=""/>
        <w:guid w:val="{685fc4e8-6f48-43b3-b0c9-bb9c405eb64d}"/>
      </w:docPartPr>
      <w:docPartBody>
        <w:p>
          <w:r>
            <w:rPr>
              <w:color w:val="808080"/>
            </w:rPr>
            <w:t>单击此处输入文字。</w:t>
          </w:r>
        </w:p>
      </w:docPartBody>
    </w:docPart>
    <w:docPart>
      <w:docPartPr>
        <w:name w:val="{783f5b59-5150-4501-a508-0d183b1eb431}"/>
        <w:style w:val=""/>
        <w:category>
          <w:name w:val="常规"/>
          <w:gallery w:val="placeholder"/>
        </w:category>
        <w:types>
          <w:type w:val="bbPlcHdr"/>
        </w:types>
        <w:behaviors>
          <w:behavior w:val="content"/>
        </w:behaviors>
        <w:description w:val=""/>
        <w:guid w:val="{783f5b59-5150-4501-a508-0d183b1eb431}"/>
      </w:docPartPr>
      <w:docPartBody>
        <w:p>
          <w:r>
            <w:rPr>
              <w:color w:val="808080"/>
            </w:rPr>
            <w:t>单击此处输入文字。</w:t>
          </w:r>
        </w:p>
      </w:docPartBody>
    </w:docPart>
    <w:docPart>
      <w:docPartPr>
        <w:name w:val="{558b5fec-db4b-4948-975e-e4042ec5277e}"/>
        <w:style w:val=""/>
        <w:category>
          <w:name w:val="常规"/>
          <w:gallery w:val="placeholder"/>
        </w:category>
        <w:types>
          <w:type w:val="bbPlcHdr"/>
        </w:types>
        <w:behaviors>
          <w:behavior w:val="content"/>
        </w:behaviors>
        <w:description w:val=""/>
        <w:guid w:val="{558b5fec-db4b-4948-975e-e4042ec5277e}"/>
      </w:docPartPr>
      <w:docPartBody>
        <w:p>
          <w:r>
            <w:rPr>
              <w:color w:val="808080"/>
            </w:rPr>
            <w:t>单击此处输入文字。</w:t>
          </w:r>
        </w:p>
      </w:docPartBody>
    </w:docPart>
    <w:docPart>
      <w:docPartPr>
        <w:name w:val="{8ee9eeb5-8ec0-4cd6-aca7-9374b265e367}"/>
        <w:style w:val=""/>
        <w:category>
          <w:name w:val="常规"/>
          <w:gallery w:val="placeholder"/>
        </w:category>
        <w:types>
          <w:type w:val="bbPlcHdr"/>
        </w:types>
        <w:behaviors>
          <w:behavior w:val="content"/>
        </w:behaviors>
        <w:description w:val=""/>
        <w:guid w:val="{8ee9eeb5-8ec0-4cd6-aca7-9374b265e367}"/>
      </w:docPartPr>
      <w:docPartBody>
        <w:p>
          <w:r>
            <w:rPr>
              <w:color w:val="808080"/>
            </w:rPr>
            <w:t>单击此处输入文字。</w:t>
          </w:r>
        </w:p>
      </w:docPartBody>
    </w:docPart>
    <w:docPart>
      <w:docPartPr>
        <w:name w:val="{15edd476-da64-4498-931f-0201c0d8fef8}"/>
        <w:style w:val=""/>
        <w:category>
          <w:name w:val="常规"/>
          <w:gallery w:val="placeholder"/>
        </w:category>
        <w:types>
          <w:type w:val="bbPlcHdr"/>
        </w:types>
        <w:behaviors>
          <w:behavior w:val="content"/>
        </w:behaviors>
        <w:description w:val=""/>
        <w:guid w:val="{15edd476-da64-4498-931f-0201c0d8fef8}"/>
      </w:docPartPr>
      <w:docPartBody>
        <w:p>
          <w:r>
            <w:rPr>
              <w:color w:val="808080"/>
            </w:rPr>
            <w:t>单击此处输入文字。</w:t>
          </w:r>
        </w:p>
      </w:docPartBody>
    </w:docPart>
    <w:docPart>
      <w:docPartPr>
        <w:name w:val="{03e50876-ced6-439d-b13b-412f6067cb08}"/>
        <w:style w:val=""/>
        <w:category>
          <w:name w:val="常规"/>
          <w:gallery w:val="placeholder"/>
        </w:category>
        <w:types>
          <w:type w:val="bbPlcHdr"/>
        </w:types>
        <w:behaviors>
          <w:behavior w:val="content"/>
        </w:behaviors>
        <w:description w:val=""/>
        <w:guid w:val="{03e50876-ced6-439d-b13b-412f6067cb08}"/>
      </w:docPartPr>
      <w:docPartBody>
        <w:p>
          <w:r>
            <w:rPr>
              <w:color w:val="808080"/>
            </w:rPr>
            <w:t>单击此处输入文字。</w:t>
          </w:r>
        </w:p>
      </w:docPartBody>
    </w:docPart>
    <w:docPart>
      <w:docPartPr>
        <w:name w:val="{c625fd23-4772-4f58-8ac9-6e759eefe559}"/>
        <w:style w:val=""/>
        <w:category>
          <w:name w:val="常规"/>
          <w:gallery w:val="placeholder"/>
        </w:category>
        <w:types>
          <w:type w:val="bbPlcHdr"/>
        </w:types>
        <w:behaviors>
          <w:behavior w:val="content"/>
        </w:behaviors>
        <w:description w:val=""/>
        <w:guid w:val="{c625fd23-4772-4f58-8ac9-6e759eefe559}"/>
      </w:docPartPr>
      <w:docPartBody>
        <w:p>
          <w:r>
            <w:rPr>
              <w:color w:val="808080"/>
            </w:rPr>
            <w:t>单击此处输入文字。</w:t>
          </w:r>
        </w:p>
      </w:docPartBody>
    </w:docPart>
    <w:docPart>
      <w:docPartPr>
        <w:name w:val="{492c9a5a-8832-4d8b-b956-db803b8ff1fd}"/>
        <w:style w:val=""/>
        <w:category>
          <w:name w:val="常规"/>
          <w:gallery w:val="placeholder"/>
        </w:category>
        <w:types>
          <w:type w:val="bbPlcHdr"/>
        </w:types>
        <w:behaviors>
          <w:behavior w:val="content"/>
        </w:behaviors>
        <w:description w:val=""/>
        <w:guid w:val="{492c9a5a-8832-4d8b-b956-db803b8ff1fd}"/>
      </w:docPartPr>
      <w:docPartBody>
        <w:p>
          <w:r>
            <w:rPr>
              <w:color w:val="808080"/>
            </w:rPr>
            <w:t>单击此处输入文字。</w:t>
          </w:r>
        </w:p>
      </w:docPartBody>
    </w:docPart>
    <w:docPart>
      <w:docPartPr>
        <w:name w:val="{372c31da-f180-4a04-89e0-5a8a92959381}"/>
        <w:style w:val=""/>
        <w:category>
          <w:name w:val="常规"/>
          <w:gallery w:val="placeholder"/>
        </w:category>
        <w:types>
          <w:type w:val="bbPlcHdr"/>
        </w:types>
        <w:behaviors>
          <w:behavior w:val="content"/>
        </w:behaviors>
        <w:description w:val=""/>
        <w:guid w:val="{372c31da-f180-4a04-89e0-5a8a92959381}"/>
      </w:docPartPr>
      <w:docPartBody>
        <w:p>
          <w:r>
            <w:rPr>
              <w:color w:val="808080"/>
            </w:rPr>
            <w:t>单击此处输入文字。</w:t>
          </w:r>
        </w:p>
      </w:docPartBody>
    </w:docPart>
    <w:docPart>
      <w:docPartPr>
        <w:name w:val="{a97b4282-f60a-4487-95ae-1096b06774be}"/>
        <w:style w:val=""/>
        <w:category>
          <w:name w:val="常规"/>
          <w:gallery w:val="placeholder"/>
        </w:category>
        <w:types>
          <w:type w:val="bbPlcHdr"/>
        </w:types>
        <w:behaviors>
          <w:behavior w:val="content"/>
        </w:behaviors>
        <w:description w:val=""/>
        <w:guid w:val="{a97b4282-f60a-4487-95ae-1096b06774be}"/>
      </w:docPartPr>
      <w:docPartBody>
        <w:p>
          <w:r>
            <w:rPr>
              <w:color w:val="808080"/>
            </w:rPr>
            <w:t>单击此处输入文字。</w:t>
          </w:r>
        </w:p>
      </w:docPartBody>
    </w:docPart>
    <w:docPart>
      <w:docPartPr>
        <w:name w:val="{ba457731-df3b-4efb-b3ea-5f210fb54b05}"/>
        <w:style w:val=""/>
        <w:category>
          <w:name w:val="常规"/>
          <w:gallery w:val="placeholder"/>
        </w:category>
        <w:types>
          <w:type w:val="bbPlcHdr"/>
        </w:types>
        <w:behaviors>
          <w:behavior w:val="content"/>
        </w:behaviors>
        <w:description w:val=""/>
        <w:guid w:val="{ba457731-df3b-4efb-b3ea-5f210fb54b05}"/>
      </w:docPartPr>
      <w:docPartBody>
        <w:p>
          <w:r>
            <w:rPr>
              <w:color w:val="808080"/>
            </w:rPr>
            <w:t>单击此处输入文字。</w:t>
          </w:r>
        </w:p>
      </w:docPartBody>
    </w:docPart>
    <w:docPart>
      <w:docPartPr>
        <w:name w:val="{6d80a49c-37f1-46dc-aa7e-3e9be7f895a4}"/>
        <w:style w:val=""/>
        <w:category>
          <w:name w:val="常规"/>
          <w:gallery w:val="placeholder"/>
        </w:category>
        <w:types>
          <w:type w:val="bbPlcHdr"/>
        </w:types>
        <w:behaviors>
          <w:behavior w:val="content"/>
        </w:behaviors>
        <w:description w:val=""/>
        <w:guid w:val="{6d80a49c-37f1-46dc-aa7e-3e9be7f895a4}"/>
      </w:docPartPr>
      <w:docPartBody>
        <w:p>
          <w:r>
            <w:rPr>
              <w:color w:val="808080"/>
            </w:rPr>
            <w:t>单击此处输入文字。</w:t>
          </w:r>
        </w:p>
      </w:docPartBody>
    </w:docPart>
    <w:docPart>
      <w:docPartPr>
        <w:name w:val="{aca133d1-0d98-44cd-aaf8-7fec0b025f77}"/>
        <w:style w:val=""/>
        <w:category>
          <w:name w:val="常规"/>
          <w:gallery w:val="placeholder"/>
        </w:category>
        <w:types>
          <w:type w:val="bbPlcHdr"/>
        </w:types>
        <w:behaviors>
          <w:behavior w:val="content"/>
        </w:behaviors>
        <w:description w:val=""/>
        <w:guid w:val="{aca133d1-0d98-44cd-aaf8-7fec0b025f77}"/>
      </w:docPartPr>
      <w:docPartBody>
        <w:p>
          <w:r>
            <w:rPr>
              <w:color w:val="808080"/>
            </w:rPr>
            <w:t>单击此处输入文字。</w:t>
          </w:r>
        </w:p>
      </w:docPartBody>
    </w:docPart>
    <w:docPart>
      <w:docPartPr>
        <w:name w:val="{2f0c7366-9ebe-4ef9-9d66-c1167c8a1d54}"/>
        <w:style w:val=""/>
        <w:category>
          <w:name w:val="常规"/>
          <w:gallery w:val="placeholder"/>
        </w:category>
        <w:types>
          <w:type w:val="bbPlcHdr"/>
        </w:types>
        <w:behaviors>
          <w:behavior w:val="content"/>
        </w:behaviors>
        <w:description w:val=""/>
        <w:guid w:val="{2f0c7366-9ebe-4ef9-9d66-c1167c8a1d5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17</Pages>
  <Words>938</Words>
  <Characters>5352</Characters>
  <Lines>44</Lines>
  <Paragraphs>12</Paragraphs>
  <TotalTime>61</TotalTime>
  <ScaleCrop>false</ScaleCrop>
  <LinksUpToDate>false</LinksUpToDate>
  <CharactersWithSpaces>6278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办公室</cp:lastModifiedBy>
  <cp:lastPrinted>2022-08-06T02:23:00Z</cp:lastPrinted>
  <dcterms:modified xsi:type="dcterms:W3CDTF">2023-09-05T08:57:43Z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FE357EA966A5452EB9FA804541F2A8CC_12</vt:lpwstr>
  </property>
</Properties>
</file>