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321" w:rsidRDefault="00457321">
      <w:pPr>
        <w:spacing w:line="600" w:lineRule="exact"/>
        <w:jc w:val="center"/>
        <w:outlineLvl w:val="0"/>
        <w:rPr>
          <w:rFonts w:ascii="方正小标宋简体" w:eastAsia="方正小标宋简体" w:hAnsi="宋体"/>
          <w:sz w:val="72"/>
          <w:szCs w:val="72"/>
        </w:rPr>
      </w:pPr>
      <w:bookmarkStart w:id="0" w:name="_Toc15377193"/>
      <w:bookmarkStart w:id="1" w:name="_Toc15396597"/>
      <w:bookmarkStart w:id="2" w:name="_Toc15377425"/>
      <w:bookmarkStart w:id="3" w:name="_Toc15378441"/>
      <w:bookmarkStart w:id="4" w:name="_Toc15396475"/>
      <w:bookmarkStart w:id="5" w:name="_Toc15306267"/>
    </w:p>
    <w:p w:rsidR="00457321" w:rsidRDefault="00457321">
      <w:pPr>
        <w:spacing w:line="600" w:lineRule="exact"/>
        <w:jc w:val="center"/>
        <w:outlineLvl w:val="0"/>
        <w:rPr>
          <w:rFonts w:ascii="方正小标宋简体" w:eastAsia="方正小标宋简体" w:hAnsi="宋体"/>
          <w:sz w:val="72"/>
          <w:szCs w:val="72"/>
        </w:rPr>
      </w:pPr>
    </w:p>
    <w:p w:rsidR="00457321" w:rsidRDefault="00457321">
      <w:pPr>
        <w:spacing w:line="600" w:lineRule="exact"/>
        <w:jc w:val="center"/>
        <w:outlineLvl w:val="0"/>
        <w:rPr>
          <w:rFonts w:ascii="方正小标宋简体" w:eastAsia="方正小标宋简体" w:hAnsi="宋体"/>
          <w:sz w:val="72"/>
          <w:szCs w:val="72"/>
        </w:rPr>
      </w:pPr>
    </w:p>
    <w:p w:rsidR="00457321" w:rsidRDefault="00457321">
      <w:pPr>
        <w:spacing w:line="600" w:lineRule="exact"/>
        <w:jc w:val="center"/>
        <w:outlineLvl w:val="0"/>
        <w:rPr>
          <w:rFonts w:ascii="方正小标宋简体" w:eastAsia="方正小标宋简体" w:hAnsi="宋体"/>
          <w:sz w:val="72"/>
          <w:szCs w:val="72"/>
        </w:rPr>
      </w:pPr>
    </w:p>
    <w:p w:rsidR="00457321" w:rsidRDefault="006572CB">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2021年度</w:t>
      </w:r>
      <w:bookmarkEnd w:id="0"/>
      <w:bookmarkEnd w:id="1"/>
      <w:bookmarkEnd w:id="2"/>
      <w:bookmarkEnd w:id="3"/>
      <w:bookmarkEnd w:id="4"/>
    </w:p>
    <w:p w:rsidR="00457321" w:rsidRDefault="00C22BD0">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15396476"/>
      <w:bookmarkStart w:id="7" w:name="_Toc15377426"/>
      <w:bookmarkStart w:id="8" w:name="_Toc15377194"/>
      <w:bookmarkStart w:id="9" w:name="_Toc15396598"/>
      <w:bookmarkStart w:id="10" w:name="_Toc15378442"/>
      <w:r>
        <w:rPr>
          <w:rFonts w:ascii="方正小标宋简体" w:eastAsia="方正小标宋简体" w:hAnsi="方正小标宋简体" w:cs="方正小标宋简体" w:hint="eastAsia"/>
          <w:sz w:val="72"/>
          <w:szCs w:val="72"/>
        </w:rPr>
        <w:t>盐边县</w:t>
      </w:r>
      <w:bookmarkStart w:id="11" w:name="_Toc15306268"/>
      <w:bookmarkEnd w:id="5"/>
      <w:r w:rsidR="00567424">
        <w:rPr>
          <w:rFonts w:ascii="方正小标宋简体" w:eastAsia="方正小标宋简体" w:hAnsi="方正小标宋简体" w:cs="方正小标宋简体" w:hint="eastAsia"/>
          <w:sz w:val="72"/>
          <w:szCs w:val="72"/>
        </w:rPr>
        <w:t>自然资源和规划局</w:t>
      </w:r>
      <w:r w:rsidR="006572CB">
        <w:rPr>
          <w:rFonts w:ascii="方正小标宋简体" w:eastAsia="方正小标宋简体" w:hAnsi="方正小标宋简体" w:cs="方正小标宋简体" w:hint="eastAsia"/>
          <w:sz w:val="72"/>
          <w:szCs w:val="72"/>
        </w:rPr>
        <w:t>部门决算</w:t>
      </w:r>
      <w:bookmarkEnd w:id="6"/>
      <w:bookmarkEnd w:id="7"/>
      <w:bookmarkEnd w:id="8"/>
      <w:bookmarkEnd w:id="9"/>
      <w:bookmarkEnd w:id="10"/>
      <w:bookmarkEnd w:id="11"/>
    </w:p>
    <w:p w:rsidR="00457321" w:rsidRDefault="00457321">
      <w:pPr>
        <w:adjustRightInd w:val="0"/>
        <w:snapToGrid w:val="0"/>
        <w:spacing w:line="360" w:lineRule="auto"/>
        <w:jc w:val="center"/>
        <w:outlineLvl w:val="0"/>
        <w:rPr>
          <w:rFonts w:ascii="方正小标宋简体" w:eastAsia="方正小标宋简体" w:hAnsi="宋体"/>
          <w:sz w:val="52"/>
          <w:szCs w:val="52"/>
        </w:rPr>
      </w:pPr>
    </w:p>
    <w:p w:rsidR="00457321" w:rsidRDefault="006572CB">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457321" w:rsidRDefault="00457321">
      <w:pPr>
        <w:widowControl/>
        <w:jc w:val="center"/>
        <w:rPr>
          <w:rFonts w:ascii="黑体" w:eastAsia="黑体" w:hAnsi="黑体" w:cstheme="minorBidi"/>
          <w:sz w:val="28"/>
          <w:szCs w:val="28"/>
        </w:rPr>
      </w:pPr>
    </w:p>
    <w:p w:rsidR="00457321" w:rsidRDefault="006572CB">
      <w:pPr>
        <w:pStyle w:val="10"/>
      </w:pPr>
      <w:r>
        <w:rPr>
          <w:rFonts w:hint="eastAsia"/>
        </w:rPr>
        <w:t>公开时间：2022年</w:t>
      </w:r>
      <w:r w:rsidR="00411F7A">
        <w:rPr>
          <w:rFonts w:hint="eastAsia"/>
        </w:rPr>
        <w:t>10</w:t>
      </w:r>
      <w:r>
        <w:rPr>
          <w:rFonts w:hint="eastAsia"/>
        </w:rPr>
        <w:t>月</w:t>
      </w:r>
      <w:r w:rsidR="00411F7A">
        <w:rPr>
          <w:rFonts w:hint="eastAsia"/>
        </w:rPr>
        <w:t>20</w:t>
      </w:r>
      <w:r>
        <w:rPr>
          <w:rFonts w:hint="eastAsia"/>
        </w:rPr>
        <w:t>日</w:t>
      </w:r>
    </w:p>
    <w:p w:rsidR="00457321" w:rsidRDefault="00457321"/>
    <w:p w:rsidR="00457321" w:rsidRDefault="006572CB">
      <w:pPr>
        <w:pStyle w:val="10"/>
        <w:adjustRightInd w:val="0"/>
        <w:snapToGrid w:val="0"/>
        <w:spacing w:before="0" w:line="440" w:lineRule="exact"/>
        <w:jc w:val="left"/>
        <w:rPr>
          <w:rFonts w:cstheme="minorBidi"/>
          <w:sz w:val="24"/>
          <w:szCs w:val="24"/>
        </w:rPr>
      </w:pPr>
      <w:r>
        <w:rPr>
          <w:rFonts w:hint="eastAsia"/>
          <w:sz w:val="24"/>
        </w:rPr>
        <w:t>第一部分</w:t>
      </w:r>
      <w:r w:rsidR="00DC4599">
        <w:rPr>
          <w:rFonts w:hint="eastAsia"/>
          <w:sz w:val="24"/>
        </w:rPr>
        <w:t xml:space="preserve"> </w:t>
      </w:r>
      <w:r>
        <w:rPr>
          <w:rFonts w:hint="eastAsia"/>
          <w:sz w:val="24"/>
        </w:rPr>
        <w:t>部门概况</w:t>
      </w:r>
      <w:r w:rsidR="00DC4599">
        <w:rPr>
          <w:rFonts w:hint="eastAsia"/>
          <w:sz w:val="24"/>
        </w:rPr>
        <w:t xml:space="preserve">                                                   </w:t>
      </w:r>
      <w:r w:rsidR="00DC4599">
        <w:rPr>
          <w:sz w:val="24"/>
        </w:rPr>
        <w:t>4</w:t>
      </w:r>
    </w:p>
    <w:p w:rsidR="00457321" w:rsidRDefault="006572CB">
      <w:pPr>
        <w:pStyle w:val="20"/>
        <w:adjustRightInd w:val="0"/>
        <w:snapToGrid w:val="0"/>
        <w:spacing w:line="440" w:lineRule="exact"/>
        <w:jc w:val="left"/>
        <w:rPr>
          <w:rFonts w:ascii="仿宋" w:eastAsia="仿宋" w:hAnsi="仿宋"/>
          <w:sz w:val="24"/>
        </w:rPr>
      </w:pPr>
      <w:r>
        <w:rPr>
          <w:rFonts w:hint="eastAsia"/>
          <w:sz w:val="24"/>
        </w:rPr>
        <w:t>一、基本职能及主要工作</w:t>
      </w:r>
      <w:r w:rsidR="00DC4599">
        <w:rPr>
          <w:rFonts w:hint="eastAsia"/>
          <w:sz w:val="24"/>
        </w:rPr>
        <w:t xml:space="preserve">                 </w:t>
      </w:r>
      <w:r w:rsidR="00DC4599">
        <w:rPr>
          <w:rFonts w:hint="eastAsia"/>
          <w:sz w:val="24"/>
        </w:rPr>
        <w:t xml:space="preserve">                          </w:t>
      </w:r>
      <w:r w:rsidR="00DC4599">
        <w:rPr>
          <w:sz w:val="24"/>
        </w:rPr>
        <w:t>4</w:t>
      </w:r>
    </w:p>
    <w:p w:rsidR="00457321" w:rsidRDefault="006572CB">
      <w:pPr>
        <w:pStyle w:val="20"/>
        <w:adjustRightInd w:val="0"/>
        <w:snapToGrid w:val="0"/>
        <w:spacing w:line="440" w:lineRule="exact"/>
        <w:jc w:val="left"/>
        <w:rPr>
          <w:rFonts w:ascii="仿宋" w:eastAsia="仿宋" w:hAnsi="仿宋" w:cstheme="minorBidi"/>
          <w:sz w:val="24"/>
        </w:rPr>
      </w:pPr>
      <w:r>
        <w:rPr>
          <w:rFonts w:hint="eastAsia"/>
          <w:sz w:val="24"/>
        </w:rPr>
        <w:t>二、机构设置</w:t>
      </w:r>
      <w:r w:rsidR="00DC4599">
        <w:rPr>
          <w:rFonts w:hint="eastAsia"/>
          <w:sz w:val="24"/>
        </w:rPr>
        <w:t xml:space="preserve">                         </w:t>
      </w:r>
      <w:r w:rsidR="00DC4599">
        <w:rPr>
          <w:rFonts w:hint="eastAsia"/>
          <w:sz w:val="24"/>
        </w:rPr>
        <w:t xml:space="preserve">          </w:t>
      </w:r>
      <w:r w:rsidR="00DC4599">
        <w:rPr>
          <w:rFonts w:hint="eastAsia"/>
          <w:sz w:val="24"/>
        </w:rPr>
        <w:t xml:space="preserve">                  </w:t>
      </w:r>
      <w:r w:rsidR="00DC4599">
        <w:rPr>
          <w:rFonts w:hint="eastAsia"/>
          <w:sz w:val="24"/>
        </w:rPr>
        <w:t>9</w:t>
      </w:r>
    </w:p>
    <w:p w:rsidR="00457321" w:rsidRDefault="006572CB" w:rsidP="00DC4599">
      <w:pPr>
        <w:pStyle w:val="10"/>
        <w:adjustRightInd w:val="0"/>
        <w:snapToGrid w:val="0"/>
        <w:spacing w:before="0" w:line="440" w:lineRule="exact"/>
        <w:jc w:val="left"/>
        <w:rPr>
          <w:sz w:val="24"/>
          <w:szCs w:val="24"/>
        </w:rPr>
      </w:pPr>
      <w:r>
        <w:rPr>
          <w:rFonts w:hint="eastAsia"/>
          <w:sz w:val="24"/>
        </w:rPr>
        <w:t>第二部分 2021年度部门决算情况说明</w:t>
      </w:r>
      <w:r w:rsidR="00DC4599">
        <w:rPr>
          <w:rFonts w:hint="eastAsia"/>
          <w:sz w:val="24"/>
        </w:rPr>
        <w:t xml:space="preserve">                             </w:t>
      </w:r>
      <w:r w:rsidR="00DC4599">
        <w:rPr>
          <w:rFonts w:hint="eastAsia"/>
          <w:sz w:val="24"/>
        </w:rPr>
        <w:t xml:space="preserve"> </w:t>
      </w:r>
      <w:r w:rsidR="00DC4599">
        <w:rPr>
          <w:rFonts w:hint="eastAsia"/>
          <w:sz w:val="24"/>
        </w:rPr>
        <w:t xml:space="preserve">   </w:t>
      </w:r>
      <w:r w:rsidR="00DC4599">
        <w:rPr>
          <w:rFonts w:hint="eastAsia"/>
          <w:sz w:val="24"/>
        </w:rPr>
        <w:t>10</w:t>
      </w:r>
    </w:p>
    <w:p w:rsidR="00457321" w:rsidRDefault="006572CB">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r w:rsidR="00DC4599">
        <w:rPr>
          <w:rFonts w:hint="eastAsia"/>
          <w:sz w:val="24"/>
        </w:rPr>
        <w:t xml:space="preserve">                   </w:t>
      </w:r>
      <w:r w:rsidR="00DC4599">
        <w:rPr>
          <w:rFonts w:hint="eastAsia"/>
          <w:sz w:val="24"/>
        </w:rPr>
        <w:t xml:space="preserve"> </w:t>
      </w:r>
      <w:r w:rsidR="00DC4599">
        <w:rPr>
          <w:rFonts w:hint="eastAsia"/>
          <w:sz w:val="24"/>
        </w:rPr>
        <w:t xml:space="preserve">   </w:t>
      </w:r>
      <w:r w:rsidR="00DC4599">
        <w:rPr>
          <w:rFonts w:hint="eastAsia"/>
          <w:sz w:val="24"/>
        </w:rPr>
        <w:t xml:space="preserve">  </w:t>
      </w:r>
      <w:r w:rsidR="00DC4599">
        <w:rPr>
          <w:rFonts w:hint="eastAsia"/>
          <w:sz w:val="24"/>
        </w:rPr>
        <w:t xml:space="preserve">           10</w:t>
      </w:r>
    </w:p>
    <w:p w:rsidR="00457321" w:rsidRDefault="006572CB">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r w:rsidR="00DC4599">
        <w:rPr>
          <w:rFonts w:hint="eastAsia"/>
          <w:sz w:val="24"/>
        </w:rPr>
        <w:t xml:space="preserve">                     </w:t>
      </w:r>
      <w:r w:rsidR="00DC4599">
        <w:rPr>
          <w:rFonts w:hint="eastAsia"/>
          <w:sz w:val="24"/>
        </w:rPr>
        <w:t xml:space="preserve">           </w:t>
      </w:r>
      <w:r w:rsidR="00DC4599">
        <w:rPr>
          <w:rFonts w:hint="eastAsia"/>
          <w:sz w:val="24"/>
        </w:rPr>
        <w:t xml:space="preserve">            10</w:t>
      </w:r>
    </w:p>
    <w:p w:rsidR="00457321" w:rsidRDefault="006572CB">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r w:rsidR="00DC4599">
        <w:rPr>
          <w:rFonts w:hint="eastAsia"/>
          <w:sz w:val="24"/>
        </w:rPr>
        <w:t xml:space="preserve">                      </w:t>
      </w:r>
      <w:r w:rsidR="00DC4599">
        <w:rPr>
          <w:rFonts w:hint="eastAsia"/>
          <w:sz w:val="24"/>
        </w:rPr>
        <w:t xml:space="preserve">           </w:t>
      </w:r>
      <w:r w:rsidR="00DC4599">
        <w:rPr>
          <w:rFonts w:hint="eastAsia"/>
          <w:sz w:val="24"/>
        </w:rPr>
        <w:t xml:space="preserve">           1</w:t>
      </w:r>
      <w:r w:rsidR="00DC4599">
        <w:rPr>
          <w:rFonts w:hint="eastAsia"/>
          <w:sz w:val="24"/>
        </w:rPr>
        <w:t>1</w:t>
      </w:r>
      <w:bookmarkStart w:id="12" w:name="_GoBack"/>
      <w:bookmarkEnd w:id="12"/>
    </w:p>
    <w:p w:rsidR="00457321" w:rsidRDefault="006572CB">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r w:rsidR="00DC4599">
        <w:rPr>
          <w:rFonts w:hint="eastAsia"/>
          <w:sz w:val="24"/>
        </w:rPr>
        <w:t xml:space="preserve">                 </w:t>
      </w:r>
      <w:r w:rsidR="00DC4599">
        <w:rPr>
          <w:rFonts w:hint="eastAsia"/>
          <w:sz w:val="24"/>
        </w:rPr>
        <w:t xml:space="preserve">           </w:t>
      </w:r>
      <w:r w:rsidR="00DC4599">
        <w:rPr>
          <w:rFonts w:hint="eastAsia"/>
          <w:sz w:val="24"/>
        </w:rPr>
        <w:t>1</w:t>
      </w:r>
      <w:r w:rsidR="00DC4599">
        <w:rPr>
          <w:rFonts w:hint="eastAsia"/>
          <w:sz w:val="24"/>
        </w:rPr>
        <w:t>2</w:t>
      </w:r>
    </w:p>
    <w:p w:rsidR="00457321" w:rsidRDefault="006572CB">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r w:rsidR="00DC4599">
        <w:rPr>
          <w:rFonts w:hint="eastAsia"/>
          <w:sz w:val="24"/>
        </w:rPr>
        <w:t xml:space="preserve">                        12</w:t>
      </w:r>
    </w:p>
    <w:p w:rsidR="00457321" w:rsidRDefault="006572CB">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r w:rsidR="00DC4599">
        <w:rPr>
          <w:rFonts w:hint="eastAsia"/>
          <w:sz w:val="24"/>
        </w:rPr>
        <w:t xml:space="preserve">                    </w:t>
      </w:r>
      <w:r w:rsidR="00DC4599">
        <w:rPr>
          <w:rFonts w:hint="eastAsia"/>
          <w:sz w:val="24"/>
        </w:rPr>
        <w:t>17</w:t>
      </w:r>
    </w:p>
    <w:p w:rsidR="00457321" w:rsidRDefault="006572CB">
      <w:pPr>
        <w:pStyle w:val="20"/>
        <w:adjustRightInd w:val="0"/>
        <w:snapToGrid w:val="0"/>
        <w:spacing w:line="440" w:lineRule="exact"/>
        <w:jc w:val="left"/>
        <w:rPr>
          <w:rFonts w:ascii="仿宋" w:eastAsia="仿宋" w:hAnsi="仿宋" w:cstheme="minorBidi"/>
          <w:sz w:val="24"/>
        </w:rPr>
      </w:pPr>
      <w:r>
        <w:rPr>
          <w:rFonts w:hint="eastAsia"/>
          <w:sz w:val="24"/>
        </w:rPr>
        <w:t>七、“三公”经费财政拨款支出决算情况说明</w:t>
      </w:r>
      <w:r w:rsidR="00DC4599">
        <w:rPr>
          <w:rFonts w:hint="eastAsia"/>
          <w:sz w:val="24"/>
        </w:rPr>
        <w:t xml:space="preserve">                     </w:t>
      </w:r>
      <w:r w:rsidR="00DC4599">
        <w:rPr>
          <w:rFonts w:hint="eastAsia"/>
          <w:sz w:val="24"/>
        </w:rPr>
        <w:t xml:space="preserve"> </w:t>
      </w:r>
      <w:r w:rsidR="00DC4599">
        <w:rPr>
          <w:rFonts w:hint="eastAsia"/>
          <w:sz w:val="24"/>
        </w:rPr>
        <w:t xml:space="preserve">   1</w:t>
      </w:r>
      <w:r w:rsidR="00DC4599">
        <w:rPr>
          <w:rFonts w:hint="eastAsia"/>
          <w:sz w:val="24"/>
        </w:rPr>
        <w:t>7</w:t>
      </w:r>
    </w:p>
    <w:p w:rsidR="00457321" w:rsidRDefault="006572CB">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r w:rsidR="00DC4599">
        <w:rPr>
          <w:rFonts w:hint="eastAsia"/>
          <w:sz w:val="24"/>
        </w:rPr>
        <w:t xml:space="preserve">            </w:t>
      </w:r>
      <w:r w:rsidR="00DC4599">
        <w:rPr>
          <w:rFonts w:hint="eastAsia"/>
          <w:sz w:val="24"/>
        </w:rPr>
        <w:t xml:space="preserve">      </w:t>
      </w:r>
      <w:r w:rsidR="00DC4599">
        <w:rPr>
          <w:rFonts w:hint="eastAsia"/>
          <w:sz w:val="24"/>
        </w:rPr>
        <w:t xml:space="preserve">            1</w:t>
      </w:r>
      <w:r w:rsidR="00DC4599">
        <w:rPr>
          <w:rFonts w:hint="eastAsia"/>
          <w:sz w:val="24"/>
        </w:rPr>
        <w:t>9</w:t>
      </w:r>
    </w:p>
    <w:p w:rsidR="00457321" w:rsidRDefault="006572CB">
      <w:pPr>
        <w:pStyle w:val="20"/>
        <w:adjustRightInd w:val="0"/>
        <w:snapToGrid w:val="0"/>
        <w:spacing w:line="440" w:lineRule="exact"/>
        <w:ind w:leftChars="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九、国有资本经营预算支出决算情况说明</w:t>
      </w:r>
      <w:r w:rsidR="00DC4599">
        <w:rPr>
          <w:rFonts w:hint="eastAsia"/>
          <w:sz w:val="24"/>
        </w:rPr>
        <w:t xml:space="preserve">                            19</w:t>
      </w:r>
    </w:p>
    <w:p w:rsidR="00457321" w:rsidRDefault="006572CB">
      <w:pPr>
        <w:adjustRightInd w:val="0"/>
        <w:snapToGrid w:val="0"/>
        <w:spacing w:line="440" w:lineRule="exact"/>
        <w:ind w:firstLineChars="175" w:firstLine="420"/>
        <w:jc w:val="left"/>
        <w:rPr>
          <w:rFonts w:asciiTheme="minorEastAsia" w:eastAsiaTheme="minorEastAsia" w:hAnsiTheme="minorEastAsia" w:cstheme="minorEastAsia"/>
          <w:sz w:val="24"/>
        </w:rPr>
      </w:pPr>
      <w:r>
        <w:rPr>
          <w:rStyle w:val="a8"/>
          <w:rFonts w:asciiTheme="minorEastAsia" w:eastAsiaTheme="minorEastAsia" w:hAnsiTheme="minorEastAsia" w:cstheme="minorEastAsia" w:hint="eastAsia"/>
          <w:color w:val="auto"/>
          <w:sz w:val="24"/>
          <w:u w:val="none"/>
        </w:rPr>
        <w:t>十、</w:t>
      </w:r>
      <w:r>
        <w:rPr>
          <w:rFonts w:asciiTheme="minorEastAsia" w:eastAsiaTheme="minorEastAsia" w:hAnsiTheme="minorEastAsia" w:cstheme="minorEastAsia" w:hint="eastAsia"/>
          <w:sz w:val="24"/>
        </w:rPr>
        <w:t>其他重要事项的情况说明</w:t>
      </w:r>
      <w:r>
        <w:rPr>
          <w:rFonts w:asciiTheme="minorEastAsia" w:eastAsiaTheme="minorEastAsia" w:hAnsiTheme="minorEastAsia" w:cstheme="minorEastAsia" w:hint="eastAsia"/>
          <w:sz w:val="24"/>
        </w:rPr>
        <w:tab/>
      </w:r>
      <w:r w:rsidR="00DC4599">
        <w:rPr>
          <w:rFonts w:hint="eastAsia"/>
          <w:sz w:val="24"/>
        </w:rPr>
        <w:t xml:space="preserve">                    </w:t>
      </w:r>
      <w:r w:rsidR="00DC4599">
        <w:rPr>
          <w:rFonts w:hint="eastAsia"/>
          <w:sz w:val="24"/>
        </w:rPr>
        <w:t xml:space="preserve">        </w:t>
      </w:r>
      <w:r w:rsidR="00DC4599">
        <w:rPr>
          <w:rFonts w:hint="eastAsia"/>
          <w:sz w:val="24"/>
        </w:rPr>
        <w:t xml:space="preserve">       19</w:t>
      </w:r>
    </w:p>
    <w:p w:rsidR="00457321" w:rsidRDefault="006572CB">
      <w:pPr>
        <w:pStyle w:val="10"/>
        <w:adjustRightInd w:val="0"/>
        <w:snapToGrid w:val="0"/>
        <w:spacing w:before="0" w:line="440" w:lineRule="exact"/>
        <w:jc w:val="left"/>
        <w:rPr>
          <w:rFonts w:cstheme="minorBidi"/>
          <w:sz w:val="24"/>
          <w:szCs w:val="24"/>
        </w:rPr>
      </w:pPr>
      <w:r>
        <w:rPr>
          <w:rFonts w:hint="eastAsia"/>
          <w:sz w:val="24"/>
        </w:rPr>
        <w:t>第三部分</w:t>
      </w:r>
      <w:r w:rsidR="00DC4599">
        <w:rPr>
          <w:rFonts w:hint="eastAsia"/>
          <w:sz w:val="24"/>
        </w:rPr>
        <w:t xml:space="preserve"> </w:t>
      </w:r>
      <w:r>
        <w:rPr>
          <w:rFonts w:hint="eastAsia"/>
          <w:sz w:val="24"/>
        </w:rPr>
        <w:t>名词解释</w:t>
      </w:r>
      <w:r w:rsidR="00DC4599">
        <w:rPr>
          <w:rFonts w:hint="eastAsia"/>
          <w:sz w:val="24"/>
        </w:rPr>
        <w:t xml:space="preserve">      </w:t>
      </w:r>
      <w:r w:rsidR="00DC4599">
        <w:rPr>
          <w:rFonts w:hint="eastAsia"/>
          <w:sz w:val="24"/>
        </w:rPr>
        <w:t xml:space="preserve">                </w:t>
      </w:r>
      <w:r w:rsidR="00DC4599">
        <w:rPr>
          <w:rFonts w:hint="eastAsia"/>
          <w:sz w:val="24"/>
        </w:rPr>
        <w:t xml:space="preserve">                            </w:t>
      </w:r>
      <w:r w:rsidR="00DC4599">
        <w:rPr>
          <w:rFonts w:hint="eastAsia"/>
          <w:sz w:val="24"/>
        </w:rPr>
        <w:t>21</w:t>
      </w:r>
    </w:p>
    <w:p w:rsidR="00457321" w:rsidRDefault="006572CB">
      <w:pPr>
        <w:pStyle w:val="10"/>
        <w:adjustRightInd w:val="0"/>
        <w:snapToGrid w:val="0"/>
        <w:spacing w:before="0" w:line="440" w:lineRule="exact"/>
        <w:jc w:val="left"/>
        <w:rPr>
          <w:rFonts w:cstheme="minorBidi"/>
          <w:sz w:val="24"/>
          <w:szCs w:val="24"/>
        </w:rPr>
      </w:pPr>
      <w:r>
        <w:rPr>
          <w:rFonts w:hint="eastAsia"/>
          <w:sz w:val="24"/>
        </w:rPr>
        <w:t>第四部分</w:t>
      </w:r>
      <w:r w:rsidR="00DC4599">
        <w:rPr>
          <w:rFonts w:hint="eastAsia"/>
          <w:sz w:val="24"/>
        </w:rPr>
        <w:t xml:space="preserve"> </w:t>
      </w:r>
      <w:r>
        <w:rPr>
          <w:rFonts w:hint="eastAsia"/>
          <w:sz w:val="24"/>
        </w:rPr>
        <w:t>附件</w:t>
      </w:r>
      <w:r w:rsidR="00DC4599">
        <w:rPr>
          <w:rFonts w:hint="eastAsia"/>
          <w:sz w:val="24"/>
        </w:rPr>
        <w:t xml:space="preserve">                                             </w:t>
      </w:r>
      <w:r w:rsidR="00DC4599">
        <w:rPr>
          <w:rFonts w:hint="eastAsia"/>
          <w:sz w:val="24"/>
        </w:rPr>
        <w:t xml:space="preserve">    </w:t>
      </w:r>
      <w:r w:rsidR="00DC4599">
        <w:rPr>
          <w:rFonts w:hint="eastAsia"/>
          <w:sz w:val="24"/>
        </w:rPr>
        <w:t xml:space="preserve">     2</w:t>
      </w:r>
      <w:r w:rsidR="00DC4599">
        <w:rPr>
          <w:rFonts w:hint="eastAsia"/>
          <w:sz w:val="24"/>
        </w:rPr>
        <w:t>5</w:t>
      </w:r>
    </w:p>
    <w:p w:rsidR="00457321" w:rsidRDefault="006572CB">
      <w:pPr>
        <w:pStyle w:val="10"/>
        <w:adjustRightInd w:val="0"/>
        <w:snapToGrid w:val="0"/>
        <w:spacing w:before="0" w:line="440" w:lineRule="exact"/>
        <w:jc w:val="left"/>
        <w:rPr>
          <w:rFonts w:cstheme="minorBidi"/>
          <w:sz w:val="24"/>
          <w:szCs w:val="24"/>
        </w:rPr>
      </w:pPr>
      <w:r>
        <w:rPr>
          <w:rFonts w:hint="eastAsia"/>
          <w:sz w:val="24"/>
        </w:rPr>
        <w:t>第五部分</w:t>
      </w:r>
      <w:r w:rsidR="00DC4599">
        <w:rPr>
          <w:rFonts w:hint="eastAsia"/>
          <w:sz w:val="24"/>
        </w:rPr>
        <w:t xml:space="preserve"> </w:t>
      </w:r>
      <w:r>
        <w:rPr>
          <w:rFonts w:hint="eastAsia"/>
          <w:sz w:val="24"/>
        </w:rPr>
        <w:t>附表</w:t>
      </w:r>
      <w:r w:rsidR="00DC4599">
        <w:rPr>
          <w:rFonts w:hint="eastAsia"/>
          <w:sz w:val="24"/>
        </w:rPr>
        <w:t xml:space="preserve">                </w:t>
      </w:r>
      <w:r w:rsidR="00DC4599">
        <w:rPr>
          <w:rFonts w:hint="eastAsia"/>
          <w:sz w:val="24"/>
        </w:rPr>
        <w:t xml:space="preserve">   </w:t>
      </w:r>
      <w:r w:rsidR="00DC4599">
        <w:rPr>
          <w:rFonts w:hint="eastAsia"/>
          <w:sz w:val="24"/>
        </w:rPr>
        <w:t xml:space="preserve">                                   </w:t>
      </w:r>
      <w:r w:rsidR="00DC4599">
        <w:rPr>
          <w:rFonts w:hint="eastAsia"/>
          <w:sz w:val="24"/>
        </w:rPr>
        <w:t>37</w:t>
      </w:r>
    </w:p>
    <w:p w:rsidR="00457321" w:rsidRDefault="006572CB">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一、</w:t>
      </w:r>
      <w:r>
        <w:rPr>
          <w:rFonts w:hint="eastAsia"/>
          <w:sz w:val="24"/>
        </w:rPr>
        <w:t>收入支出决算总表</w:t>
      </w:r>
    </w:p>
    <w:p w:rsidR="00457321" w:rsidRDefault="006572CB">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二、收入决算表</w:t>
      </w:r>
    </w:p>
    <w:p w:rsidR="00457321" w:rsidRDefault="006572CB">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三、支出决算表</w:t>
      </w:r>
    </w:p>
    <w:p w:rsidR="00457321" w:rsidRDefault="006572CB">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四、财政拨款收入支出决算总表</w:t>
      </w:r>
    </w:p>
    <w:p w:rsidR="00457321" w:rsidRDefault="006572CB">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五、财政拨款支出决算明细表</w:t>
      </w:r>
    </w:p>
    <w:p w:rsidR="00457321" w:rsidRDefault="006572CB">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六、一般公共预算财政拨款支出决算表</w:t>
      </w:r>
    </w:p>
    <w:p w:rsidR="00457321" w:rsidRDefault="006572CB">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七、一般公共预算财政拨款支出决算明细表</w:t>
      </w:r>
    </w:p>
    <w:p w:rsidR="00457321" w:rsidRDefault="006572CB">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八、一般公共预算财政拨款基本支出决算表</w:t>
      </w:r>
    </w:p>
    <w:p w:rsidR="00457321" w:rsidRDefault="006572CB">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九、一般公共预算财政拨款项目支出决算表</w:t>
      </w:r>
    </w:p>
    <w:p w:rsidR="00457321" w:rsidRDefault="006572CB">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十、一般公共预算财政拨款“三公”经费支出决算表</w:t>
      </w:r>
    </w:p>
    <w:p w:rsidR="00457321" w:rsidRDefault="006572CB">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十一、政府性基金预算财政拨款收入支出决算表</w:t>
      </w:r>
    </w:p>
    <w:p w:rsidR="00457321" w:rsidRDefault="006572CB">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十二、政府性基金预算财政拨款“三公”经费支出决算表</w:t>
      </w:r>
    </w:p>
    <w:p w:rsidR="00457321" w:rsidRDefault="006572CB">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十三、国有资本经营预算财政拨款收入支出决算表</w:t>
      </w:r>
    </w:p>
    <w:p w:rsidR="00457321" w:rsidRDefault="006572CB">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十四、国有资本经营预算财政拨款支出决算表</w:t>
      </w:r>
    </w:p>
    <w:p w:rsidR="00457321" w:rsidRDefault="00457321" w:rsidP="0072466D">
      <w:pPr>
        <w:widowControl/>
        <w:adjustRightInd w:val="0"/>
        <w:snapToGrid w:val="0"/>
        <w:spacing w:line="440" w:lineRule="exact"/>
        <w:jc w:val="left"/>
        <w:rPr>
          <w:rFonts w:ascii="仿宋" w:eastAsia="仿宋" w:hAnsi="仿宋"/>
          <w:sz w:val="24"/>
        </w:rPr>
      </w:pPr>
    </w:p>
    <w:p w:rsidR="00457321" w:rsidRDefault="006572CB">
      <w:pPr>
        <w:widowControl/>
        <w:spacing w:line="440" w:lineRule="exact"/>
        <w:jc w:val="left"/>
        <w:rPr>
          <w:rFonts w:ascii="仿宋" w:eastAsia="仿宋" w:hAnsi="仿宋"/>
          <w:bCs/>
          <w:kern w:val="44"/>
          <w:sz w:val="24"/>
        </w:rPr>
      </w:pPr>
      <w:bookmarkStart w:id="13" w:name="_Toc15377196"/>
      <w:bookmarkStart w:id="14" w:name="_Toc15396599"/>
      <w:r>
        <w:rPr>
          <w:rFonts w:ascii="仿宋" w:eastAsia="仿宋" w:hAnsi="仿宋"/>
          <w:b/>
          <w:sz w:val="24"/>
        </w:rPr>
        <w:br w:type="page"/>
      </w:r>
    </w:p>
    <w:p w:rsidR="00457321" w:rsidRDefault="006572CB">
      <w:pPr>
        <w:pStyle w:val="1"/>
        <w:jc w:val="center"/>
        <w:rPr>
          <w:rStyle w:val="1Char"/>
          <w:rFonts w:ascii="黑体" w:eastAsia="黑体" w:hAnsi="黑体"/>
          <w:b/>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3"/>
      <w:bookmarkEnd w:id="14"/>
    </w:p>
    <w:p w:rsidR="00457321" w:rsidRDefault="00457321">
      <w:pPr>
        <w:widowControl/>
        <w:jc w:val="left"/>
        <w:rPr>
          <w:rFonts w:ascii="黑体" w:eastAsia="黑体"/>
          <w:sz w:val="32"/>
          <w:szCs w:val="32"/>
        </w:rPr>
      </w:pPr>
    </w:p>
    <w:p w:rsidR="00457321" w:rsidRDefault="006572CB">
      <w:pPr>
        <w:pStyle w:val="2"/>
        <w:rPr>
          <w:rStyle w:val="2Char"/>
          <w:rFonts w:ascii="仿宋" w:eastAsia="仿宋" w:hAnsi="仿宋"/>
        </w:rPr>
      </w:pPr>
      <w:bookmarkStart w:id="15" w:name="_Toc15396600"/>
      <w:bookmarkStart w:id="16" w:name="_Toc15377197"/>
      <w:r>
        <w:rPr>
          <w:rFonts w:ascii="黑体" w:eastAsia="黑体" w:hAnsi="黑体" w:hint="eastAsia"/>
          <w:b w:val="0"/>
        </w:rPr>
        <w:t>一、基</w:t>
      </w:r>
      <w:r>
        <w:rPr>
          <w:rStyle w:val="2Char"/>
          <w:rFonts w:ascii="黑体" w:eastAsia="黑体" w:hAnsi="黑体" w:hint="eastAsia"/>
        </w:rPr>
        <w:t>本职能及主要工作</w:t>
      </w:r>
      <w:bookmarkEnd w:id="15"/>
      <w:bookmarkEnd w:id="16"/>
    </w:p>
    <w:p w:rsidR="00705A43" w:rsidRDefault="006572CB">
      <w:pPr>
        <w:pStyle w:val="a0"/>
        <w:adjustRightInd w:val="0"/>
        <w:snapToGrid w:val="0"/>
        <w:spacing w:before="93" w:line="600" w:lineRule="exact"/>
        <w:ind w:firstLineChars="210" w:firstLine="672"/>
        <w:outlineLvl w:val="2"/>
        <w:rPr>
          <w:rFonts w:ascii="仿宋" w:eastAsia="仿宋" w:hAnsi="仿宋"/>
          <w:bCs/>
          <w:sz w:val="32"/>
          <w:szCs w:val="32"/>
        </w:rPr>
      </w:pPr>
      <w:bookmarkStart w:id="17" w:name="_Toc15377198"/>
      <w:bookmarkStart w:id="18" w:name="_Toc15378445"/>
      <w:r>
        <w:rPr>
          <w:rFonts w:ascii="仿宋" w:eastAsia="仿宋" w:hAnsi="仿宋" w:hint="eastAsia"/>
          <w:bCs/>
          <w:sz w:val="32"/>
          <w:szCs w:val="32"/>
        </w:rPr>
        <w:t>（一）主要职能。</w:t>
      </w:r>
    </w:p>
    <w:bookmarkEnd w:id="17"/>
    <w:bookmarkEnd w:id="18"/>
    <w:p w:rsidR="00457321" w:rsidRDefault="00705A43" w:rsidP="00705A43">
      <w:pPr>
        <w:pStyle w:val="a0"/>
        <w:adjustRightInd w:val="0"/>
        <w:snapToGrid w:val="0"/>
        <w:spacing w:before="93" w:line="600" w:lineRule="exact"/>
        <w:ind w:firstLineChars="210" w:firstLine="672"/>
        <w:outlineLvl w:val="2"/>
        <w:rPr>
          <w:rFonts w:ascii="仿宋" w:eastAsia="仿宋" w:hAnsi="仿宋"/>
          <w:bCs/>
          <w:sz w:val="32"/>
          <w:szCs w:val="32"/>
        </w:rPr>
      </w:pPr>
      <w:r w:rsidRPr="00705A43">
        <w:rPr>
          <w:rFonts w:ascii="仿宋" w:eastAsia="仿宋" w:hAnsi="仿宋" w:hint="eastAsia"/>
          <w:bCs/>
          <w:sz w:val="32"/>
          <w:szCs w:val="32"/>
        </w:rPr>
        <w:t>盐边县自然资源和规划局主要职责是按照规定权限，履行全民所有土地、矿产、湿地、水等自然资源资产所有者职责和所有国土空间用途管制职责。贯彻执行国家、省、市有关自然资源和国土空间规划及测绘等方面的法律、法规、规章，制定有关政策措施并组织实施等各种涉及自然资源的工作。负责县政府机关的上情下达，下情上报及上级机关交办的其他工作。</w:t>
      </w:r>
    </w:p>
    <w:p w:rsidR="00457321" w:rsidRDefault="006572CB">
      <w:pPr>
        <w:pStyle w:val="a0"/>
        <w:adjustRightInd w:val="0"/>
        <w:snapToGrid w:val="0"/>
        <w:spacing w:before="93" w:line="600" w:lineRule="exact"/>
        <w:ind w:firstLineChars="210" w:firstLine="672"/>
        <w:outlineLvl w:val="2"/>
        <w:rPr>
          <w:rFonts w:ascii="仿宋" w:eastAsia="仿宋" w:hAnsi="仿宋"/>
          <w:bCs/>
          <w:sz w:val="32"/>
          <w:szCs w:val="32"/>
        </w:rPr>
      </w:pPr>
      <w:bookmarkStart w:id="19" w:name="_Toc15378446"/>
      <w:bookmarkStart w:id="20" w:name="_Toc15377199"/>
      <w:r>
        <w:rPr>
          <w:rFonts w:ascii="仿宋" w:eastAsia="仿宋" w:hAnsi="仿宋" w:hint="eastAsia"/>
          <w:bCs/>
          <w:sz w:val="32"/>
          <w:szCs w:val="32"/>
        </w:rPr>
        <w:t>（二）</w:t>
      </w:r>
      <w:r>
        <w:rPr>
          <w:rFonts w:ascii="仿宋" w:eastAsia="仿宋" w:hAnsi="仿宋"/>
          <w:bCs/>
          <w:sz w:val="32"/>
          <w:szCs w:val="32"/>
        </w:rPr>
        <w:t>20</w:t>
      </w:r>
      <w:r>
        <w:rPr>
          <w:rFonts w:ascii="仿宋" w:eastAsia="仿宋" w:hAnsi="仿宋" w:hint="eastAsia"/>
          <w:bCs/>
          <w:sz w:val="32"/>
          <w:szCs w:val="32"/>
        </w:rPr>
        <w:t>21年重点工作完成情况。</w:t>
      </w:r>
      <w:bookmarkEnd w:id="19"/>
      <w:bookmarkEnd w:id="20"/>
    </w:p>
    <w:p w:rsidR="00705A43" w:rsidRPr="00352DFE" w:rsidRDefault="00705A43" w:rsidP="00705A43">
      <w:pPr>
        <w:pStyle w:val="ab"/>
        <w:spacing w:line="600" w:lineRule="exact"/>
        <w:ind w:firstLine="640"/>
        <w:jc w:val="both"/>
        <w:rPr>
          <w:rFonts w:eastAsia="仿宋"/>
          <w:bCs/>
          <w:color w:val="000000" w:themeColor="text1"/>
          <w:sz w:val="32"/>
          <w:szCs w:val="32"/>
        </w:rPr>
      </w:pPr>
      <w:r>
        <w:rPr>
          <w:rFonts w:eastAsia="楷体_GB2312" w:hint="eastAsia"/>
          <w:bCs/>
          <w:color w:val="000000" w:themeColor="text1"/>
          <w:sz w:val="32"/>
          <w:szCs w:val="32"/>
        </w:rPr>
        <w:t>1</w:t>
      </w:r>
      <w:r>
        <w:rPr>
          <w:rFonts w:eastAsia="楷体_GB2312" w:hint="eastAsia"/>
          <w:bCs/>
          <w:color w:val="000000" w:themeColor="text1"/>
          <w:sz w:val="32"/>
          <w:szCs w:val="32"/>
        </w:rPr>
        <w:t>．</w:t>
      </w:r>
      <w:r w:rsidRPr="00352DFE">
        <w:rPr>
          <w:rFonts w:eastAsia="楷体_GB2312"/>
          <w:bCs/>
          <w:color w:val="000000" w:themeColor="text1"/>
          <w:sz w:val="32"/>
          <w:szCs w:val="32"/>
        </w:rPr>
        <w:t>聚焦规划引领，实施全域争先进位。</w:t>
      </w:r>
      <w:r w:rsidRPr="00352DFE">
        <w:rPr>
          <w:rFonts w:eastAsia="仿宋_GB2312"/>
          <w:b/>
          <w:bCs/>
          <w:color w:val="000000" w:themeColor="text1"/>
          <w:sz w:val="32"/>
          <w:szCs w:val="32"/>
        </w:rPr>
        <w:t>高质量编制国土空间总体规划编制：</w:t>
      </w:r>
      <w:r w:rsidRPr="00352DFE">
        <w:rPr>
          <w:rFonts w:eastAsia="仿宋_GB2312"/>
          <w:snapToGrid w:val="0"/>
          <w:color w:val="000000" w:themeColor="text1"/>
          <w:sz w:val="32"/>
          <w:szCs w:val="32"/>
        </w:rPr>
        <w:t>完成了国土空间总体规划编制工作已完成</w:t>
      </w:r>
      <w:r w:rsidRPr="00352DFE">
        <w:rPr>
          <w:rFonts w:eastAsia="仿宋_GB2312"/>
          <w:snapToGrid w:val="0"/>
          <w:color w:val="000000" w:themeColor="text1"/>
          <w:sz w:val="32"/>
          <w:szCs w:val="32"/>
        </w:rPr>
        <w:t>“</w:t>
      </w:r>
      <w:r w:rsidRPr="00352DFE">
        <w:rPr>
          <w:rFonts w:eastAsia="仿宋_GB2312"/>
          <w:snapToGrid w:val="0"/>
          <w:color w:val="000000" w:themeColor="text1"/>
          <w:sz w:val="32"/>
          <w:szCs w:val="32"/>
        </w:rPr>
        <w:t>双评估</w:t>
      </w:r>
      <w:r w:rsidRPr="00352DFE">
        <w:rPr>
          <w:rFonts w:eastAsia="仿宋_GB2312"/>
          <w:snapToGrid w:val="0"/>
          <w:color w:val="000000" w:themeColor="text1"/>
          <w:sz w:val="32"/>
          <w:szCs w:val="32"/>
        </w:rPr>
        <w:t>”</w:t>
      </w:r>
      <w:r w:rsidRPr="00352DFE">
        <w:rPr>
          <w:rFonts w:eastAsia="仿宋_GB2312"/>
          <w:snapToGrid w:val="0"/>
          <w:color w:val="000000" w:themeColor="text1"/>
          <w:sz w:val="32"/>
          <w:szCs w:val="32"/>
        </w:rPr>
        <w:t>、</w:t>
      </w:r>
      <w:r w:rsidRPr="00352DFE">
        <w:rPr>
          <w:rFonts w:eastAsia="仿宋_GB2312"/>
          <w:snapToGrid w:val="0"/>
          <w:color w:val="000000" w:themeColor="text1"/>
          <w:sz w:val="32"/>
          <w:szCs w:val="32"/>
        </w:rPr>
        <w:t>“</w:t>
      </w:r>
      <w:r w:rsidRPr="00352DFE">
        <w:rPr>
          <w:rFonts w:eastAsia="仿宋_GB2312"/>
          <w:snapToGrid w:val="0"/>
          <w:color w:val="000000" w:themeColor="text1"/>
          <w:sz w:val="32"/>
          <w:szCs w:val="32"/>
        </w:rPr>
        <w:t>双评价</w:t>
      </w:r>
      <w:r w:rsidRPr="00352DFE">
        <w:rPr>
          <w:rFonts w:eastAsia="仿宋_GB2312"/>
          <w:snapToGrid w:val="0"/>
          <w:color w:val="000000" w:themeColor="text1"/>
          <w:sz w:val="32"/>
          <w:szCs w:val="32"/>
        </w:rPr>
        <w:t>”</w:t>
      </w:r>
      <w:r w:rsidRPr="00352DFE">
        <w:rPr>
          <w:rFonts w:eastAsia="仿宋_GB2312"/>
          <w:snapToGrid w:val="0"/>
          <w:color w:val="000000" w:themeColor="text1"/>
          <w:sz w:val="32"/>
          <w:szCs w:val="32"/>
        </w:rPr>
        <w:t>、人口流动和城镇化发展研究、城镇开发边界划定与管控研究、综合交通规划和全域综合整治与生态修复等</w:t>
      </w:r>
      <w:r w:rsidRPr="00352DFE">
        <w:rPr>
          <w:rFonts w:eastAsia="仿宋_GB2312"/>
          <w:snapToGrid w:val="0"/>
          <w:color w:val="000000" w:themeColor="text1"/>
          <w:sz w:val="32"/>
          <w:szCs w:val="32"/>
        </w:rPr>
        <w:t>6</w:t>
      </w:r>
      <w:r w:rsidRPr="00352DFE">
        <w:rPr>
          <w:rFonts w:eastAsia="仿宋_GB2312"/>
          <w:snapToGrid w:val="0"/>
          <w:color w:val="000000" w:themeColor="text1"/>
          <w:sz w:val="32"/>
          <w:szCs w:val="32"/>
        </w:rPr>
        <w:t>个专题研究初步成果；完成了</w:t>
      </w:r>
      <w:r w:rsidRPr="00352DFE">
        <w:rPr>
          <w:rFonts w:eastAsia="仿宋_GB2312"/>
          <w:color w:val="000000" w:themeColor="text1"/>
          <w:sz w:val="32"/>
          <w:szCs w:val="32"/>
        </w:rPr>
        <w:t>“</w:t>
      </w:r>
      <w:r w:rsidRPr="00352DFE">
        <w:rPr>
          <w:rFonts w:eastAsia="仿宋_GB2312"/>
          <w:color w:val="000000" w:themeColor="text1"/>
          <w:sz w:val="32"/>
          <w:szCs w:val="32"/>
        </w:rPr>
        <w:t>三区三线</w:t>
      </w:r>
      <w:r w:rsidRPr="00352DFE">
        <w:rPr>
          <w:rFonts w:eastAsia="仿宋_GB2312"/>
          <w:color w:val="000000" w:themeColor="text1"/>
          <w:sz w:val="32"/>
          <w:szCs w:val="32"/>
        </w:rPr>
        <w:t>”</w:t>
      </w:r>
      <w:r w:rsidRPr="00352DFE">
        <w:rPr>
          <w:rFonts w:eastAsia="仿宋_GB2312"/>
          <w:color w:val="000000" w:themeColor="text1"/>
          <w:sz w:val="32"/>
          <w:szCs w:val="32"/>
        </w:rPr>
        <w:t>第一、二轮试划工作，现正开展</w:t>
      </w:r>
      <w:r w:rsidRPr="00352DFE">
        <w:rPr>
          <w:rFonts w:eastAsia="仿宋_GB2312"/>
          <w:color w:val="000000" w:themeColor="text1"/>
          <w:sz w:val="32"/>
          <w:szCs w:val="32"/>
        </w:rPr>
        <w:t>“</w:t>
      </w:r>
      <w:r w:rsidRPr="00352DFE">
        <w:rPr>
          <w:rFonts w:eastAsia="仿宋_GB2312"/>
          <w:color w:val="000000" w:themeColor="text1"/>
          <w:sz w:val="32"/>
          <w:szCs w:val="32"/>
        </w:rPr>
        <w:t>三区三线</w:t>
      </w:r>
      <w:r w:rsidRPr="00352DFE">
        <w:rPr>
          <w:rFonts w:eastAsia="仿宋_GB2312"/>
          <w:color w:val="000000" w:themeColor="text1"/>
          <w:sz w:val="32"/>
          <w:szCs w:val="32"/>
        </w:rPr>
        <w:t>”</w:t>
      </w:r>
      <w:r w:rsidRPr="00352DFE">
        <w:rPr>
          <w:rFonts w:eastAsia="仿宋_GB2312"/>
          <w:color w:val="000000" w:themeColor="text1"/>
          <w:sz w:val="32"/>
          <w:szCs w:val="32"/>
        </w:rPr>
        <w:t>第三轮试划。</w:t>
      </w:r>
      <w:r w:rsidRPr="00352DFE">
        <w:rPr>
          <w:rFonts w:eastAsia="仿宋_GB2312"/>
          <w:b/>
          <w:color w:val="000000" w:themeColor="text1"/>
          <w:sz w:val="32"/>
          <w:szCs w:val="32"/>
        </w:rPr>
        <w:t>优化</w:t>
      </w:r>
      <w:r w:rsidRPr="00352DFE">
        <w:rPr>
          <w:rFonts w:eastAsia="仿宋"/>
          <w:b/>
          <w:bCs/>
          <w:color w:val="000000" w:themeColor="text1"/>
          <w:sz w:val="32"/>
          <w:szCs w:val="32"/>
        </w:rPr>
        <w:t>村庄试点规划编制：</w:t>
      </w:r>
      <w:r w:rsidRPr="00352DFE">
        <w:rPr>
          <w:rFonts w:eastAsia="仿宋"/>
          <w:bCs/>
          <w:color w:val="000000" w:themeColor="text1"/>
          <w:sz w:val="32"/>
          <w:szCs w:val="32"/>
        </w:rPr>
        <w:t>前往全县</w:t>
      </w:r>
      <w:r w:rsidRPr="00352DFE">
        <w:rPr>
          <w:rFonts w:eastAsia="仿宋"/>
          <w:bCs/>
          <w:color w:val="000000" w:themeColor="text1"/>
          <w:sz w:val="32"/>
          <w:szCs w:val="32"/>
        </w:rPr>
        <w:t>12</w:t>
      </w:r>
      <w:r w:rsidRPr="00352DFE">
        <w:rPr>
          <w:rFonts w:eastAsia="仿宋"/>
          <w:bCs/>
          <w:color w:val="000000" w:themeColor="text1"/>
          <w:sz w:val="32"/>
          <w:szCs w:val="32"/>
        </w:rPr>
        <w:t>个乡镇开展乡镇开发边界调研，邀请规划设计单位开展规划思路洽谈，形成初步排名成果。</w:t>
      </w:r>
      <w:r w:rsidRPr="00352DFE">
        <w:rPr>
          <w:rFonts w:eastAsia="仿宋"/>
          <w:b/>
          <w:bCs/>
          <w:color w:val="000000" w:themeColor="text1"/>
          <w:sz w:val="32"/>
          <w:szCs w:val="32"/>
        </w:rPr>
        <w:t>规范开展控制性详细规划编制：</w:t>
      </w:r>
      <w:r w:rsidRPr="00352DFE">
        <w:rPr>
          <w:rFonts w:eastAsia="仿宋_GB2312"/>
          <w:snapToGrid w:val="0"/>
          <w:color w:val="000000" w:themeColor="text1"/>
          <w:sz w:val="32"/>
          <w:szCs w:val="32"/>
        </w:rPr>
        <w:t>完成了《盐边县桐源</w:t>
      </w:r>
      <w:r w:rsidRPr="00352DFE">
        <w:rPr>
          <w:rFonts w:eastAsia="仿宋_GB2312"/>
          <w:snapToGrid w:val="0"/>
          <w:color w:val="000000" w:themeColor="text1"/>
          <w:sz w:val="32"/>
          <w:szCs w:val="32"/>
        </w:rPr>
        <w:lastRenderedPageBreak/>
        <w:t>新区概念性规划》《盐边县桐源新区控制性详细规划》</w:t>
      </w:r>
      <w:proofErr w:type="gramStart"/>
      <w:r w:rsidRPr="00352DFE">
        <w:rPr>
          <w:rFonts w:eastAsia="仿宋_GB2312"/>
          <w:snapToGrid w:val="0"/>
          <w:color w:val="000000" w:themeColor="text1"/>
          <w:sz w:val="32"/>
          <w:szCs w:val="32"/>
        </w:rPr>
        <w:t>《</w:t>
      </w:r>
      <w:proofErr w:type="gramEnd"/>
      <w:r w:rsidRPr="00352DFE">
        <w:rPr>
          <w:rFonts w:eastAsia="仿宋_GB2312"/>
          <w:snapToGrid w:val="0"/>
          <w:color w:val="000000" w:themeColor="text1"/>
          <w:sz w:val="32"/>
          <w:szCs w:val="32"/>
        </w:rPr>
        <w:t>盐边钒钛产业开发区总体</w:t>
      </w:r>
      <w:proofErr w:type="gramStart"/>
      <w:r w:rsidRPr="00352DFE">
        <w:rPr>
          <w:rFonts w:eastAsia="仿宋_GB2312"/>
          <w:snapToGrid w:val="0"/>
          <w:color w:val="000000" w:themeColor="text1"/>
          <w:sz w:val="32"/>
          <w:szCs w:val="32"/>
        </w:rPr>
        <w:t>规</w:t>
      </w:r>
      <w:proofErr w:type="gramEnd"/>
      <w:r w:rsidRPr="00352DFE">
        <w:rPr>
          <w:rFonts w:eastAsia="仿宋_GB2312"/>
          <w:snapToGrid w:val="0"/>
          <w:color w:val="000000" w:themeColor="text1"/>
          <w:sz w:val="32"/>
          <w:szCs w:val="32"/>
        </w:rPr>
        <w:t>（</w:t>
      </w:r>
      <w:r w:rsidRPr="00352DFE">
        <w:rPr>
          <w:rFonts w:eastAsia="仿宋_GB2312"/>
          <w:snapToGrid w:val="0"/>
          <w:color w:val="000000" w:themeColor="text1"/>
          <w:sz w:val="32"/>
          <w:szCs w:val="32"/>
        </w:rPr>
        <w:t>2019-2035</w:t>
      </w:r>
      <w:r w:rsidRPr="00352DFE">
        <w:rPr>
          <w:rFonts w:eastAsia="仿宋_GB2312"/>
          <w:snapToGrid w:val="0"/>
          <w:color w:val="000000" w:themeColor="text1"/>
          <w:sz w:val="32"/>
          <w:szCs w:val="32"/>
        </w:rPr>
        <w:t>）和城市设计编制的初步成果编制。正结合已有规划成果，开展县城现状城区和钒钛产业开发区控制性详细规划编制工作。</w:t>
      </w:r>
    </w:p>
    <w:p w:rsidR="00705A43" w:rsidRPr="00352DFE" w:rsidRDefault="00705A43" w:rsidP="00705A43">
      <w:pPr>
        <w:spacing w:line="600" w:lineRule="exact"/>
        <w:ind w:firstLineChars="200" w:firstLine="640"/>
        <w:textAlignment w:val="baseline"/>
        <w:rPr>
          <w:rFonts w:eastAsia="仿宋_GB2312"/>
          <w:snapToGrid w:val="0"/>
          <w:color w:val="000000" w:themeColor="text1"/>
          <w:kern w:val="0"/>
          <w:sz w:val="32"/>
          <w:szCs w:val="32"/>
        </w:rPr>
      </w:pPr>
      <w:r>
        <w:rPr>
          <w:rFonts w:eastAsia="楷体_GB2312" w:hint="eastAsia"/>
          <w:bCs/>
          <w:color w:val="000000" w:themeColor="text1"/>
          <w:sz w:val="32"/>
          <w:szCs w:val="32"/>
        </w:rPr>
        <w:t>2</w:t>
      </w:r>
      <w:r>
        <w:rPr>
          <w:rFonts w:eastAsia="楷体_GB2312" w:hint="eastAsia"/>
          <w:bCs/>
          <w:color w:val="000000" w:themeColor="text1"/>
          <w:sz w:val="32"/>
          <w:szCs w:val="32"/>
        </w:rPr>
        <w:t>．</w:t>
      </w:r>
      <w:r w:rsidRPr="00352DFE">
        <w:rPr>
          <w:rFonts w:eastAsia="楷体_GB2312"/>
          <w:bCs/>
          <w:color w:val="000000" w:themeColor="text1"/>
          <w:sz w:val="32"/>
          <w:szCs w:val="32"/>
        </w:rPr>
        <w:t>聚焦耕地保护，实施全方位执法监管。</w:t>
      </w:r>
      <w:r w:rsidRPr="00352DFE">
        <w:rPr>
          <w:rFonts w:eastAsia="楷体_GB2312"/>
          <w:b/>
          <w:bCs/>
          <w:color w:val="000000" w:themeColor="text1"/>
          <w:sz w:val="32"/>
          <w:szCs w:val="32"/>
        </w:rPr>
        <w:t>开展</w:t>
      </w:r>
      <w:r w:rsidRPr="00352DFE">
        <w:rPr>
          <w:rFonts w:eastAsia="仿宋_GB2312"/>
          <w:b/>
          <w:snapToGrid w:val="0"/>
          <w:color w:val="000000" w:themeColor="text1"/>
          <w:kern w:val="0"/>
          <w:sz w:val="32"/>
          <w:szCs w:val="32"/>
        </w:rPr>
        <w:t>永久基本农田核实整改补足：</w:t>
      </w:r>
      <w:r w:rsidRPr="00352DFE">
        <w:rPr>
          <w:rFonts w:eastAsia="仿宋_GB2312"/>
          <w:snapToGrid w:val="0"/>
          <w:color w:val="000000" w:themeColor="text1"/>
          <w:kern w:val="0"/>
          <w:sz w:val="32"/>
          <w:szCs w:val="32"/>
        </w:rPr>
        <w:t>结合空间规划</w:t>
      </w:r>
      <w:r w:rsidRPr="00352DFE">
        <w:rPr>
          <w:rFonts w:eastAsia="仿宋_GB2312"/>
          <w:snapToGrid w:val="0"/>
          <w:color w:val="000000" w:themeColor="text1"/>
          <w:kern w:val="0"/>
          <w:sz w:val="32"/>
          <w:szCs w:val="32"/>
        </w:rPr>
        <w:t>“</w:t>
      </w:r>
      <w:r w:rsidRPr="00352DFE">
        <w:rPr>
          <w:rFonts w:eastAsia="仿宋_GB2312"/>
          <w:snapToGrid w:val="0"/>
          <w:color w:val="000000" w:themeColor="text1"/>
          <w:kern w:val="0"/>
          <w:sz w:val="32"/>
          <w:szCs w:val="32"/>
        </w:rPr>
        <w:t>三线</w:t>
      </w:r>
      <w:r w:rsidRPr="00352DFE">
        <w:rPr>
          <w:rFonts w:eastAsia="仿宋_GB2312"/>
          <w:snapToGrid w:val="0"/>
          <w:color w:val="000000" w:themeColor="text1"/>
          <w:kern w:val="0"/>
          <w:sz w:val="32"/>
          <w:szCs w:val="32"/>
        </w:rPr>
        <w:t>”</w:t>
      </w:r>
      <w:r w:rsidRPr="00352DFE">
        <w:rPr>
          <w:rFonts w:eastAsia="仿宋_GB2312"/>
          <w:snapToGrid w:val="0"/>
          <w:color w:val="000000" w:themeColor="text1"/>
          <w:kern w:val="0"/>
          <w:sz w:val="32"/>
          <w:szCs w:val="32"/>
        </w:rPr>
        <w:t>划定，初步划定全县永久基本农田保护范围线，划定永久基本农田</w:t>
      </w:r>
      <w:r w:rsidRPr="00352DFE">
        <w:rPr>
          <w:rFonts w:eastAsia="仿宋_GB2312"/>
          <w:snapToGrid w:val="0"/>
          <w:color w:val="000000" w:themeColor="text1"/>
          <w:kern w:val="0"/>
          <w:sz w:val="32"/>
          <w:szCs w:val="32"/>
        </w:rPr>
        <w:t>24.21</w:t>
      </w:r>
      <w:r w:rsidRPr="00352DFE">
        <w:rPr>
          <w:rFonts w:eastAsia="仿宋_GB2312"/>
          <w:snapToGrid w:val="0"/>
          <w:color w:val="000000" w:themeColor="text1"/>
          <w:kern w:val="0"/>
          <w:sz w:val="32"/>
          <w:szCs w:val="32"/>
        </w:rPr>
        <w:t>万亩。</w:t>
      </w:r>
      <w:r w:rsidRPr="00352DFE">
        <w:rPr>
          <w:rFonts w:eastAsia="仿宋_GB2312"/>
          <w:b/>
          <w:snapToGrid w:val="0"/>
          <w:color w:val="000000" w:themeColor="text1"/>
          <w:kern w:val="0"/>
          <w:sz w:val="32"/>
          <w:szCs w:val="32"/>
        </w:rPr>
        <w:t>推进新增耕地项目工程：</w:t>
      </w:r>
      <w:r w:rsidRPr="00352DFE">
        <w:rPr>
          <w:rFonts w:eastAsia="仿宋_GB2312"/>
          <w:snapToGrid w:val="0"/>
          <w:color w:val="000000" w:themeColor="text1"/>
          <w:kern w:val="0"/>
          <w:sz w:val="32"/>
          <w:szCs w:val="32"/>
        </w:rPr>
        <w:t>实施盐边县永兴、温泉、格萨拉、国胜、红果、和爱等</w:t>
      </w:r>
      <w:r w:rsidRPr="00352DFE">
        <w:rPr>
          <w:rFonts w:eastAsia="仿宋_GB2312"/>
          <w:snapToGrid w:val="0"/>
          <w:color w:val="000000" w:themeColor="text1"/>
          <w:kern w:val="0"/>
          <w:sz w:val="32"/>
          <w:szCs w:val="32"/>
        </w:rPr>
        <w:t>6</w:t>
      </w:r>
      <w:r w:rsidRPr="00352DFE">
        <w:rPr>
          <w:rFonts w:eastAsia="仿宋_GB2312"/>
          <w:snapToGrid w:val="0"/>
          <w:color w:val="000000" w:themeColor="text1"/>
          <w:kern w:val="0"/>
          <w:sz w:val="32"/>
          <w:szCs w:val="32"/>
        </w:rPr>
        <w:t>个补录项目外业整改与入库工作，补录新增耕地面积</w:t>
      </w:r>
      <w:r w:rsidRPr="00352DFE">
        <w:rPr>
          <w:rFonts w:eastAsia="仿宋_GB2312"/>
          <w:snapToGrid w:val="0"/>
          <w:color w:val="000000" w:themeColor="text1"/>
          <w:kern w:val="0"/>
          <w:sz w:val="32"/>
          <w:szCs w:val="32"/>
        </w:rPr>
        <w:t>2602.0290</w:t>
      </w:r>
      <w:r w:rsidRPr="00352DFE">
        <w:rPr>
          <w:rFonts w:eastAsia="仿宋_GB2312"/>
          <w:snapToGrid w:val="0"/>
          <w:color w:val="000000" w:themeColor="text1"/>
          <w:kern w:val="0"/>
          <w:sz w:val="32"/>
          <w:szCs w:val="32"/>
        </w:rPr>
        <w:t>亩（水田</w:t>
      </w:r>
      <w:r w:rsidRPr="00352DFE">
        <w:rPr>
          <w:rFonts w:eastAsia="仿宋_GB2312"/>
          <w:snapToGrid w:val="0"/>
          <w:color w:val="000000" w:themeColor="text1"/>
          <w:kern w:val="0"/>
          <w:sz w:val="32"/>
          <w:szCs w:val="32"/>
        </w:rPr>
        <w:t>733.4460</w:t>
      </w:r>
      <w:r w:rsidRPr="00352DFE">
        <w:rPr>
          <w:rFonts w:eastAsia="仿宋_GB2312"/>
          <w:snapToGrid w:val="0"/>
          <w:color w:val="000000" w:themeColor="text1"/>
          <w:kern w:val="0"/>
          <w:sz w:val="32"/>
          <w:szCs w:val="32"/>
        </w:rPr>
        <w:t>亩），投资</w:t>
      </w:r>
      <w:r w:rsidRPr="00352DFE">
        <w:rPr>
          <w:rFonts w:eastAsia="仿宋_GB2312"/>
          <w:snapToGrid w:val="0"/>
          <w:color w:val="000000" w:themeColor="text1"/>
          <w:kern w:val="0"/>
          <w:sz w:val="32"/>
          <w:szCs w:val="32"/>
        </w:rPr>
        <w:t>691</w:t>
      </w:r>
      <w:r w:rsidRPr="00352DFE">
        <w:rPr>
          <w:rFonts w:eastAsia="仿宋_GB2312"/>
          <w:snapToGrid w:val="0"/>
          <w:color w:val="000000" w:themeColor="text1"/>
          <w:kern w:val="0"/>
          <w:sz w:val="32"/>
          <w:szCs w:val="32"/>
        </w:rPr>
        <w:t>万元实施</w:t>
      </w:r>
      <w:r w:rsidRPr="00352DFE">
        <w:rPr>
          <w:rFonts w:eastAsia="仿宋_GB2312"/>
          <w:snapToGrid w:val="0"/>
          <w:color w:val="000000" w:themeColor="text1"/>
          <w:kern w:val="0"/>
          <w:sz w:val="32"/>
          <w:szCs w:val="32"/>
        </w:rPr>
        <w:t>5</w:t>
      </w:r>
      <w:r w:rsidRPr="00352DFE">
        <w:rPr>
          <w:rFonts w:eastAsia="仿宋_GB2312"/>
          <w:snapToGrid w:val="0"/>
          <w:color w:val="000000" w:themeColor="text1"/>
          <w:kern w:val="0"/>
          <w:sz w:val="32"/>
          <w:szCs w:val="32"/>
        </w:rPr>
        <w:t>个整改工程，按技术规范进行耕地占补平衡系统备案。</w:t>
      </w:r>
      <w:r w:rsidRPr="00352DFE">
        <w:rPr>
          <w:rFonts w:eastAsia="仿宋_GB2312"/>
          <w:b/>
          <w:snapToGrid w:val="0"/>
          <w:color w:val="000000" w:themeColor="text1"/>
          <w:kern w:val="0"/>
          <w:sz w:val="32"/>
          <w:szCs w:val="32"/>
        </w:rPr>
        <w:t>坚决遏制</w:t>
      </w:r>
      <w:proofErr w:type="gramStart"/>
      <w:r w:rsidRPr="00352DFE">
        <w:rPr>
          <w:rFonts w:eastAsia="仿宋_GB2312"/>
          <w:b/>
          <w:snapToGrid w:val="0"/>
          <w:color w:val="000000" w:themeColor="text1"/>
          <w:kern w:val="0"/>
          <w:sz w:val="32"/>
          <w:szCs w:val="32"/>
        </w:rPr>
        <w:t>新增占</w:t>
      </w:r>
      <w:proofErr w:type="gramEnd"/>
      <w:r w:rsidRPr="00352DFE">
        <w:rPr>
          <w:rFonts w:eastAsia="仿宋_GB2312"/>
          <w:b/>
          <w:snapToGrid w:val="0"/>
          <w:color w:val="000000" w:themeColor="text1"/>
          <w:kern w:val="0"/>
          <w:sz w:val="32"/>
          <w:szCs w:val="32"/>
        </w:rPr>
        <w:t>耕地违法建房问题：</w:t>
      </w:r>
      <w:r w:rsidRPr="00352DFE">
        <w:rPr>
          <w:rFonts w:eastAsia="仿宋_GB2312"/>
          <w:snapToGrid w:val="0"/>
          <w:color w:val="000000" w:themeColor="text1"/>
          <w:kern w:val="0"/>
          <w:sz w:val="32"/>
          <w:szCs w:val="32"/>
        </w:rPr>
        <w:t>开展了</w:t>
      </w:r>
      <w:r w:rsidRPr="00352DFE">
        <w:rPr>
          <w:rFonts w:eastAsia="仿宋_GB2312"/>
          <w:snapToGrid w:val="0"/>
          <w:color w:val="000000" w:themeColor="text1"/>
          <w:kern w:val="0"/>
          <w:sz w:val="32"/>
          <w:szCs w:val="32"/>
        </w:rPr>
        <w:t>2020</w:t>
      </w:r>
      <w:r w:rsidRPr="00352DFE">
        <w:rPr>
          <w:rFonts w:eastAsia="仿宋_GB2312"/>
          <w:snapToGrid w:val="0"/>
          <w:color w:val="000000" w:themeColor="text1"/>
          <w:kern w:val="0"/>
          <w:sz w:val="32"/>
          <w:szCs w:val="32"/>
        </w:rPr>
        <w:t>年</w:t>
      </w:r>
      <w:r w:rsidRPr="00352DFE">
        <w:rPr>
          <w:rFonts w:eastAsia="仿宋_GB2312"/>
          <w:snapToGrid w:val="0"/>
          <w:color w:val="000000" w:themeColor="text1"/>
          <w:kern w:val="0"/>
          <w:sz w:val="32"/>
          <w:szCs w:val="32"/>
        </w:rPr>
        <w:t>7</w:t>
      </w:r>
      <w:r w:rsidRPr="00352DFE">
        <w:rPr>
          <w:rFonts w:eastAsia="仿宋_GB2312"/>
          <w:snapToGrid w:val="0"/>
          <w:color w:val="000000" w:themeColor="text1"/>
          <w:kern w:val="0"/>
          <w:sz w:val="32"/>
          <w:szCs w:val="32"/>
        </w:rPr>
        <w:t>月以后新增农村乱占耕地建房排查工作，发现疑似新增乱占耕地问题建房</w:t>
      </w:r>
      <w:r w:rsidRPr="00352DFE">
        <w:rPr>
          <w:rFonts w:eastAsia="仿宋_GB2312"/>
          <w:snapToGrid w:val="0"/>
          <w:color w:val="000000" w:themeColor="text1"/>
          <w:kern w:val="0"/>
          <w:sz w:val="32"/>
          <w:szCs w:val="32"/>
        </w:rPr>
        <w:t>18</w:t>
      </w:r>
      <w:r w:rsidRPr="00352DFE">
        <w:rPr>
          <w:rFonts w:eastAsia="仿宋_GB2312"/>
          <w:snapToGrid w:val="0"/>
          <w:color w:val="000000" w:themeColor="text1"/>
          <w:kern w:val="0"/>
          <w:sz w:val="32"/>
          <w:szCs w:val="32"/>
        </w:rPr>
        <w:t>个，已拆除</w:t>
      </w:r>
      <w:r w:rsidRPr="00352DFE">
        <w:rPr>
          <w:rFonts w:eastAsia="仿宋_GB2312"/>
          <w:snapToGrid w:val="0"/>
          <w:color w:val="000000" w:themeColor="text1"/>
          <w:kern w:val="0"/>
          <w:sz w:val="32"/>
          <w:szCs w:val="32"/>
        </w:rPr>
        <w:t>4</w:t>
      </w:r>
      <w:r w:rsidRPr="00352DFE">
        <w:rPr>
          <w:rFonts w:eastAsia="仿宋_GB2312"/>
          <w:snapToGrid w:val="0"/>
          <w:color w:val="000000" w:themeColor="text1"/>
          <w:kern w:val="0"/>
          <w:sz w:val="32"/>
          <w:szCs w:val="32"/>
        </w:rPr>
        <w:t>处，其余正在督促整改。</w:t>
      </w:r>
      <w:r w:rsidRPr="00352DFE">
        <w:rPr>
          <w:rFonts w:eastAsia="仿宋_GB2312"/>
          <w:b/>
          <w:snapToGrid w:val="0"/>
          <w:color w:val="000000" w:themeColor="text1"/>
          <w:kern w:val="0"/>
          <w:sz w:val="32"/>
          <w:szCs w:val="32"/>
        </w:rPr>
        <w:t>落实</w:t>
      </w:r>
      <w:r w:rsidRPr="00352DFE">
        <w:rPr>
          <w:rFonts w:eastAsia="仿宋_GB2312"/>
          <w:b/>
          <w:snapToGrid w:val="0"/>
          <w:color w:val="000000" w:themeColor="text1"/>
          <w:kern w:val="0"/>
          <w:sz w:val="32"/>
          <w:szCs w:val="32"/>
        </w:rPr>
        <w:t>“</w:t>
      </w:r>
      <w:r w:rsidRPr="00352DFE">
        <w:rPr>
          <w:rFonts w:eastAsia="仿宋_GB2312"/>
          <w:b/>
          <w:snapToGrid w:val="0"/>
          <w:color w:val="000000" w:themeColor="text1"/>
          <w:kern w:val="0"/>
          <w:sz w:val="32"/>
          <w:szCs w:val="32"/>
        </w:rPr>
        <w:t>严起来</w:t>
      </w:r>
      <w:r w:rsidRPr="00352DFE">
        <w:rPr>
          <w:rFonts w:eastAsia="仿宋_GB2312"/>
          <w:b/>
          <w:snapToGrid w:val="0"/>
          <w:color w:val="000000" w:themeColor="text1"/>
          <w:kern w:val="0"/>
          <w:sz w:val="32"/>
          <w:szCs w:val="32"/>
        </w:rPr>
        <w:t>”</w:t>
      </w:r>
      <w:r w:rsidRPr="00352DFE">
        <w:rPr>
          <w:rFonts w:eastAsia="仿宋_GB2312"/>
          <w:b/>
          <w:snapToGrid w:val="0"/>
          <w:color w:val="000000" w:themeColor="text1"/>
          <w:kern w:val="0"/>
          <w:sz w:val="32"/>
          <w:szCs w:val="32"/>
        </w:rPr>
        <w:t>要求加强执法监察</w:t>
      </w:r>
      <w:r w:rsidRPr="00352DFE">
        <w:rPr>
          <w:rFonts w:eastAsia="仿宋_GB2312"/>
          <w:snapToGrid w:val="0"/>
          <w:color w:val="000000" w:themeColor="text1"/>
          <w:kern w:val="0"/>
          <w:sz w:val="32"/>
          <w:szCs w:val="32"/>
        </w:rPr>
        <w:t>：开展动态巡查</w:t>
      </w:r>
      <w:r w:rsidRPr="00352DFE">
        <w:rPr>
          <w:rFonts w:eastAsia="仿宋_GB2312"/>
          <w:snapToGrid w:val="0"/>
          <w:color w:val="000000" w:themeColor="text1"/>
          <w:kern w:val="0"/>
          <w:sz w:val="32"/>
          <w:szCs w:val="32"/>
        </w:rPr>
        <w:t>678</w:t>
      </w:r>
      <w:r w:rsidRPr="00352DFE">
        <w:rPr>
          <w:rFonts w:eastAsia="仿宋_GB2312"/>
          <w:snapToGrid w:val="0"/>
          <w:color w:val="000000" w:themeColor="text1"/>
          <w:kern w:val="0"/>
          <w:sz w:val="32"/>
          <w:szCs w:val="32"/>
        </w:rPr>
        <w:t>次，重点区域巡查覆盖率达到</w:t>
      </w:r>
      <w:r w:rsidRPr="00352DFE">
        <w:rPr>
          <w:rFonts w:eastAsia="仿宋_GB2312"/>
          <w:snapToGrid w:val="0"/>
          <w:color w:val="000000" w:themeColor="text1"/>
          <w:kern w:val="0"/>
          <w:sz w:val="32"/>
          <w:szCs w:val="32"/>
        </w:rPr>
        <w:t>96%</w:t>
      </w:r>
      <w:r w:rsidRPr="00352DFE">
        <w:rPr>
          <w:rFonts w:eastAsia="仿宋_GB2312"/>
          <w:snapToGrid w:val="0"/>
          <w:color w:val="000000" w:themeColor="text1"/>
          <w:kern w:val="0"/>
          <w:sz w:val="32"/>
          <w:szCs w:val="32"/>
        </w:rPr>
        <w:t>，</w:t>
      </w:r>
      <w:r w:rsidRPr="00352DFE">
        <w:rPr>
          <w:rFonts w:eastAsia="仿宋_GB2312"/>
          <w:snapToGrid w:val="0"/>
          <w:color w:val="000000" w:themeColor="text1"/>
          <w:kern w:val="0"/>
          <w:sz w:val="32"/>
          <w:szCs w:val="32"/>
        </w:rPr>
        <w:t>2021</w:t>
      </w:r>
      <w:r w:rsidRPr="00352DFE">
        <w:rPr>
          <w:rFonts w:eastAsia="仿宋_GB2312"/>
          <w:snapToGrid w:val="0"/>
          <w:color w:val="000000" w:themeColor="text1"/>
          <w:kern w:val="0"/>
          <w:sz w:val="32"/>
          <w:szCs w:val="32"/>
        </w:rPr>
        <w:t>年我县共查处土地违法案件</w:t>
      </w:r>
      <w:r w:rsidRPr="00352DFE">
        <w:rPr>
          <w:rFonts w:eastAsia="仿宋_GB2312"/>
          <w:snapToGrid w:val="0"/>
          <w:color w:val="000000" w:themeColor="text1"/>
          <w:kern w:val="0"/>
          <w:sz w:val="32"/>
          <w:szCs w:val="32"/>
        </w:rPr>
        <w:t>5</w:t>
      </w:r>
      <w:r w:rsidRPr="00352DFE">
        <w:rPr>
          <w:rFonts w:eastAsia="仿宋_GB2312"/>
          <w:snapToGrid w:val="0"/>
          <w:color w:val="000000" w:themeColor="text1"/>
          <w:kern w:val="0"/>
          <w:sz w:val="32"/>
          <w:szCs w:val="32"/>
        </w:rPr>
        <w:t>宗，涉及土地面积</w:t>
      </w:r>
      <w:r w:rsidRPr="00352DFE">
        <w:rPr>
          <w:rFonts w:eastAsia="仿宋_GB2312"/>
          <w:snapToGrid w:val="0"/>
          <w:color w:val="000000" w:themeColor="text1"/>
          <w:kern w:val="0"/>
          <w:sz w:val="32"/>
          <w:szCs w:val="32"/>
        </w:rPr>
        <w:t>1912440.28</w:t>
      </w:r>
      <w:r w:rsidRPr="00352DFE">
        <w:rPr>
          <w:rFonts w:eastAsia="仿宋_GB2312"/>
          <w:snapToGrid w:val="0"/>
          <w:color w:val="000000" w:themeColor="text1"/>
          <w:kern w:val="0"/>
          <w:sz w:val="32"/>
          <w:szCs w:val="32"/>
        </w:rPr>
        <w:t>平方米（合</w:t>
      </w:r>
      <w:r w:rsidRPr="00352DFE">
        <w:rPr>
          <w:rFonts w:eastAsia="仿宋_GB2312"/>
          <w:snapToGrid w:val="0"/>
          <w:color w:val="000000" w:themeColor="text1"/>
          <w:kern w:val="0"/>
          <w:sz w:val="32"/>
          <w:szCs w:val="32"/>
        </w:rPr>
        <w:t>2871.53</w:t>
      </w:r>
      <w:r w:rsidRPr="00352DFE">
        <w:rPr>
          <w:rFonts w:eastAsia="仿宋_GB2312"/>
          <w:snapToGrid w:val="0"/>
          <w:color w:val="000000" w:themeColor="text1"/>
          <w:kern w:val="0"/>
          <w:sz w:val="32"/>
          <w:szCs w:val="32"/>
        </w:rPr>
        <w:t>亩），建构筑物</w:t>
      </w:r>
      <w:r w:rsidRPr="00352DFE">
        <w:rPr>
          <w:rFonts w:eastAsia="仿宋_GB2312"/>
          <w:snapToGrid w:val="0"/>
          <w:color w:val="000000" w:themeColor="text1"/>
          <w:kern w:val="0"/>
          <w:sz w:val="32"/>
          <w:szCs w:val="32"/>
        </w:rPr>
        <w:t>104483.67</w:t>
      </w:r>
      <w:r w:rsidRPr="00352DFE">
        <w:rPr>
          <w:rFonts w:eastAsia="仿宋_GB2312"/>
          <w:snapToGrid w:val="0"/>
          <w:color w:val="000000" w:themeColor="text1"/>
          <w:kern w:val="0"/>
          <w:sz w:val="32"/>
          <w:szCs w:val="32"/>
        </w:rPr>
        <w:t>平方米，罚款</w:t>
      </w:r>
      <w:r w:rsidRPr="00352DFE">
        <w:rPr>
          <w:rFonts w:eastAsia="仿宋_GB2312"/>
          <w:snapToGrid w:val="0"/>
          <w:color w:val="000000" w:themeColor="text1"/>
          <w:kern w:val="0"/>
          <w:sz w:val="32"/>
          <w:szCs w:val="32"/>
        </w:rPr>
        <w:t>2839.23</w:t>
      </w:r>
      <w:r w:rsidRPr="00352DFE">
        <w:rPr>
          <w:rFonts w:eastAsia="仿宋_GB2312"/>
          <w:snapToGrid w:val="0"/>
          <w:color w:val="000000" w:themeColor="text1"/>
          <w:kern w:val="0"/>
          <w:sz w:val="32"/>
          <w:szCs w:val="32"/>
        </w:rPr>
        <w:t>万元。已缴纳罚款</w:t>
      </w:r>
      <w:r w:rsidRPr="00352DFE">
        <w:rPr>
          <w:rFonts w:eastAsia="仿宋_GB2312"/>
          <w:snapToGrid w:val="0"/>
          <w:color w:val="000000" w:themeColor="text1"/>
          <w:kern w:val="0"/>
          <w:sz w:val="32"/>
          <w:szCs w:val="32"/>
        </w:rPr>
        <w:t>2820.03</w:t>
      </w:r>
      <w:r w:rsidRPr="00352DFE">
        <w:rPr>
          <w:rFonts w:eastAsia="仿宋_GB2312"/>
          <w:snapToGrid w:val="0"/>
          <w:color w:val="000000" w:themeColor="text1"/>
          <w:kern w:val="0"/>
          <w:sz w:val="32"/>
          <w:szCs w:val="32"/>
        </w:rPr>
        <w:t>万元，未缴纳罚款</w:t>
      </w:r>
      <w:r w:rsidRPr="00352DFE">
        <w:rPr>
          <w:rFonts w:eastAsia="仿宋_GB2312"/>
          <w:snapToGrid w:val="0"/>
          <w:color w:val="000000" w:themeColor="text1"/>
          <w:kern w:val="0"/>
          <w:sz w:val="32"/>
          <w:szCs w:val="32"/>
        </w:rPr>
        <w:t>19.2</w:t>
      </w:r>
      <w:r w:rsidRPr="00352DFE">
        <w:rPr>
          <w:rFonts w:eastAsia="仿宋_GB2312"/>
          <w:snapToGrid w:val="0"/>
          <w:color w:val="000000" w:themeColor="text1"/>
          <w:kern w:val="0"/>
          <w:sz w:val="32"/>
          <w:szCs w:val="32"/>
        </w:rPr>
        <w:t>万元；未申请法院强制执行</w:t>
      </w:r>
      <w:r w:rsidRPr="00352DFE">
        <w:rPr>
          <w:rFonts w:eastAsia="仿宋_GB2312"/>
          <w:snapToGrid w:val="0"/>
          <w:color w:val="000000" w:themeColor="text1"/>
          <w:kern w:val="0"/>
          <w:sz w:val="32"/>
          <w:szCs w:val="32"/>
        </w:rPr>
        <w:t>5</w:t>
      </w:r>
      <w:r w:rsidRPr="00352DFE">
        <w:rPr>
          <w:rFonts w:eastAsia="仿宋_GB2312"/>
          <w:snapToGrid w:val="0"/>
          <w:color w:val="000000" w:themeColor="text1"/>
          <w:kern w:val="0"/>
          <w:sz w:val="32"/>
          <w:szCs w:val="32"/>
        </w:rPr>
        <w:t>宗。</w:t>
      </w:r>
      <w:r w:rsidRPr="00352DFE">
        <w:rPr>
          <w:rFonts w:eastAsia="仿宋_GB2312"/>
          <w:b/>
          <w:snapToGrid w:val="0"/>
          <w:color w:val="000000" w:themeColor="text1"/>
          <w:kern w:val="0"/>
          <w:sz w:val="32"/>
          <w:szCs w:val="32"/>
        </w:rPr>
        <w:t>扎实</w:t>
      </w:r>
      <w:proofErr w:type="gramStart"/>
      <w:r w:rsidRPr="00352DFE">
        <w:rPr>
          <w:rFonts w:eastAsia="仿宋_GB2312"/>
          <w:b/>
          <w:snapToGrid w:val="0"/>
          <w:color w:val="000000" w:themeColor="text1"/>
          <w:kern w:val="0"/>
          <w:sz w:val="32"/>
          <w:szCs w:val="32"/>
        </w:rPr>
        <w:t>开展卫片图</w:t>
      </w:r>
      <w:proofErr w:type="gramEnd"/>
      <w:r w:rsidRPr="00352DFE">
        <w:rPr>
          <w:rFonts w:eastAsia="仿宋_GB2312"/>
          <w:b/>
          <w:snapToGrid w:val="0"/>
          <w:color w:val="000000" w:themeColor="text1"/>
          <w:kern w:val="0"/>
          <w:sz w:val="32"/>
          <w:szCs w:val="32"/>
        </w:rPr>
        <w:t>斑核查整改：</w:t>
      </w:r>
      <w:r w:rsidRPr="00352DFE">
        <w:rPr>
          <w:rFonts w:eastAsia="仿宋_GB2312"/>
          <w:snapToGrid w:val="0"/>
          <w:color w:val="000000" w:themeColor="text1"/>
          <w:kern w:val="0"/>
          <w:sz w:val="32"/>
          <w:szCs w:val="32"/>
        </w:rPr>
        <w:t>核查图斑</w:t>
      </w:r>
      <w:r w:rsidRPr="00352DFE">
        <w:rPr>
          <w:rFonts w:eastAsia="仿宋_GB2312"/>
          <w:snapToGrid w:val="0"/>
          <w:color w:val="000000" w:themeColor="text1"/>
          <w:kern w:val="0"/>
          <w:sz w:val="32"/>
          <w:szCs w:val="32"/>
        </w:rPr>
        <w:t>233</w:t>
      </w:r>
      <w:r w:rsidRPr="00352DFE">
        <w:rPr>
          <w:rFonts w:eastAsia="仿宋_GB2312"/>
          <w:snapToGrid w:val="0"/>
          <w:color w:val="000000" w:themeColor="text1"/>
          <w:kern w:val="0"/>
          <w:sz w:val="32"/>
          <w:szCs w:val="32"/>
        </w:rPr>
        <w:t>个，</w:t>
      </w:r>
      <w:r w:rsidRPr="00352DFE">
        <w:rPr>
          <w:rFonts w:eastAsia="仿宋_GB2312"/>
          <w:snapToGrid w:val="0"/>
          <w:color w:val="000000" w:themeColor="text1"/>
          <w:kern w:val="0"/>
          <w:sz w:val="32"/>
          <w:szCs w:val="32"/>
        </w:rPr>
        <w:t>53</w:t>
      </w:r>
      <w:r w:rsidRPr="00352DFE">
        <w:rPr>
          <w:rFonts w:eastAsia="仿宋_GB2312"/>
          <w:snapToGrid w:val="0"/>
          <w:color w:val="000000" w:themeColor="text1"/>
          <w:kern w:val="0"/>
          <w:sz w:val="32"/>
          <w:szCs w:val="32"/>
        </w:rPr>
        <w:t>个正在进行外业核查，</w:t>
      </w:r>
      <w:r w:rsidRPr="00352DFE">
        <w:rPr>
          <w:rFonts w:eastAsia="仿宋_GB2312"/>
          <w:snapToGrid w:val="0"/>
          <w:color w:val="000000" w:themeColor="text1"/>
          <w:kern w:val="0"/>
          <w:sz w:val="32"/>
          <w:szCs w:val="32"/>
        </w:rPr>
        <w:t>180</w:t>
      </w:r>
      <w:r w:rsidRPr="00352DFE">
        <w:rPr>
          <w:rFonts w:eastAsia="仿宋_GB2312"/>
          <w:snapToGrid w:val="0"/>
          <w:color w:val="000000" w:themeColor="text1"/>
          <w:kern w:val="0"/>
          <w:sz w:val="32"/>
          <w:szCs w:val="32"/>
        </w:rPr>
        <w:t>个已完成</w:t>
      </w:r>
      <w:r w:rsidRPr="00352DFE">
        <w:rPr>
          <w:rFonts w:eastAsia="仿宋_GB2312"/>
          <w:color w:val="000000" w:themeColor="text1"/>
          <w:sz w:val="32"/>
          <w:szCs w:val="32"/>
        </w:rPr>
        <w:t>外业核查、</w:t>
      </w:r>
      <w:proofErr w:type="gramStart"/>
      <w:r w:rsidRPr="00352DFE">
        <w:rPr>
          <w:rFonts w:eastAsia="仿宋_GB2312"/>
          <w:color w:val="000000" w:themeColor="text1"/>
          <w:sz w:val="32"/>
          <w:szCs w:val="32"/>
        </w:rPr>
        <w:t>图斑套和</w:t>
      </w:r>
      <w:proofErr w:type="gramEnd"/>
      <w:r w:rsidRPr="00352DFE">
        <w:rPr>
          <w:rFonts w:eastAsia="仿宋_GB2312"/>
          <w:color w:val="000000" w:themeColor="text1"/>
          <w:sz w:val="32"/>
          <w:szCs w:val="32"/>
        </w:rPr>
        <w:t>、资料收集、图斑会审判定、系统填报工作，其中涉及土地违法图斑</w:t>
      </w:r>
      <w:r w:rsidRPr="00352DFE">
        <w:rPr>
          <w:rFonts w:eastAsia="仿宋_GB2312"/>
          <w:color w:val="000000" w:themeColor="text1"/>
          <w:sz w:val="32"/>
          <w:szCs w:val="32"/>
        </w:rPr>
        <w:t>15</w:t>
      </w:r>
      <w:r w:rsidRPr="00352DFE">
        <w:rPr>
          <w:rFonts w:eastAsia="仿宋_GB2312"/>
          <w:color w:val="000000" w:themeColor="text1"/>
          <w:sz w:val="32"/>
          <w:szCs w:val="32"/>
        </w:rPr>
        <w:t>个，面积</w:t>
      </w:r>
      <w:r w:rsidRPr="00352DFE">
        <w:rPr>
          <w:rFonts w:eastAsia="仿宋_GB2312"/>
          <w:color w:val="000000" w:themeColor="text1"/>
          <w:sz w:val="32"/>
          <w:szCs w:val="32"/>
        </w:rPr>
        <w:t>40.86</w:t>
      </w:r>
      <w:r w:rsidRPr="00352DFE">
        <w:rPr>
          <w:rFonts w:eastAsia="仿宋_GB2312"/>
          <w:color w:val="000000" w:themeColor="text1"/>
          <w:sz w:val="32"/>
          <w:szCs w:val="32"/>
        </w:rPr>
        <w:t>亩，占用耕地面积</w:t>
      </w:r>
      <w:r w:rsidRPr="00352DFE">
        <w:rPr>
          <w:rFonts w:eastAsia="仿宋_GB2312"/>
          <w:color w:val="000000" w:themeColor="text1"/>
          <w:sz w:val="32"/>
          <w:szCs w:val="32"/>
        </w:rPr>
        <w:t>31.85</w:t>
      </w:r>
      <w:r w:rsidRPr="00352DFE">
        <w:rPr>
          <w:rFonts w:eastAsia="仿宋_GB2312"/>
          <w:color w:val="000000" w:themeColor="text1"/>
          <w:sz w:val="32"/>
          <w:szCs w:val="32"/>
        </w:rPr>
        <w:t>亩，占用</w:t>
      </w:r>
      <w:r w:rsidRPr="00352DFE">
        <w:rPr>
          <w:rFonts w:eastAsia="仿宋_GB2312"/>
          <w:color w:val="000000" w:themeColor="text1"/>
          <w:sz w:val="32"/>
          <w:szCs w:val="32"/>
        </w:rPr>
        <w:lastRenderedPageBreak/>
        <w:t>基本农田</w:t>
      </w:r>
      <w:r w:rsidRPr="00352DFE">
        <w:rPr>
          <w:rFonts w:eastAsia="仿宋_GB2312"/>
          <w:color w:val="000000" w:themeColor="text1"/>
          <w:sz w:val="32"/>
          <w:szCs w:val="32"/>
        </w:rPr>
        <w:t>25.28</w:t>
      </w:r>
      <w:r w:rsidRPr="00352DFE">
        <w:rPr>
          <w:rFonts w:eastAsia="仿宋_GB2312"/>
          <w:color w:val="000000" w:themeColor="text1"/>
          <w:sz w:val="32"/>
          <w:szCs w:val="32"/>
        </w:rPr>
        <w:t>亩（</w:t>
      </w:r>
      <w:r w:rsidRPr="00352DFE">
        <w:rPr>
          <w:rFonts w:eastAsia="仿宋_GB2312"/>
          <w:color w:val="000000" w:themeColor="text1"/>
          <w:sz w:val="32"/>
          <w:szCs w:val="32"/>
        </w:rPr>
        <w:t>9</w:t>
      </w:r>
      <w:r w:rsidRPr="00352DFE">
        <w:rPr>
          <w:rFonts w:eastAsia="仿宋_GB2312"/>
          <w:color w:val="000000" w:themeColor="text1"/>
          <w:sz w:val="32"/>
          <w:szCs w:val="32"/>
        </w:rPr>
        <w:t>宗地已按权限移交农业农村部门；</w:t>
      </w:r>
      <w:r w:rsidRPr="00352DFE">
        <w:rPr>
          <w:rFonts w:eastAsia="仿宋_GB2312"/>
          <w:color w:val="000000" w:themeColor="text1"/>
          <w:sz w:val="32"/>
          <w:szCs w:val="32"/>
        </w:rPr>
        <w:t>4</w:t>
      </w:r>
      <w:r w:rsidRPr="00352DFE">
        <w:rPr>
          <w:rFonts w:eastAsia="仿宋_GB2312"/>
          <w:color w:val="000000" w:themeColor="text1"/>
          <w:sz w:val="32"/>
          <w:szCs w:val="32"/>
        </w:rPr>
        <w:t>宗地为</w:t>
      </w:r>
      <w:r w:rsidRPr="00352DFE">
        <w:rPr>
          <w:rFonts w:eastAsia="仿宋_GB2312"/>
          <w:color w:val="000000" w:themeColor="text1"/>
          <w:sz w:val="32"/>
          <w:szCs w:val="32"/>
        </w:rPr>
        <w:t>G4216</w:t>
      </w:r>
      <w:r w:rsidRPr="00352DFE">
        <w:rPr>
          <w:rFonts w:eastAsia="仿宋_GB2312"/>
          <w:color w:val="000000" w:themeColor="text1"/>
          <w:sz w:val="32"/>
          <w:szCs w:val="32"/>
        </w:rPr>
        <w:t>违法用地，已立案查处；</w:t>
      </w:r>
      <w:r w:rsidRPr="00352DFE">
        <w:rPr>
          <w:rFonts w:eastAsia="仿宋_GB2312"/>
          <w:color w:val="000000" w:themeColor="text1"/>
          <w:sz w:val="32"/>
          <w:szCs w:val="32"/>
        </w:rPr>
        <w:t>2</w:t>
      </w:r>
      <w:r w:rsidRPr="00352DFE">
        <w:rPr>
          <w:rFonts w:eastAsia="仿宋_GB2312"/>
          <w:color w:val="000000" w:themeColor="text1"/>
          <w:sz w:val="32"/>
          <w:szCs w:val="32"/>
        </w:rPr>
        <w:t>宗地为农村宅基地，正在按程序移交农业农村部门）。</w:t>
      </w:r>
      <w:proofErr w:type="gramStart"/>
      <w:r w:rsidRPr="00352DFE">
        <w:rPr>
          <w:rFonts w:eastAsia="仿宋_GB2312"/>
          <w:color w:val="000000" w:themeColor="text1"/>
          <w:sz w:val="32"/>
          <w:szCs w:val="32"/>
        </w:rPr>
        <w:t>矿产卫片</w:t>
      </w:r>
      <w:r w:rsidRPr="00352DFE">
        <w:rPr>
          <w:rFonts w:eastAsia="仿宋_GB2312"/>
          <w:color w:val="000000" w:themeColor="text1"/>
          <w:sz w:val="32"/>
          <w:szCs w:val="32"/>
        </w:rPr>
        <w:t>2</w:t>
      </w:r>
      <w:r w:rsidRPr="00352DFE">
        <w:rPr>
          <w:rFonts w:eastAsia="仿宋_GB2312"/>
          <w:color w:val="000000" w:themeColor="text1"/>
          <w:sz w:val="32"/>
          <w:szCs w:val="32"/>
        </w:rPr>
        <w:t>个</w:t>
      </w:r>
      <w:proofErr w:type="gramEnd"/>
      <w:r w:rsidRPr="00352DFE">
        <w:rPr>
          <w:rFonts w:eastAsia="仿宋_GB2312"/>
          <w:color w:val="000000" w:themeColor="text1"/>
          <w:sz w:val="32"/>
          <w:szCs w:val="32"/>
        </w:rPr>
        <w:t>，已按实际情况</w:t>
      </w:r>
      <w:proofErr w:type="gramStart"/>
      <w:r w:rsidRPr="00352DFE">
        <w:rPr>
          <w:rFonts w:eastAsia="仿宋_GB2312"/>
          <w:color w:val="000000" w:themeColor="text1"/>
          <w:sz w:val="32"/>
          <w:szCs w:val="32"/>
        </w:rPr>
        <w:t>填报卫片系统</w:t>
      </w:r>
      <w:proofErr w:type="gramEnd"/>
      <w:r w:rsidRPr="00352DFE">
        <w:rPr>
          <w:rFonts w:eastAsia="仿宋_GB2312"/>
          <w:color w:val="000000" w:themeColor="text1"/>
          <w:sz w:val="32"/>
          <w:szCs w:val="32"/>
        </w:rPr>
        <w:t>，不涉及违法行为。</w:t>
      </w:r>
    </w:p>
    <w:p w:rsidR="00705A43" w:rsidRPr="00352DFE" w:rsidRDefault="00705A43" w:rsidP="00705A43">
      <w:pPr>
        <w:pStyle w:val="aa"/>
        <w:shd w:val="clear" w:color="auto" w:fill="FFFFFF"/>
        <w:spacing w:before="93" w:beforeAutospacing="0" w:after="0" w:afterAutospacing="0" w:line="600" w:lineRule="exact"/>
        <w:ind w:firstLine="645"/>
        <w:jc w:val="both"/>
        <w:rPr>
          <w:rFonts w:ascii="Times New Roman" w:eastAsia="仿宋_GB2312" w:hAnsi="Times New Roman" w:cs="Times New Roman"/>
          <w:color w:val="000000" w:themeColor="text1"/>
          <w:sz w:val="32"/>
          <w:szCs w:val="32"/>
        </w:rPr>
      </w:pPr>
      <w:r>
        <w:rPr>
          <w:rFonts w:ascii="Times New Roman" w:eastAsia="楷体_GB2312" w:hAnsi="Times New Roman" w:cs="Times New Roman" w:hint="eastAsia"/>
          <w:bCs/>
          <w:color w:val="000000" w:themeColor="text1"/>
          <w:sz w:val="32"/>
          <w:szCs w:val="32"/>
        </w:rPr>
        <w:t>3</w:t>
      </w:r>
      <w:r>
        <w:rPr>
          <w:rFonts w:ascii="Times New Roman" w:eastAsia="楷体_GB2312" w:hAnsi="Times New Roman" w:cs="Times New Roman" w:hint="eastAsia"/>
          <w:bCs/>
          <w:color w:val="000000" w:themeColor="text1"/>
          <w:sz w:val="32"/>
          <w:szCs w:val="32"/>
        </w:rPr>
        <w:t>．</w:t>
      </w:r>
      <w:r w:rsidRPr="00352DFE">
        <w:rPr>
          <w:rFonts w:ascii="Times New Roman" w:eastAsia="楷体_GB2312" w:hAnsi="Times New Roman" w:cs="Times New Roman"/>
          <w:bCs/>
          <w:color w:val="000000" w:themeColor="text1"/>
          <w:sz w:val="32"/>
          <w:szCs w:val="32"/>
        </w:rPr>
        <w:t>聚焦项目建设，实施全链条要素保障。</w:t>
      </w:r>
      <w:r w:rsidRPr="00352DFE">
        <w:rPr>
          <w:rFonts w:ascii="Times New Roman" w:eastAsia="楷体_GB2312" w:hAnsi="Times New Roman" w:cs="Times New Roman"/>
          <w:b/>
          <w:bCs/>
          <w:color w:val="000000" w:themeColor="text1"/>
          <w:sz w:val="32"/>
          <w:szCs w:val="32"/>
        </w:rPr>
        <w:t>强化用地保障</w:t>
      </w:r>
      <w:r w:rsidRPr="00352DFE">
        <w:rPr>
          <w:rFonts w:ascii="Times New Roman" w:eastAsia="仿宋_GB2312" w:hAnsi="Times New Roman" w:cs="Times New Roman"/>
          <w:b/>
          <w:bCs/>
          <w:color w:val="000000" w:themeColor="text1"/>
          <w:sz w:val="32"/>
          <w:szCs w:val="32"/>
        </w:rPr>
        <w:t>：</w:t>
      </w:r>
      <w:r w:rsidRPr="00352DFE">
        <w:rPr>
          <w:rFonts w:ascii="Times New Roman" w:eastAsia="仿宋_GB2312" w:hAnsi="Times New Roman" w:cs="Times New Roman"/>
          <w:bCs/>
          <w:color w:val="000000" w:themeColor="text1"/>
          <w:sz w:val="32"/>
          <w:szCs w:val="32"/>
        </w:rPr>
        <w:t>2021</w:t>
      </w:r>
      <w:r w:rsidRPr="00352DFE">
        <w:rPr>
          <w:rFonts w:ascii="Times New Roman" w:eastAsia="仿宋_GB2312" w:hAnsi="Times New Roman" w:cs="Times New Roman"/>
          <w:bCs/>
          <w:color w:val="000000" w:themeColor="text1"/>
          <w:sz w:val="32"/>
          <w:szCs w:val="32"/>
        </w:rPr>
        <w:t>年我县共完成</w:t>
      </w:r>
      <w:r w:rsidRPr="00352DFE">
        <w:rPr>
          <w:rFonts w:ascii="Times New Roman" w:eastAsia="仿宋_GB2312" w:hAnsi="Times New Roman" w:cs="Times New Roman"/>
          <w:bCs/>
          <w:color w:val="000000" w:themeColor="text1"/>
          <w:sz w:val="32"/>
          <w:szCs w:val="32"/>
        </w:rPr>
        <w:t>3</w:t>
      </w:r>
      <w:r w:rsidRPr="00352DFE">
        <w:rPr>
          <w:rFonts w:ascii="Times New Roman" w:eastAsia="仿宋_GB2312" w:hAnsi="Times New Roman" w:cs="Times New Roman"/>
          <w:bCs/>
          <w:color w:val="000000" w:themeColor="text1"/>
          <w:sz w:val="32"/>
          <w:szCs w:val="32"/>
        </w:rPr>
        <w:t>个批次建设用地和</w:t>
      </w:r>
      <w:r w:rsidRPr="00352DFE">
        <w:rPr>
          <w:rFonts w:ascii="Times New Roman" w:eastAsia="仿宋_GB2312" w:hAnsi="Times New Roman" w:cs="Times New Roman"/>
          <w:bCs/>
          <w:color w:val="000000" w:themeColor="text1"/>
          <w:sz w:val="32"/>
          <w:szCs w:val="32"/>
        </w:rPr>
        <w:t>1</w:t>
      </w:r>
      <w:r w:rsidRPr="00352DFE">
        <w:rPr>
          <w:rFonts w:ascii="Times New Roman" w:eastAsia="仿宋_GB2312" w:hAnsi="Times New Roman" w:cs="Times New Roman"/>
          <w:bCs/>
          <w:color w:val="000000" w:themeColor="text1"/>
          <w:sz w:val="32"/>
          <w:szCs w:val="32"/>
        </w:rPr>
        <w:t>个单选项目用地报批工作，报批总面积</w:t>
      </w:r>
      <w:r w:rsidRPr="00352DFE">
        <w:rPr>
          <w:rFonts w:ascii="Times New Roman" w:eastAsia="仿宋_GB2312" w:hAnsi="Times New Roman" w:cs="Times New Roman"/>
          <w:bCs/>
          <w:color w:val="000000" w:themeColor="text1"/>
          <w:sz w:val="32"/>
          <w:szCs w:val="32"/>
        </w:rPr>
        <w:t>30.2193</w:t>
      </w:r>
      <w:r w:rsidRPr="00352DFE">
        <w:rPr>
          <w:rFonts w:ascii="Times New Roman" w:eastAsia="仿宋_GB2312" w:hAnsi="Times New Roman" w:cs="Times New Roman"/>
          <w:bCs/>
          <w:color w:val="000000" w:themeColor="text1"/>
          <w:sz w:val="32"/>
          <w:szCs w:val="32"/>
        </w:rPr>
        <w:t>公顷，其中：</w:t>
      </w:r>
      <w:r w:rsidRPr="00352DFE">
        <w:rPr>
          <w:rFonts w:ascii="Times New Roman" w:eastAsia="仿宋_GB2312" w:hAnsi="Times New Roman" w:cs="Times New Roman"/>
          <w:bCs/>
          <w:color w:val="000000" w:themeColor="text1"/>
          <w:sz w:val="32"/>
          <w:szCs w:val="32"/>
        </w:rPr>
        <w:t>2021</w:t>
      </w:r>
      <w:r w:rsidRPr="00352DFE">
        <w:rPr>
          <w:rFonts w:ascii="Times New Roman" w:eastAsia="仿宋_GB2312" w:hAnsi="Times New Roman" w:cs="Times New Roman"/>
          <w:bCs/>
          <w:color w:val="000000" w:themeColor="text1"/>
          <w:sz w:val="32"/>
          <w:szCs w:val="32"/>
        </w:rPr>
        <w:t>年</w:t>
      </w:r>
      <w:r w:rsidRPr="00352DFE">
        <w:rPr>
          <w:rFonts w:ascii="Times New Roman" w:eastAsia="仿宋_GB2312" w:hAnsi="Times New Roman" w:cs="Times New Roman"/>
          <w:bCs/>
          <w:color w:val="000000" w:themeColor="text1"/>
          <w:sz w:val="32"/>
          <w:szCs w:val="32"/>
        </w:rPr>
        <w:t>1</w:t>
      </w:r>
      <w:r w:rsidRPr="00352DFE">
        <w:rPr>
          <w:rFonts w:ascii="Times New Roman" w:eastAsia="仿宋_GB2312" w:hAnsi="Times New Roman" w:cs="Times New Roman"/>
          <w:bCs/>
          <w:color w:val="000000" w:themeColor="text1"/>
          <w:sz w:val="32"/>
          <w:szCs w:val="32"/>
        </w:rPr>
        <w:t>批次报批面积</w:t>
      </w:r>
      <w:r w:rsidRPr="00352DFE">
        <w:rPr>
          <w:rFonts w:ascii="Times New Roman" w:eastAsia="仿宋_GB2312" w:hAnsi="Times New Roman" w:cs="Times New Roman"/>
          <w:bCs/>
          <w:color w:val="000000" w:themeColor="text1"/>
          <w:sz w:val="32"/>
          <w:szCs w:val="32"/>
        </w:rPr>
        <w:t>18.8829</w:t>
      </w:r>
      <w:r w:rsidRPr="00352DFE">
        <w:rPr>
          <w:rFonts w:ascii="Times New Roman" w:eastAsia="仿宋_GB2312" w:hAnsi="Times New Roman" w:cs="Times New Roman"/>
          <w:bCs/>
          <w:color w:val="000000" w:themeColor="text1"/>
          <w:sz w:val="32"/>
          <w:szCs w:val="32"/>
        </w:rPr>
        <w:t>公顷，涉及红格镇乡村振兴示范工程、</w:t>
      </w:r>
      <w:proofErr w:type="gramStart"/>
      <w:r w:rsidRPr="00352DFE">
        <w:rPr>
          <w:rFonts w:ascii="Times New Roman" w:eastAsia="仿宋_GB2312" w:hAnsi="Times New Roman" w:cs="Times New Roman"/>
          <w:bCs/>
          <w:color w:val="000000" w:themeColor="text1"/>
          <w:sz w:val="32"/>
          <w:szCs w:val="32"/>
        </w:rPr>
        <w:t>岩羊河</w:t>
      </w:r>
      <w:proofErr w:type="gramEnd"/>
      <w:r w:rsidRPr="00352DFE">
        <w:rPr>
          <w:rFonts w:ascii="Times New Roman" w:eastAsia="仿宋_GB2312" w:hAnsi="Times New Roman" w:cs="Times New Roman"/>
          <w:bCs/>
          <w:color w:val="000000" w:themeColor="text1"/>
          <w:sz w:val="32"/>
          <w:szCs w:val="32"/>
        </w:rPr>
        <w:t>河道治理工程两个项目；</w:t>
      </w:r>
      <w:r w:rsidRPr="00352DFE">
        <w:rPr>
          <w:rFonts w:ascii="Times New Roman" w:eastAsia="仿宋_GB2312" w:hAnsi="Times New Roman" w:cs="Times New Roman"/>
          <w:bCs/>
          <w:color w:val="000000" w:themeColor="text1"/>
          <w:sz w:val="32"/>
          <w:szCs w:val="32"/>
        </w:rPr>
        <w:t>2021</w:t>
      </w:r>
      <w:r w:rsidRPr="00352DFE">
        <w:rPr>
          <w:rFonts w:ascii="Times New Roman" w:eastAsia="仿宋_GB2312" w:hAnsi="Times New Roman" w:cs="Times New Roman"/>
          <w:bCs/>
          <w:color w:val="000000" w:themeColor="text1"/>
          <w:sz w:val="32"/>
          <w:szCs w:val="32"/>
        </w:rPr>
        <w:t>年</w:t>
      </w:r>
      <w:r w:rsidRPr="00352DFE">
        <w:rPr>
          <w:rFonts w:ascii="Times New Roman" w:eastAsia="仿宋_GB2312" w:hAnsi="Times New Roman" w:cs="Times New Roman"/>
          <w:bCs/>
          <w:color w:val="000000" w:themeColor="text1"/>
          <w:sz w:val="32"/>
          <w:szCs w:val="32"/>
        </w:rPr>
        <w:t>2</w:t>
      </w:r>
      <w:r w:rsidRPr="00352DFE">
        <w:rPr>
          <w:rFonts w:ascii="Times New Roman" w:eastAsia="仿宋_GB2312" w:hAnsi="Times New Roman" w:cs="Times New Roman"/>
          <w:bCs/>
          <w:color w:val="000000" w:themeColor="text1"/>
          <w:sz w:val="32"/>
          <w:szCs w:val="32"/>
        </w:rPr>
        <w:t>批次报批</w:t>
      </w:r>
      <w:r w:rsidRPr="00352DFE">
        <w:rPr>
          <w:rFonts w:ascii="Times New Roman" w:eastAsia="仿宋_GB2312" w:hAnsi="Times New Roman" w:cs="Times New Roman"/>
          <w:bCs/>
          <w:color w:val="000000" w:themeColor="text1"/>
          <w:sz w:val="32"/>
          <w:szCs w:val="32"/>
        </w:rPr>
        <w:t>4.2512</w:t>
      </w:r>
      <w:r w:rsidRPr="00352DFE">
        <w:rPr>
          <w:rFonts w:ascii="Times New Roman" w:eastAsia="仿宋_GB2312" w:hAnsi="Times New Roman" w:cs="Times New Roman"/>
          <w:bCs/>
          <w:color w:val="000000" w:themeColor="text1"/>
          <w:sz w:val="32"/>
          <w:szCs w:val="32"/>
        </w:rPr>
        <w:t>公顷，涉及</w:t>
      </w:r>
      <w:proofErr w:type="gramStart"/>
      <w:r w:rsidRPr="00352DFE">
        <w:rPr>
          <w:rFonts w:ascii="Times New Roman" w:eastAsia="仿宋_GB2312" w:hAnsi="Times New Roman" w:cs="Times New Roman"/>
          <w:bCs/>
          <w:color w:val="000000" w:themeColor="text1"/>
          <w:sz w:val="32"/>
          <w:szCs w:val="32"/>
        </w:rPr>
        <w:t>岩羊河</w:t>
      </w:r>
      <w:proofErr w:type="gramEnd"/>
      <w:r w:rsidRPr="00352DFE">
        <w:rPr>
          <w:rFonts w:ascii="Times New Roman" w:eastAsia="仿宋_GB2312" w:hAnsi="Times New Roman" w:cs="Times New Roman"/>
          <w:bCs/>
          <w:color w:val="000000" w:themeColor="text1"/>
          <w:sz w:val="32"/>
          <w:szCs w:val="32"/>
        </w:rPr>
        <w:t>河道治理工程、盐边县红格</w:t>
      </w:r>
      <w:proofErr w:type="gramStart"/>
      <w:r w:rsidRPr="00352DFE">
        <w:rPr>
          <w:rFonts w:ascii="Times New Roman" w:eastAsia="仿宋_GB2312" w:hAnsi="Times New Roman" w:cs="Times New Roman"/>
          <w:bCs/>
          <w:color w:val="000000" w:themeColor="text1"/>
          <w:sz w:val="32"/>
          <w:szCs w:val="32"/>
        </w:rPr>
        <w:t>供水厂扩能</w:t>
      </w:r>
      <w:proofErr w:type="gramEnd"/>
      <w:r w:rsidRPr="00352DFE">
        <w:rPr>
          <w:rFonts w:ascii="Times New Roman" w:eastAsia="仿宋_GB2312" w:hAnsi="Times New Roman" w:cs="Times New Roman"/>
          <w:bCs/>
          <w:color w:val="000000" w:themeColor="text1"/>
          <w:sz w:val="32"/>
          <w:szCs w:val="32"/>
        </w:rPr>
        <w:t>工程；</w:t>
      </w:r>
      <w:r w:rsidRPr="00352DFE">
        <w:rPr>
          <w:rFonts w:ascii="Times New Roman" w:eastAsia="仿宋_GB2312" w:hAnsi="Times New Roman" w:cs="Times New Roman"/>
          <w:bCs/>
          <w:color w:val="000000" w:themeColor="text1"/>
          <w:sz w:val="32"/>
          <w:szCs w:val="32"/>
        </w:rPr>
        <w:t>2021</w:t>
      </w:r>
      <w:r w:rsidRPr="00352DFE">
        <w:rPr>
          <w:rFonts w:ascii="Times New Roman" w:eastAsia="仿宋_GB2312" w:hAnsi="Times New Roman" w:cs="Times New Roman"/>
          <w:bCs/>
          <w:color w:val="000000" w:themeColor="text1"/>
          <w:sz w:val="32"/>
          <w:szCs w:val="32"/>
        </w:rPr>
        <w:t>年</w:t>
      </w:r>
      <w:r w:rsidRPr="00352DFE">
        <w:rPr>
          <w:rFonts w:ascii="Times New Roman" w:eastAsia="仿宋_GB2312" w:hAnsi="Times New Roman" w:cs="Times New Roman"/>
          <w:bCs/>
          <w:color w:val="000000" w:themeColor="text1"/>
          <w:sz w:val="32"/>
          <w:szCs w:val="32"/>
        </w:rPr>
        <w:t>3</w:t>
      </w:r>
      <w:r w:rsidRPr="00352DFE">
        <w:rPr>
          <w:rFonts w:ascii="Times New Roman" w:eastAsia="仿宋_GB2312" w:hAnsi="Times New Roman" w:cs="Times New Roman"/>
          <w:bCs/>
          <w:color w:val="000000" w:themeColor="text1"/>
          <w:sz w:val="32"/>
          <w:szCs w:val="32"/>
        </w:rPr>
        <w:t>批次报批面积</w:t>
      </w:r>
      <w:r w:rsidRPr="00352DFE">
        <w:rPr>
          <w:rFonts w:ascii="Times New Roman" w:eastAsia="仿宋_GB2312" w:hAnsi="Times New Roman" w:cs="Times New Roman"/>
          <w:bCs/>
          <w:color w:val="000000" w:themeColor="text1"/>
          <w:sz w:val="32"/>
          <w:szCs w:val="32"/>
        </w:rPr>
        <w:t>1.6925</w:t>
      </w:r>
      <w:r w:rsidRPr="00352DFE">
        <w:rPr>
          <w:rFonts w:ascii="Times New Roman" w:eastAsia="仿宋_GB2312" w:hAnsi="Times New Roman" w:cs="Times New Roman"/>
          <w:bCs/>
          <w:color w:val="000000" w:themeColor="text1"/>
          <w:sz w:val="32"/>
          <w:szCs w:val="32"/>
        </w:rPr>
        <w:t>公顷，涉及</w:t>
      </w:r>
      <w:proofErr w:type="gramStart"/>
      <w:r w:rsidRPr="00352DFE">
        <w:rPr>
          <w:rFonts w:ascii="Times New Roman" w:eastAsia="仿宋_GB2312" w:hAnsi="Times New Roman" w:cs="Times New Roman"/>
          <w:bCs/>
          <w:color w:val="000000" w:themeColor="text1"/>
          <w:sz w:val="32"/>
          <w:szCs w:val="32"/>
        </w:rPr>
        <w:t>盐边县格萨拉</w:t>
      </w:r>
      <w:proofErr w:type="gramEnd"/>
      <w:r w:rsidRPr="00352DFE">
        <w:rPr>
          <w:rFonts w:ascii="Times New Roman" w:eastAsia="仿宋_GB2312" w:hAnsi="Times New Roman" w:cs="Times New Roman"/>
          <w:bCs/>
          <w:color w:val="000000" w:themeColor="text1"/>
          <w:sz w:val="32"/>
          <w:szCs w:val="32"/>
        </w:rPr>
        <w:t>彝族乡雷达站建设项目、盐边县桐子</w:t>
      </w:r>
      <w:proofErr w:type="gramStart"/>
      <w:r w:rsidRPr="00352DFE">
        <w:rPr>
          <w:rFonts w:ascii="Times New Roman" w:eastAsia="仿宋_GB2312" w:hAnsi="Times New Roman" w:cs="Times New Roman"/>
          <w:bCs/>
          <w:color w:val="000000" w:themeColor="text1"/>
          <w:sz w:val="32"/>
          <w:szCs w:val="32"/>
        </w:rPr>
        <w:t>林粮食</w:t>
      </w:r>
      <w:proofErr w:type="gramEnd"/>
      <w:r w:rsidRPr="00352DFE">
        <w:rPr>
          <w:rFonts w:ascii="Times New Roman" w:eastAsia="仿宋_GB2312" w:hAnsi="Times New Roman" w:cs="Times New Roman"/>
          <w:bCs/>
          <w:color w:val="000000" w:themeColor="text1"/>
          <w:sz w:val="32"/>
          <w:szCs w:val="32"/>
        </w:rPr>
        <w:t>储备库（新建）项目（项目盐边县县级应急物资储备库（新建）项目；</w:t>
      </w:r>
      <w:proofErr w:type="gramStart"/>
      <w:r w:rsidRPr="00352DFE">
        <w:rPr>
          <w:rFonts w:ascii="Times New Roman" w:eastAsia="仿宋_GB2312" w:hAnsi="Times New Roman" w:cs="Times New Roman"/>
          <w:bCs/>
          <w:color w:val="000000" w:themeColor="text1"/>
          <w:sz w:val="32"/>
          <w:szCs w:val="32"/>
        </w:rPr>
        <w:t>盐边县手攀岩</w:t>
      </w:r>
      <w:proofErr w:type="gramEnd"/>
      <w:r w:rsidRPr="00352DFE">
        <w:rPr>
          <w:rFonts w:ascii="Times New Roman" w:eastAsia="仿宋_GB2312" w:hAnsi="Times New Roman" w:cs="Times New Roman"/>
          <w:bCs/>
          <w:color w:val="000000" w:themeColor="text1"/>
          <w:sz w:val="32"/>
          <w:szCs w:val="32"/>
        </w:rPr>
        <w:t>大桥报批面积</w:t>
      </w:r>
      <w:r w:rsidRPr="00352DFE">
        <w:rPr>
          <w:rFonts w:ascii="Times New Roman" w:eastAsia="仿宋_GB2312" w:hAnsi="Times New Roman" w:cs="Times New Roman"/>
          <w:bCs/>
          <w:color w:val="000000" w:themeColor="text1"/>
          <w:sz w:val="32"/>
          <w:szCs w:val="32"/>
        </w:rPr>
        <w:t>5.3927</w:t>
      </w:r>
      <w:r w:rsidRPr="00352DFE">
        <w:rPr>
          <w:rFonts w:ascii="Times New Roman" w:eastAsia="仿宋_GB2312" w:hAnsi="Times New Roman" w:cs="Times New Roman"/>
          <w:bCs/>
          <w:color w:val="000000" w:themeColor="text1"/>
          <w:sz w:val="32"/>
          <w:szCs w:val="32"/>
        </w:rPr>
        <w:t>公顷。</w:t>
      </w:r>
      <w:r w:rsidRPr="00352DFE">
        <w:rPr>
          <w:rFonts w:ascii="Times New Roman" w:eastAsia="仿宋_GB2312" w:hAnsi="Times New Roman" w:cs="Times New Roman"/>
          <w:b/>
          <w:bCs/>
          <w:color w:val="000000" w:themeColor="text1"/>
          <w:sz w:val="32"/>
          <w:szCs w:val="32"/>
        </w:rPr>
        <w:t>抓好土地供应</w:t>
      </w:r>
      <w:r w:rsidRPr="00352DFE">
        <w:rPr>
          <w:rFonts w:ascii="Times New Roman" w:eastAsia="仿宋_GB2312" w:hAnsi="Times New Roman" w:cs="Times New Roman"/>
          <w:b/>
          <w:color w:val="000000" w:themeColor="text1"/>
          <w:sz w:val="32"/>
          <w:szCs w:val="32"/>
        </w:rPr>
        <w:t>：</w:t>
      </w:r>
      <w:r w:rsidRPr="00352DFE">
        <w:rPr>
          <w:rFonts w:ascii="Times New Roman" w:eastAsia="仿宋_GB2312" w:hAnsi="Times New Roman" w:cs="Times New Roman"/>
          <w:color w:val="000000" w:themeColor="text1"/>
          <w:sz w:val="32"/>
          <w:szCs w:val="32"/>
        </w:rPr>
        <w:t>2021</w:t>
      </w:r>
      <w:r w:rsidRPr="00352DFE">
        <w:rPr>
          <w:rFonts w:ascii="Times New Roman" w:eastAsia="仿宋_GB2312" w:hAnsi="Times New Roman" w:cs="Times New Roman"/>
          <w:color w:val="000000" w:themeColor="text1"/>
          <w:sz w:val="32"/>
          <w:szCs w:val="32"/>
        </w:rPr>
        <w:t>年全年发布出让公告</w:t>
      </w:r>
      <w:r w:rsidRPr="00352DFE">
        <w:rPr>
          <w:rFonts w:ascii="Times New Roman" w:eastAsia="仿宋_GB2312" w:hAnsi="Times New Roman" w:cs="Times New Roman"/>
          <w:color w:val="000000" w:themeColor="text1"/>
          <w:sz w:val="32"/>
          <w:szCs w:val="32"/>
        </w:rPr>
        <w:t>6</w:t>
      </w:r>
      <w:r w:rsidRPr="00352DFE">
        <w:rPr>
          <w:rFonts w:ascii="Times New Roman" w:eastAsia="仿宋_GB2312" w:hAnsi="Times New Roman" w:cs="Times New Roman"/>
          <w:color w:val="000000" w:themeColor="text1"/>
          <w:sz w:val="32"/>
          <w:szCs w:val="32"/>
        </w:rPr>
        <w:t>期，以</w:t>
      </w:r>
      <w:proofErr w:type="gramStart"/>
      <w:r w:rsidRPr="00352DFE">
        <w:rPr>
          <w:rFonts w:ascii="Times New Roman" w:eastAsia="仿宋_GB2312" w:hAnsi="Times New Roman" w:cs="Times New Roman"/>
          <w:color w:val="000000" w:themeColor="text1"/>
          <w:sz w:val="32"/>
          <w:szCs w:val="32"/>
        </w:rPr>
        <w:t>招拍挂方式</w:t>
      </w:r>
      <w:proofErr w:type="gramEnd"/>
      <w:r w:rsidRPr="00352DFE">
        <w:rPr>
          <w:rFonts w:ascii="Times New Roman" w:eastAsia="仿宋_GB2312" w:hAnsi="Times New Roman" w:cs="Times New Roman"/>
          <w:color w:val="000000" w:themeColor="text1"/>
          <w:sz w:val="32"/>
          <w:szCs w:val="32"/>
        </w:rPr>
        <w:t>出让土地</w:t>
      </w:r>
      <w:r w:rsidRPr="00352DFE">
        <w:rPr>
          <w:rFonts w:ascii="Times New Roman" w:eastAsia="仿宋_GB2312" w:hAnsi="Times New Roman" w:cs="Times New Roman"/>
          <w:color w:val="000000" w:themeColor="text1"/>
          <w:sz w:val="32"/>
          <w:szCs w:val="32"/>
        </w:rPr>
        <w:t>25</w:t>
      </w:r>
      <w:r w:rsidRPr="00352DFE">
        <w:rPr>
          <w:rFonts w:ascii="Times New Roman" w:eastAsia="仿宋_GB2312" w:hAnsi="Times New Roman" w:cs="Times New Roman"/>
          <w:color w:val="000000" w:themeColor="text1"/>
          <w:sz w:val="32"/>
          <w:szCs w:val="32"/>
        </w:rPr>
        <w:t>宗，其中拍卖</w:t>
      </w:r>
      <w:r w:rsidRPr="00352DFE">
        <w:rPr>
          <w:rFonts w:ascii="Times New Roman" w:eastAsia="仿宋_GB2312" w:hAnsi="Times New Roman" w:cs="Times New Roman"/>
          <w:color w:val="000000" w:themeColor="text1"/>
          <w:sz w:val="32"/>
          <w:szCs w:val="32"/>
        </w:rPr>
        <w:t>19</w:t>
      </w:r>
      <w:r w:rsidRPr="00352DFE">
        <w:rPr>
          <w:rFonts w:ascii="Times New Roman" w:eastAsia="仿宋_GB2312" w:hAnsi="Times New Roman" w:cs="Times New Roman"/>
          <w:color w:val="000000" w:themeColor="text1"/>
          <w:sz w:val="32"/>
          <w:szCs w:val="32"/>
        </w:rPr>
        <w:t>宗，面积</w:t>
      </w:r>
      <w:r w:rsidRPr="00352DFE">
        <w:rPr>
          <w:rFonts w:ascii="Times New Roman" w:eastAsia="仿宋_GB2312" w:hAnsi="Times New Roman" w:cs="Times New Roman"/>
          <w:color w:val="000000" w:themeColor="text1"/>
          <w:sz w:val="32"/>
          <w:szCs w:val="32"/>
        </w:rPr>
        <w:t>1089.513</w:t>
      </w:r>
      <w:r w:rsidRPr="00352DFE">
        <w:rPr>
          <w:rFonts w:ascii="Times New Roman" w:eastAsia="仿宋_GB2312" w:hAnsi="Times New Roman" w:cs="Times New Roman"/>
          <w:color w:val="000000" w:themeColor="text1"/>
          <w:sz w:val="32"/>
          <w:szCs w:val="32"/>
        </w:rPr>
        <w:t>亩，成交总价</w:t>
      </w:r>
      <w:r w:rsidRPr="00352DFE">
        <w:rPr>
          <w:rFonts w:ascii="Times New Roman" w:eastAsia="仿宋_GB2312" w:hAnsi="Times New Roman" w:cs="Times New Roman"/>
          <w:color w:val="000000" w:themeColor="text1"/>
          <w:sz w:val="32"/>
          <w:szCs w:val="32"/>
        </w:rPr>
        <w:t>4.3866</w:t>
      </w:r>
      <w:r w:rsidRPr="00352DFE">
        <w:rPr>
          <w:rFonts w:ascii="Times New Roman" w:eastAsia="仿宋_GB2312" w:hAnsi="Times New Roman" w:cs="Times New Roman"/>
          <w:color w:val="000000" w:themeColor="text1"/>
          <w:sz w:val="32"/>
          <w:szCs w:val="32"/>
        </w:rPr>
        <w:t>亿元，挂牌</w:t>
      </w:r>
      <w:r w:rsidRPr="00352DFE">
        <w:rPr>
          <w:rFonts w:ascii="Times New Roman" w:eastAsia="仿宋_GB2312" w:hAnsi="Times New Roman" w:cs="Times New Roman"/>
          <w:color w:val="000000" w:themeColor="text1"/>
          <w:sz w:val="32"/>
          <w:szCs w:val="32"/>
        </w:rPr>
        <w:t>6</w:t>
      </w:r>
      <w:r w:rsidRPr="00352DFE">
        <w:rPr>
          <w:rFonts w:ascii="Times New Roman" w:eastAsia="仿宋_GB2312" w:hAnsi="Times New Roman" w:cs="Times New Roman"/>
          <w:color w:val="000000" w:themeColor="text1"/>
          <w:sz w:val="32"/>
          <w:szCs w:val="32"/>
        </w:rPr>
        <w:t>宗，面积</w:t>
      </w:r>
      <w:r w:rsidRPr="00352DFE">
        <w:rPr>
          <w:rFonts w:ascii="Times New Roman" w:eastAsia="仿宋_GB2312" w:hAnsi="Times New Roman" w:cs="Times New Roman"/>
          <w:color w:val="000000" w:themeColor="text1"/>
          <w:sz w:val="32"/>
          <w:szCs w:val="32"/>
        </w:rPr>
        <w:t>181.26</w:t>
      </w:r>
      <w:r w:rsidRPr="00352DFE">
        <w:rPr>
          <w:rFonts w:ascii="Times New Roman" w:eastAsia="仿宋_GB2312" w:hAnsi="Times New Roman" w:cs="Times New Roman"/>
          <w:color w:val="000000" w:themeColor="text1"/>
          <w:sz w:val="32"/>
          <w:szCs w:val="32"/>
        </w:rPr>
        <w:t>亩，成交总价</w:t>
      </w:r>
      <w:r w:rsidRPr="00352DFE">
        <w:rPr>
          <w:rFonts w:ascii="Times New Roman" w:eastAsia="仿宋_GB2312" w:hAnsi="Times New Roman" w:cs="Times New Roman"/>
          <w:color w:val="000000" w:themeColor="text1"/>
          <w:sz w:val="32"/>
          <w:szCs w:val="32"/>
        </w:rPr>
        <w:t>0.3111</w:t>
      </w:r>
      <w:r w:rsidRPr="00352DFE">
        <w:rPr>
          <w:rFonts w:ascii="Times New Roman" w:eastAsia="仿宋_GB2312" w:hAnsi="Times New Roman" w:cs="Times New Roman"/>
          <w:color w:val="000000" w:themeColor="text1"/>
          <w:sz w:val="32"/>
          <w:szCs w:val="32"/>
        </w:rPr>
        <w:t>亿元，总收入</w:t>
      </w:r>
      <w:r w:rsidRPr="00352DFE">
        <w:rPr>
          <w:rFonts w:ascii="Times New Roman" w:eastAsia="仿宋_GB2312" w:hAnsi="Times New Roman" w:cs="Times New Roman"/>
          <w:color w:val="000000" w:themeColor="text1"/>
          <w:sz w:val="32"/>
          <w:szCs w:val="32"/>
        </w:rPr>
        <w:t>4.6977</w:t>
      </w:r>
      <w:r w:rsidRPr="00352DFE">
        <w:rPr>
          <w:rFonts w:ascii="Times New Roman" w:eastAsia="仿宋_GB2312" w:hAnsi="Times New Roman" w:cs="Times New Roman"/>
          <w:color w:val="000000" w:themeColor="text1"/>
          <w:sz w:val="32"/>
          <w:szCs w:val="32"/>
        </w:rPr>
        <w:t>亿元。收缴</w:t>
      </w:r>
      <w:r w:rsidRPr="00352DFE">
        <w:rPr>
          <w:rFonts w:ascii="Times New Roman" w:eastAsia="仿宋_GB2312" w:hAnsi="Times New Roman" w:cs="Times New Roman"/>
          <w:color w:val="000000" w:themeColor="text1"/>
          <w:sz w:val="32"/>
          <w:szCs w:val="32"/>
        </w:rPr>
        <w:t>2020</w:t>
      </w:r>
      <w:r w:rsidRPr="00352DFE">
        <w:rPr>
          <w:rFonts w:ascii="Times New Roman" w:eastAsia="仿宋_GB2312" w:hAnsi="Times New Roman" w:cs="Times New Roman"/>
          <w:color w:val="000000" w:themeColor="text1"/>
          <w:sz w:val="32"/>
          <w:szCs w:val="32"/>
        </w:rPr>
        <w:t>年出让宗地尾款</w:t>
      </w:r>
      <w:r w:rsidRPr="00352DFE">
        <w:rPr>
          <w:rFonts w:ascii="Times New Roman" w:eastAsia="仿宋_GB2312" w:hAnsi="Times New Roman" w:cs="Times New Roman"/>
          <w:color w:val="000000" w:themeColor="text1"/>
          <w:sz w:val="32"/>
          <w:szCs w:val="32"/>
        </w:rPr>
        <w:t>3.5257</w:t>
      </w:r>
      <w:r w:rsidRPr="00352DFE">
        <w:rPr>
          <w:rFonts w:ascii="Times New Roman" w:eastAsia="仿宋_GB2312" w:hAnsi="Times New Roman" w:cs="Times New Roman"/>
          <w:color w:val="000000" w:themeColor="text1"/>
          <w:sz w:val="32"/>
          <w:szCs w:val="32"/>
        </w:rPr>
        <w:t>亿元，收缴因未按时缴纳土地出让金产生的滞纳金</w:t>
      </w:r>
      <w:r w:rsidRPr="00352DFE">
        <w:rPr>
          <w:rFonts w:ascii="Times New Roman" w:eastAsia="仿宋_GB2312" w:hAnsi="Times New Roman" w:cs="Times New Roman"/>
          <w:color w:val="000000" w:themeColor="text1"/>
          <w:sz w:val="32"/>
          <w:szCs w:val="32"/>
        </w:rPr>
        <w:t>0.204</w:t>
      </w:r>
      <w:r w:rsidRPr="00352DFE">
        <w:rPr>
          <w:rFonts w:ascii="Times New Roman" w:eastAsia="仿宋_GB2312" w:hAnsi="Times New Roman" w:cs="Times New Roman"/>
          <w:color w:val="000000" w:themeColor="text1"/>
          <w:sz w:val="32"/>
          <w:szCs w:val="32"/>
        </w:rPr>
        <w:t>亿元。</w:t>
      </w:r>
      <w:r w:rsidRPr="00352DFE">
        <w:rPr>
          <w:rFonts w:ascii="Times New Roman" w:eastAsia="仿宋_GB2312" w:hAnsi="Times New Roman" w:cs="Times New Roman"/>
          <w:b/>
          <w:color w:val="000000" w:themeColor="text1"/>
          <w:sz w:val="32"/>
          <w:szCs w:val="32"/>
        </w:rPr>
        <w:t>做细</w:t>
      </w:r>
      <w:r w:rsidRPr="00352DFE">
        <w:rPr>
          <w:rFonts w:ascii="Times New Roman" w:eastAsia="仿宋_GB2312" w:hAnsi="Times New Roman" w:cs="Times New Roman"/>
          <w:b/>
          <w:bCs/>
          <w:color w:val="000000" w:themeColor="text1"/>
          <w:sz w:val="32"/>
          <w:szCs w:val="32"/>
        </w:rPr>
        <w:t>规划审查：</w:t>
      </w:r>
      <w:r w:rsidRPr="00352DFE">
        <w:rPr>
          <w:rFonts w:ascii="Times New Roman" w:eastAsia="仿宋_GB2312" w:hAnsi="Times New Roman" w:cs="Times New Roman"/>
          <w:color w:val="000000" w:themeColor="text1"/>
          <w:sz w:val="32"/>
          <w:szCs w:val="32"/>
        </w:rPr>
        <w:t>召开项目规划方案及指标论证报告专家评审会</w:t>
      </w:r>
      <w:r w:rsidRPr="00352DFE">
        <w:rPr>
          <w:rFonts w:ascii="Times New Roman" w:eastAsia="仿宋_GB2312" w:hAnsi="Times New Roman" w:cs="Times New Roman"/>
          <w:color w:val="000000" w:themeColor="text1"/>
          <w:sz w:val="32"/>
          <w:szCs w:val="32"/>
        </w:rPr>
        <w:t>66</w:t>
      </w:r>
      <w:r w:rsidRPr="00352DFE">
        <w:rPr>
          <w:rFonts w:ascii="Times New Roman" w:eastAsia="仿宋_GB2312" w:hAnsi="Times New Roman" w:cs="Times New Roman"/>
          <w:color w:val="000000" w:themeColor="text1"/>
          <w:sz w:val="32"/>
          <w:szCs w:val="32"/>
        </w:rPr>
        <w:t>次，审查方案</w:t>
      </w:r>
      <w:r w:rsidRPr="00352DFE">
        <w:rPr>
          <w:rFonts w:ascii="Times New Roman" w:eastAsia="仿宋_GB2312" w:hAnsi="Times New Roman" w:cs="Times New Roman"/>
          <w:color w:val="000000" w:themeColor="text1"/>
          <w:sz w:val="32"/>
          <w:szCs w:val="32"/>
        </w:rPr>
        <w:t>39</w:t>
      </w:r>
      <w:r w:rsidRPr="00352DFE">
        <w:rPr>
          <w:rFonts w:ascii="Times New Roman" w:eastAsia="仿宋_GB2312" w:hAnsi="Times New Roman" w:cs="Times New Roman"/>
          <w:color w:val="000000" w:themeColor="text1"/>
          <w:sz w:val="32"/>
          <w:szCs w:val="32"/>
        </w:rPr>
        <w:t>个，审查指标论证项目</w:t>
      </w:r>
      <w:r w:rsidRPr="00352DFE">
        <w:rPr>
          <w:rFonts w:ascii="Times New Roman" w:eastAsia="仿宋_GB2312" w:hAnsi="Times New Roman" w:cs="Times New Roman"/>
          <w:color w:val="000000" w:themeColor="text1"/>
          <w:sz w:val="32"/>
          <w:szCs w:val="32"/>
        </w:rPr>
        <w:t>27</w:t>
      </w:r>
      <w:r w:rsidRPr="00352DFE">
        <w:rPr>
          <w:rFonts w:ascii="Times New Roman" w:eastAsia="仿宋_GB2312" w:hAnsi="Times New Roman" w:cs="Times New Roman"/>
          <w:color w:val="000000" w:themeColor="text1"/>
          <w:sz w:val="32"/>
          <w:szCs w:val="32"/>
        </w:rPr>
        <w:t>个；召开县自然资源和规划委员会会议</w:t>
      </w:r>
      <w:r w:rsidRPr="00352DFE">
        <w:rPr>
          <w:rFonts w:ascii="Times New Roman" w:eastAsia="仿宋_GB2312" w:hAnsi="Times New Roman" w:cs="Times New Roman"/>
          <w:color w:val="000000" w:themeColor="text1"/>
          <w:sz w:val="32"/>
          <w:szCs w:val="32"/>
        </w:rPr>
        <w:t>5</w:t>
      </w:r>
      <w:r w:rsidRPr="00352DFE">
        <w:rPr>
          <w:rFonts w:ascii="Times New Roman" w:eastAsia="仿宋_GB2312" w:hAnsi="Times New Roman" w:cs="Times New Roman"/>
          <w:color w:val="000000" w:themeColor="text1"/>
          <w:sz w:val="32"/>
          <w:szCs w:val="32"/>
        </w:rPr>
        <w:t>次，项目用地选址</w:t>
      </w:r>
      <w:r w:rsidRPr="00352DFE">
        <w:rPr>
          <w:rFonts w:ascii="Times New Roman" w:eastAsia="仿宋_GB2312" w:hAnsi="Times New Roman" w:cs="Times New Roman"/>
          <w:color w:val="000000" w:themeColor="text1"/>
          <w:sz w:val="32"/>
          <w:szCs w:val="32"/>
        </w:rPr>
        <w:t>43</w:t>
      </w:r>
      <w:r w:rsidRPr="00352DFE">
        <w:rPr>
          <w:rFonts w:ascii="Times New Roman" w:eastAsia="仿宋_GB2312" w:hAnsi="Times New Roman" w:cs="Times New Roman"/>
          <w:color w:val="000000" w:themeColor="text1"/>
          <w:sz w:val="32"/>
          <w:szCs w:val="32"/>
        </w:rPr>
        <w:t>个；核发《建设项目选址意见书》</w:t>
      </w:r>
      <w:r w:rsidRPr="00352DFE">
        <w:rPr>
          <w:rFonts w:ascii="Times New Roman" w:eastAsia="仿宋_GB2312" w:hAnsi="Times New Roman" w:cs="Times New Roman"/>
          <w:color w:val="000000" w:themeColor="text1"/>
          <w:sz w:val="32"/>
          <w:szCs w:val="32"/>
        </w:rPr>
        <w:t>9</w:t>
      </w:r>
      <w:r w:rsidRPr="00352DFE">
        <w:rPr>
          <w:rFonts w:ascii="Times New Roman" w:eastAsia="仿宋_GB2312" w:hAnsi="Times New Roman" w:cs="Times New Roman"/>
          <w:color w:val="000000" w:themeColor="text1"/>
          <w:sz w:val="32"/>
          <w:szCs w:val="32"/>
        </w:rPr>
        <w:t>份、《建设用地规划许可证》</w:t>
      </w:r>
      <w:r w:rsidRPr="00352DFE">
        <w:rPr>
          <w:rFonts w:ascii="Times New Roman" w:eastAsia="仿宋_GB2312" w:hAnsi="Times New Roman" w:cs="Times New Roman"/>
          <w:color w:val="000000" w:themeColor="text1"/>
          <w:sz w:val="32"/>
          <w:szCs w:val="32"/>
        </w:rPr>
        <w:t>27</w:t>
      </w:r>
      <w:r w:rsidRPr="00352DFE">
        <w:rPr>
          <w:rFonts w:ascii="Times New Roman" w:eastAsia="仿宋_GB2312" w:hAnsi="Times New Roman" w:cs="Times New Roman"/>
          <w:color w:val="000000" w:themeColor="text1"/>
          <w:sz w:val="32"/>
          <w:szCs w:val="32"/>
        </w:rPr>
        <w:t>份、</w:t>
      </w:r>
      <w:r w:rsidRPr="00352DFE">
        <w:rPr>
          <w:rFonts w:ascii="Times New Roman" w:eastAsia="仿宋_GB2312" w:hAnsi="Times New Roman" w:cs="Times New Roman"/>
          <w:color w:val="000000" w:themeColor="text1"/>
          <w:sz w:val="32"/>
          <w:szCs w:val="32"/>
        </w:rPr>
        <w:lastRenderedPageBreak/>
        <w:t>《建设工程规划许可证》</w:t>
      </w:r>
      <w:r w:rsidRPr="00352DFE">
        <w:rPr>
          <w:rFonts w:ascii="Times New Roman" w:eastAsia="仿宋_GB2312" w:hAnsi="Times New Roman" w:cs="Times New Roman"/>
          <w:color w:val="000000" w:themeColor="text1"/>
          <w:sz w:val="32"/>
          <w:szCs w:val="32"/>
        </w:rPr>
        <w:t>26</w:t>
      </w:r>
      <w:r w:rsidRPr="00352DFE">
        <w:rPr>
          <w:rFonts w:ascii="Times New Roman" w:eastAsia="仿宋_GB2312" w:hAnsi="Times New Roman" w:cs="Times New Roman"/>
          <w:color w:val="000000" w:themeColor="text1"/>
          <w:sz w:val="32"/>
          <w:szCs w:val="32"/>
        </w:rPr>
        <w:t>份。加强地块研究，做好地块出让前期规划条件出具工作，出具规划设计条件</w:t>
      </w:r>
      <w:r w:rsidRPr="00352DFE">
        <w:rPr>
          <w:rFonts w:ascii="Times New Roman" w:eastAsia="仿宋_GB2312" w:hAnsi="Times New Roman" w:cs="Times New Roman"/>
          <w:color w:val="000000" w:themeColor="text1"/>
          <w:sz w:val="32"/>
          <w:szCs w:val="32"/>
        </w:rPr>
        <w:t>35</w:t>
      </w:r>
      <w:r w:rsidRPr="00352DFE">
        <w:rPr>
          <w:rFonts w:ascii="Times New Roman" w:eastAsia="仿宋_GB2312" w:hAnsi="Times New Roman" w:cs="Times New Roman"/>
          <w:color w:val="000000" w:themeColor="text1"/>
          <w:sz w:val="32"/>
          <w:szCs w:val="32"/>
        </w:rPr>
        <w:t>份。</w:t>
      </w:r>
      <w:r w:rsidRPr="00352DFE">
        <w:rPr>
          <w:rFonts w:ascii="Times New Roman" w:eastAsia="仿宋_GB2312" w:hAnsi="Times New Roman" w:cs="Times New Roman"/>
          <w:b/>
          <w:color w:val="000000" w:themeColor="text1"/>
          <w:sz w:val="32"/>
          <w:szCs w:val="32"/>
        </w:rPr>
        <w:t>积极推进批而未</w:t>
      </w:r>
      <w:proofErr w:type="gramStart"/>
      <w:r w:rsidRPr="00352DFE">
        <w:rPr>
          <w:rFonts w:ascii="Times New Roman" w:eastAsia="仿宋_GB2312" w:hAnsi="Times New Roman" w:cs="Times New Roman"/>
          <w:b/>
          <w:color w:val="000000" w:themeColor="text1"/>
          <w:sz w:val="32"/>
          <w:szCs w:val="32"/>
        </w:rPr>
        <w:t>供土地</w:t>
      </w:r>
      <w:proofErr w:type="gramEnd"/>
      <w:r w:rsidRPr="00352DFE">
        <w:rPr>
          <w:rFonts w:ascii="Times New Roman" w:eastAsia="仿宋_GB2312" w:hAnsi="Times New Roman" w:cs="Times New Roman"/>
          <w:b/>
          <w:color w:val="000000" w:themeColor="text1"/>
          <w:sz w:val="32"/>
          <w:szCs w:val="32"/>
        </w:rPr>
        <w:t>处置：</w:t>
      </w:r>
      <w:r w:rsidRPr="00352DFE">
        <w:rPr>
          <w:rFonts w:ascii="Times New Roman" w:eastAsia="仿宋_GB2312" w:hAnsi="Times New Roman" w:cs="Times New Roman"/>
          <w:color w:val="000000" w:themeColor="text1"/>
          <w:sz w:val="32"/>
          <w:szCs w:val="32"/>
        </w:rPr>
        <w:t>2021</w:t>
      </w:r>
      <w:r w:rsidRPr="00352DFE">
        <w:rPr>
          <w:rFonts w:ascii="Times New Roman" w:eastAsia="仿宋_GB2312" w:hAnsi="Times New Roman" w:cs="Times New Roman"/>
          <w:color w:val="000000" w:themeColor="text1"/>
          <w:sz w:val="32"/>
          <w:szCs w:val="32"/>
        </w:rPr>
        <w:t>年省自然资源厅下达盐边县</w:t>
      </w:r>
      <w:r w:rsidRPr="00352DFE">
        <w:rPr>
          <w:rFonts w:ascii="Times New Roman" w:eastAsia="仿宋_GB2312" w:hAnsi="Times New Roman" w:cs="Times New Roman"/>
          <w:color w:val="000000" w:themeColor="text1"/>
          <w:sz w:val="32"/>
          <w:szCs w:val="32"/>
        </w:rPr>
        <w:t>2009—2018</w:t>
      </w:r>
      <w:r w:rsidRPr="00352DFE">
        <w:rPr>
          <w:rFonts w:ascii="Times New Roman" w:eastAsia="仿宋_GB2312" w:hAnsi="Times New Roman" w:cs="Times New Roman"/>
          <w:color w:val="000000" w:themeColor="text1"/>
          <w:sz w:val="32"/>
          <w:szCs w:val="32"/>
        </w:rPr>
        <w:t>年批而未</w:t>
      </w:r>
      <w:proofErr w:type="gramStart"/>
      <w:r w:rsidRPr="00352DFE">
        <w:rPr>
          <w:rFonts w:ascii="Times New Roman" w:eastAsia="仿宋_GB2312" w:hAnsi="Times New Roman" w:cs="Times New Roman"/>
          <w:color w:val="000000" w:themeColor="text1"/>
          <w:sz w:val="32"/>
          <w:szCs w:val="32"/>
        </w:rPr>
        <w:t>供土地</w:t>
      </w:r>
      <w:proofErr w:type="gramEnd"/>
      <w:r w:rsidRPr="00352DFE">
        <w:rPr>
          <w:rFonts w:ascii="Times New Roman" w:eastAsia="仿宋_GB2312" w:hAnsi="Times New Roman" w:cs="Times New Roman"/>
          <w:color w:val="000000" w:themeColor="text1"/>
          <w:sz w:val="32"/>
          <w:szCs w:val="32"/>
        </w:rPr>
        <w:t>总量</w:t>
      </w:r>
      <w:r w:rsidRPr="00352DFE">
        <w:rPr>
          <w:rFonts w:ascii="Times New Roman" w:eastAsia="仿宋_GB2312" w:hAnsi="Times New Roman" w:cs="Times New Roman"/>
          <w:color w:val="000000" w:themeColor="text1"/>
          <w:sz w:val="32"/>
          <w:szCs w:val="32"/>
        </w:rPr>
        <w:t>114.88</w:t>
      </w:r>
      <w:r w:rsidRPr="00352DFE">
        <w:rPr>
          <w:rFonts w:ascii="Times New Roman" w:eastAsia="仿宋_GB2312" w:hAnsi="Times New Roman" w:cs="Times New Roman"/>
          <w:color w:val="000000" w:themeColor="text1"/>
          <w:sz w:val="32"/>
          <w:szCs w:val="32"/>
        </w:rPr>
        <w:t>公顷，按</w:t>
      </w:r>
      <w:r w:rsidRPr="00352DFE">
        <w:rPr>
          <w:rFonts w:ascii="Times New Roman" w:eastAsia="仿宋_GB2312" w:hAnsi="Times New Roman" w:cs="Times New Roman"/>
          <w:color w:val="000000" w:themeColor="text1"/>
          <w:sz w:val="32"/>
          <w:szCs w:val="32"/>
        </w:rPr>
        <w:t>18%</w:t>
      </w:r>
      <w:r w:rsidRPr="00352DFE">
        <w:rPr>
          <w:rFonts w:ascii="Times New Roman" w:eastAsia="仿宋_GB2312" w:hAnsi="Times New Roman" w:cs="Times New Roman"/>
          <w:color w:val="000000" w:themeColor="text1"/>
          <w:sz w:val="32"/>
          <w:szCs w:val="32"/>
        </w:rPr>
        <w:t>的处置任务要求，需处置</w:t>
      </w:r>
      <w:r w:rsidRPr="00352DFE">
        <w:rPr>
          <w:rFonts w:ascii="Times New Roman" w:eastAsia="仿宋_GB2312" w:hAnsi="Times New Roman" w:cs="Times New Roman"/>
          <w:color w:val="000000" w:themeColor="text1"/>
          <w:sz w:val="32"/>
          <w:szCs w:val="32"/>
        </w:rPr>
        <w:t>20.68</w:t>
      </w:r>
      <w:r w:rsidRPr="00352DFE">
        <w:rPr>
          <w:rFonts w:ascii="Times New Roman" w:eastAsia="仿宋_GB2312" w:hAnsi="Times New Roman" w:cs="Times New Roman"/>
          <w:color w:val="000000" w:themeColor="text1"/>
          <w:sz w:val="32"/>
          <w:szCs w:val="32"/>
        </w:rPr>
        <w:t>公顷。经我县全面梳理批而未供存量土地情况，采取规划调整、优化选址、划拨供应、公开出让、开竣工动态管理等措施，</w:t>
      </w:r>
      <w:r w:rsidRPr="00352DFE">
        <w:rPr>
          <w:rFonts w:ascii="Times New Roman" w:eastAsia="仿宋_GB2312" w:hAnsi="Times New Roman" w:cs="Times New Roman"/>
          <w:color w:val="000000" w:themeColor="text1"/>
          <w:sz w:val="32"/>
          <w:szCs w:val="32"/>
        </w:rPr>
        <w:t>2021</w:t>
      </w:r>
      <w:r w:rsidRPr="00352DFE">
        <w:rPr>
          <w:rFonts w:ascii="Times New Roman" w:eastAsia="仿宋_GB2312" w:hAnsi="Times New Roman" w:cs="Times New Roman"/>
          <w:color w:val="000000" w:themeColor="text1"/>
          <w:sz w:val="32"/>
          <w:szCs w:val="32"/>
        </w:rPr>
        <w:t>年我县处置批而未</w:t>
      </w:r>
      <w:proofErr w:type="gramStart"/>
      <w:r w:rsidRPr="00352DFE">
        <w:rPr>
          <w:rFonts w:ascii="Times New Roman" w:eastAsia="仿宋_GB2312" w:hAnsi="Times New Roman" w:cs="Times New Roman"/>
          <w:color w:val="000000" w:themeColor="text1"/>
          <w:sz w:val="32"/>
          <w:szCs w:val="32"/>
        </w:rPr>
        <w:t>供土地</w:t>
      </w:r>
      <w:proofErr w:type="gramEnd"/>
      <w:r w:rsidRPr="00352DFE">
        <w:rPr>
          <w:rFonts w:ascii="Times New Roman" w:eastAsia="仿宋_GB2312" w:hAnsi="Times New Roman" w:cs="Times New Roman"/>
          <w:color w:val="000000" w:themeColor="text1"/>
          <w:sz w:val="32"/>
          <w:szCs w:val="32"/>
        </w:rPr>
        <w:t>45.54</w:t>
      </w:r>
      <w:r w:rsidRPr="00352DFE">
        <w:rPr>
          <w:rFonts w:ascii="Times New Roman" w:eastAsia="仿宋_GB2312" w:hAnsi="Times New Roman" w:cs="Times New Roman"/>
          <w:color w:val="000000" w:themeColor="text1"/>
          <w:sz w:val="32"/>
          <w:szCs w:val="32"/>
        </w:rPr>
        <w:t>公顷，处置率</w:t>
      </w:r>
      <w:r w:rsidRPr="00352DFE">
        <w:rPr>
          <w:rFonts w:ascii="Times New Roman" w:eastAsia="仿宋_GB2312" w:hAnsi="Times New Roman" w:cs="Times New Roman"/>
          <w:color w:val="000000" w:themeColor="text1"/>
          <w:sz w:val="32"/>
          <w:szCs w:val="32"/>
        </w:rPr>
        <w:t>41.99%</w:t>
      </w:r>
      <w:r w:rsidRPr="00352DFE">
        <w:rPr>
          <w:rFonts w:ascii="Times New Roman" w:eastAsia="仿宋_GB2312" w:hAnsi="Times New Roman" w:cs="Times New Roman"/>
          <w:color w:val="000000" w:themeColor="text1"/>
          <w:sz w:val="32"/>
          <w:szCs w:val="32"/>
        </w:rPr>
        <w:t>，圆满完成</w:t>
      </w:r>
      <w:r w:rsidRPr="00352DFE">
        <w:rPr>
          <w:rFonts w:ascii="Times New Roman" w:eastAsia="仿宋_GB2312" w:hAnsi="Times New Roman" w:cs="Times New Roman"/>
          <w:color w:val="000000" w:themeColor="text1"/>
          <w:sz w:val="32"/>
          <w:szCs w:val="32"/>
        </w:rPr>
        <w:t>“</w:t>
      </w:r>
      <w:r w:rsidRPr="00352DFE">
        <w:rPr>
          <w:rFonts w:ascii="Times New Roman" w:eastAsia="仿宋_GB2312" w:hAnsi="Times New Roman" w:cs="Times New Roman"/>
          <w:color w:val="000000" w:themeColor="text1"/>
          <w:sz w:val="32"/>
          <w:szCs w:val="32"/>
        </w:rPr>
        <w:t>批而未供</w:t>
      </w:r>
      <w:r w:rsidRPr="00352DFE">
        <w:rPr>
          <w:rFonts w:ascii="Times New Roman" w:eastAsia="仿宋_GB2312" w:hAnsi="Times New Roman" w:cs="Times New Roman"/>
          <w:color w:val="000000" w:themeColor="text1"/>
          <w:sz w:val="32"/>
          <w:szCs w:val="32"/>
        </w:rPr>
        <w:t>”</w:t>
      </w:r>
      <w:r w:rsidRPr="00352DFE">
        <w:rPr>
          <w:rFonts w:ascii="Times New Roman" w:eastAsia="仿宋_GB2312" w:hAnsi="Times New Roman" w:cs="Times New Roman"/>
          <w:color w:val="000000" w:themeColor="text1"/>
          <w:sz w:val="32"/>
          <w:szCs w:val="32"/>
        </w:rPr>
        <w:t>土地处置率</w:t>
      </w:r>
      <w:r w:rsidRPr="00352DFE">
        <w:rPr>
          <w:rFonts w:ascii="Times New Roman" w:eastAsia="仿宋_GB2312" w:hAnsi="Times New Roman" w:cs="Times New Roman"/>
          <w:color w:val="000000" w:themeColor="text1"/>
          <w:sz w:val="32"/>
          <w:szCs w:val="32"/>
        </w:rPr>
        <w:t>18%</w:t>
      </w:r>
      <w:r w:rsidRPr="00352DFE">
        <w:rPr>
          <w:rFonts w:ascii="Times New Roman" w:eastAsia="仿宋_GB2312" w:hAnsi="Times New Roman" w:cs="Times New Roman"/>
          <w:color w:val="000000" w:themeColor="text1"/>
          <w:sz w:val="32"/>
          <w:szCs w:val="32"/>
        </w:rPr>
        <w:t>的目标任务，处置率位居全市第一。</w:t>
      </w:r>
      <w:r w:rsidRPr="00352DFE">
        <w:rPr>
          <w:rFonts w:ascii="Times New Roman" w:eastAsia="仿宋_GB2312" w:hAnsi="Times New Roman" w:cs="Times New Roman"/>
          <w:b/>
          <w:color w:val="000000" w:themeColor="text1"/>
          <w:sz w:val="32"/>
          <w:szCs w:val="32"/>
        </w:rPr>
        <w:t>化解闲置土地处置：</w:t>
      </w:r>
      <w:r w:rsidRPr="00352DFE">
        <w:rPr>
          <w:rFonts w:ascii="Times New Roman" w:eastAsia="仿宋_GB2312" w:hAnsi="Times New Roman" w:cs="Times New Roman"/>
          <w:color w:val="000000" w:themeColor="text1"/>
          <w:sz w:val="32"/>
          <w:szCs w:val="32"/>
        </w:rPr>
        <w:t>2021</w:t>
      </w:r>
      <w:r w:rsidRPr="00352DFE">
        <w:rPr>
          <w:rFonts w:ascii="Times New Roman" w:eastAsia="仿宋_GB2312" w:hAnsi="Times New Roman" w:cs="Times New Roman"/>
          <w:color w:val="000000" w:themeColor="text1"/>
          <w:sz w:val="32"/>
          <w:szCs w:val="32"/>
        </w:rPr>
        <w:t>年我县已涉嫌闲置的土地</w:t>
      </w:r>
      <w:r w:rsidRPr="00352DFE">
        <w:rPr>
          <w:rFonts w:ascii="Times New Roman" w:eastAsia="仿宋_GB2312" w:hAnsi="Times New Roman" w:cs="Times New Roman"/>
          <w:color w:val="000000" w:themeColor="text1"/>
          <w:sz w:val="32"/>
          <w:szCs w:val="32"/>
        </w:rPr>
        <w:t>2</w:t>
      </w:r>
      <w:r w:rsidRPr="00352DFE">
        <w:rPr>
          <w:rFonts w:ascii="Times New Roman" w:eastAsia="仿宋_GB2312" w:hAnsi="Times New Roman" w:cs="Times New Roman"/>
          <w:color w:val="000000" w:themeColor="text1"/>
          <w:sz w:val="32"/>
          <w:szCs w:val="32"/>
        </w:rPr>
        <w:t>宗，面积</w:t>
      </w:r>
      <w:r w:rsidRPr="00352DFE">
        <w:rPr>
          <w:rFonts w:ascii="Times New Roman" w:eastAsia="仿宋_GB2312" w:hAnsi="Times New Roman" w:cs="Times New Roman"/>
          <w:color w:val="000000" w:themeColor="text1"/>
          <w:sz w:val="32"/>
          <w:szCs w:val="32"/>
        </w:rPr>
        <w:t>2.13</w:t>
      </w:r>
      <w:r w:rsidRPr="00352DFE">
        <w:rPr>
          <w:rFonts w:ascii="Times New Roman" w:eastAsia="仿宋_GB2312" w:hAnsi="Times New Roman" w:cs="Times New Roman"/>
          <w:color w:val="000000" w:themeColor="text1"/>
          <w:sz w:val="32"/>
          <w:szCs w:val="32"/>
        </w:rPr>
        <w:t>公顷，为</w:t>
      </w:r>
      <w:r w:rsidRPr="00352DFE">
        <w:rPr>
          <w:rFonts w:ascii="Times New Roman" w:eastAsia="仿宋_GB2312" w:hAnsi="Times New Roman" w:cs="Times New Roman"/>
          <w:color w:val="000000" w:themeColor="text1"/>
          <w:sz w:val="32"/>
          <w:szCs w:val="32"/>
        </w:rPr>
        <w:t>2018</w:t>
      </w:r>
      <w:r w:rsidRPr="00352DFE">
        <w:rPr>
          <w:rFonts w:ascii="Times New Roman" w:eastAsia="仿宋_GB2312" w:hAnsi="Times New Roman" w:cs="Times New Roman"/>
          <w:color w:val="000000" w:themeColor="text1"/>
          <w:sz w:val="32"/>
          <w:szCs w:val="32"/>
        </w:rPr>
        <w:t>年出让安宁园区工业用地，路路顺矿业有限公司、全盛工贸，目前该</w:t>
      </w:r>
      <w:r w:rsidRPr="00352DFE">
        <w:rPr>
          <w:rFonts w:ascii="Times New Roman" w:eastAsia="仿宋_GB2312" w:hAnsi="Times New Roman" w:cs="Times New Roman"/>
          <w:color w:val="000000" w:themeColor="text1"/>
          <w:sz w:val="32"/>
          <w:szCs w:val="32"/>
        </w:rPr>
        <w:t>2</w:t>
      </w:r>
      <w:r w:rsidRPr="00352DFE">
        <w:rPr>
          <w:rFonts w:ascii="Times New Roman" w:eastAsia="仿宋_GB2312" w:hAnsi="Times New Roman" w:cs="Times New Roman"/>
          <w:color w:val="000000" w:themeColor="text1"/>
          <w:sz w:val="32"/>
          <w:szCs w:val="32"/>
        </w:rPr>
        <w:t>宗地均已开工建设，并已上</w:t>
      </w:r>
      <w:proofErr w:type="gramStart"/>
      <w:r w:rsidRPr="00352DFE">
        <w:rPr>
          <w:rFonts w:ascii="Times New Roman" w:eastAsia="仿宋_GB2312" w:hAnsi="Times New Roman" w:cs="Times New Roman"/>
          <w:color w:val="000000" w:themeColor="text1"/>
          <w:sz w:val="32"/>
          <w:szCs w:val="32"/>
        </w:rPr>
        <w:t>传施工</w:t>
      </w:r>
      <w:proofErr w:type="gramEnd"/>
      <w:r w:rsidRPr="00352DFE">
        <w:rPr>
          <w:rFonts w:ascii="Times New Roman" w:eastAsia="仿宋_GB2312" w:hAnsi="Times New Roman" w:cs="Times New Roman"/>
          <w:color w:val="000000" w:themeColor="text1"/>
          <w:sz w:val="32"/>
          <w:szCs w:val="32"/>
        </w:rPr>
        <w:t>许可证和现场动工照片，已解除闲置状态，处置率</w:t>
      </w:r>
      <w:r w:rsidRPr="00352DFE">
        <w:rPr>
          <w:rFonts w:ascii="Times New Roman" w:eastAsia="仿宋_GB2312" w:hAnsi="Times New Roman" w:cs="Times New Roman"/>
          <w:color w:val="000000" w:themeColor="text1"/>
          <w:sz w:val="32"/>
          <w:szCs w:val="32"/>
        </w:rPr>
        <w:t>100%</w:t>
      </w:r>
      <w:r w:rsidRPr="00352DFE">
        <w:rPr>
          <w:rFonts w:ascii="Times New Roman" w:eastAsia="仿宋_GB2312" w:hAnsi="Times New Roman" w:cs="Times New Roman"/>
          <w:color w:val="000000" w:themeColor="text1"/>
          <w:sz w:val="32"/>
          <w:szCs w:val="32"/>
        </w:rPr>
        <w:t>。集体建设用地和农用地分等定级和基准地价编制工作。</w:t>
      </w:r>
      <w:r w:rsidRPr="00352DFE">
        <w:rPr>
          <w:rFonts w:ascii="Times New Roman" w:eastAsia="仿宋_GB2312" w:hAnsi="Times New Roman" w:cs="Times New Roman"/>
          <w:color w:val="000000" w:themeColor="text1"/>
          <w:sz w:val="32"/>
          <w:szCs w:val="32"/>
        </w:rPr>
        <w:t>2021</w:t>
      </w:r>
      <w:r w:rsidRPr="00352DFE">
        <w:rPr>
          <w:rFonts w:ascii="Times New Roman" w:eastAsia="仿宋_GB2312" w:hAnsi="Times New Roman" w:cs="Times New Roman"/>
          <w:color w:val="000000" w:themeColor="text1"/>
          <w:sz w:val="32"/>
          <w:szCs w:val="32"/>
        </w:rPr>
        <w:t>年完成了全县集体建设用地和农用地的分等定级和基准地价编制工作，通过了专家验收和公布实施，为下一步农用地流转工作和集体经营性建设用地入市工作开展打下基础。</w:t>
      </w:r>
    </w:p>
    <w:p w:rsidR="00705A43" w:rsidRPr="00352DFE" w:rsidRDefault="00705A43" w:rsidP="00705A43">
      <w:pPr>
        <w:spacing w:line="600" w:lineRule="exact"/>
        <w:ind w:firstLineChars="200" w:firstLine="640"/>
        <w:rPr>
          <w:rFonts w:eastAsia="仿宋_GB2312"/>
          <w:bCs/>
          <w:color w:val="000000" w:themeColor="text1"/>
          <w:sz w:val="32"/>
          <w:szCs w:val="32"/>
        </w:rPr>
      </w:pPr>
      <w:r>
        <w:rPr>
          <w:rFonts w:eastAsia="楷体_GB2312" w:hint="eastAsia"/>
          <w:bCs/>
          <w:color w:val="000000" w:themeColor="text1"/>
          <w:sz w:val="32"/>
          <w:szCs w:val="32"/>
        </w:rPr>
        <w:t>4</w:t>
      </w:r>
      <w:r>
        <w:rPr>
          <w:rFonts w:eastAsia="楷体_GB2312" w:hint="eastAsia"/>
          <w:bCs/>
          <w:color w:val="000000" w:themeColor="text1"/>
          <w:sz w:val="32"/>
          <w:szCs w:val="32"/>
        </w:rPr>
        <w:t>．</w:t>
      </w:r>
      <w:r w:rsidRPr="00352DFE">
        <w:rPr>
          <w:rFonts w:eastAsia="楷体_GB2312"/>
          <w:bCs/>
          <w:color w:val="000000" w:themeColor="text1"/>
          <w:sz w:val="32"/>
          <w:szCs w:val="32"/>
        </w:rPr>
        <w:t>聚焦资源管理，实施全过程整治修复。</w:t>
      </w:r>
      <w:r w:rsidRPr="00352DFE">
        <w:rPr>
          <w:rFonts w:eastAsia="楷体_GB2312"/>
          <w:b/>
          <w:bCs/>
          <w:color w:val="000000" w:themeColor="text1"/>
          <w:sz w:val="32"/>
          <w:szCs w:val="32"/>
        </w:rPr>
        <w:t>推进</w:t>
      </w:r>
      <w:r w:rsidRPr="00352DFE">
        <w:rPr>
          <w:rFonts w:eastAsia="仿宋_GB2312"/>
          <w:b/>
          <w:color w:val="000000" w:themeColor="text1"/>
          <w:sz w:val="32"/>
          <w:szCs w:val="32"/>
        </w:rPr>
        <w:t>废弃矿山生态修复：</w:t>
      </w:r>
      <w:r w:rsidRPr="00352DFE">
        <w:rPr>
          <w:rFonts w:eastAsia="仿宋_GB2312"/>
          <w:color w:val="000000" w:themeColor="text1"/>
          <w:sz w:val="32"/>
          <w:szCs w:val="32"/>
        </w:rPr>
        <w:t>完成</w:t>
      </w:r>
      <w:r w:rsidRPr="00352DFE">
        <w:rPr>
          <w:rFonts w:eastAsia="仿宋_GB2312"/>
          <w:color w:val="000000" w:themeColor="text1"/>
          <w:sz w:val="32"/>
          <w:szCs w:val="32"/>
        </w:rPr>
        <w:t>2020</w:t>
      </w:r>
      <w:r w:rsidRPr="00352DFE">
        <w:rPr>
          <w:rFonts w:eastAsia="仿宋_GB2312"/>
          <w:color w:val="000000" w:themeColor="text1"/>
          <w:sz w:val="32"/>
          <w:szCs w:val="32"/>
        </w:rPr>
        <w:t>年度</w:t>
      </w:r>
      <w:r w:rsidRPr="00352DFE">
        <w:rPr>
          <w:rFonts w:eastAsia="仿宋_GB2312"/>
          <w:color w:val="000000" w:themeColor="text1"/>
          <w:sz w:val="32"/>
          <w:szCs w:val="32"/>
        </w:rPr>
        <w:t>3</w:t>
      </w:r>
      <w:r w:rsidRPr="00352DFE">
        <w:rPr>
          <w:rFonts w:eastAsia="仿宋_GB2312"/>
          <w:color w:val="000000" w:themeColor="text1"/>
          <w:sz w:val="32"/>
          <w:szCs w:val="32"/>
        </w:rPr>
        <w:t>个废弃矿山生态修复工作，修复面积</w:t>
      </w:r>
      <w:r w:rsidRPr="00352DFE">
        <w:rPr>
          <w:rFonts w:eastAsia="仿宋_GB2312"/>
          <w:color w:val="000000" w:themeColor="text1"/>
          <w:sz w:val="32"/>
          <w:szCs w:val="32"/>
        </w:rPr>
        <w:t>12.6424</w:t>
      </w:r>
      <w:r w:rsidRPr="00352DFE">
        <w:rPr>
          <w:rFonts w:eastAsia="仿宋_GB2312"/>
          <w:color w:val="000000" w:themeColor="text1"/>
          <w:sz w:val="32"/>
          <w:szCs w:val="32"/>
        </w:rPr>
        <w:t>公顷；完成盐边县</w:t>
      </w:r>
      <w:r w:rsidRPr="00352DFE">
        <w:rPr>
          <w:rFonts w:eastAsia="仿宋_GB2312"/>
          <w:color w:val="000000" w:themeColor="text1"/>
          <w:sz w:val="32"/>
          <w:szCs w:val="32"/>
        </w:rPr>
        <w:t>28</w:t>
      </w:r>
      <w:r w:rsidRPr="00352DFE">
        <w:rPr>
          <w:rFonts w:eastAsia="仿宋_GB2312"/>
          <w:color w:val="000000" w:themeColor="text1"/>
          <w:sz w:val="32"/>
          <w:szCs w:val="32"/>
        </w:rPr>
        <w:t>处废弃矿山新增损毁土地及恢复治理图斑核查；完成盐边县</w:t>
      </w:r>
      <w:r w:rsidRPr="00352DFE">
        <w:rPr>
          <w:rFonts w:eastAsia="仿宋_GB2312"/>
          <w:color w:val="000000" w:themeColor="text1"/>
          <w:sz w:val="32"/>
          <w:szCs w:val="32"/>
        </w:rPr>
        <w:t>316</w:t>
      </w:r>
      <w:r w:rsidRPr="00352DFE">
        <w:rPr>
          <w:rFonts w:eastAsia="仿宋_GB2312"/>
          <w:color w:val="000000" w:themeColor="text1"/>
          <w:sz w:val="32"/>
          <w:szCs w:val="32"/>
        </w:rPr>
        <w:t>个历史遗留矿山图斑核查工作；完成二滩联发国胜白云岩石灰石矿、太阳石上双河煤矿两座关闭矿山的生态修复工作。</w:t>
      </w:r>
      <w:r w:rsidRPr="00352DFE">
        <w:rPr>
          <w:rFonts w:eastAsia="仿宋_GB2312"/>
          <w:b/>
          <w:color w:val="000000" w:themeColor="text1"/>
          <w:sz w:val="32"/>
          <w:szCs w:val="32"/>
        </w:rPr>
        <w:t>开展</w:t>
      </w:r>
      <w:r w:rsidRPr="00352DFE">
        <w:rPr>
          <w:rFonts w:eastAsia="仿宋_GB2312"/>
          <w:b/>
          <w:bCs/>
          <w:color w:val="000000" w:themeColor="text1"/>
          <w:sz w:val="32"/>
          <w:szCs w:val="32"/>
        </w:rPr>
        <w:t>矿山生态环</w:t>
      </w:r>
      <w:r w:rsidRPr="00352DFE">
        <w:rPr>
          <w:rFonts w:eastAsia="仿宋_GB2312"/>
          <w:b/>
          <w:bCs/>
          <w:color w:val="000000" w:themeColor="text1"/>
          <w:sz w:val="32"/>
          <w:szCs w:val="32"/>
        </w:rPr>
        <w:lastRenderedPageBreak/>
        <w:t>境问题综合排查整治：</w:t>
      </w:r>
      <w:r w:rsidRPr="00352DFE">
        <w:rPr>
          <w:rFonts w:eastAsia="仿宋_GB2312"/>
          <w:bCs/>
          <w:color w:val="000000" w:themeColor="text1"/>
          <w:sz w:val="32"/>
          <w:szCs w:val="32"/>
        </w:rPr>
        <w:t>为有效改善我县矿山生态环境，开展排查共发现</w:t>
      </w:r>
      <w:r w:rsidRPr="00352DFE">
        <w:rPr>
          <w:rFonts w:eastAsia="仿宋_GB2312"/>
          <w:bCs/>
          <w:color w:val="000000" w:themeColor="text1"/>
          <w:sz w:val="32"/>
          <w:szCs w:val="32"/>
        </w:rPr>
        <w:t>45</w:t>
      </w:r>
      <w:r w:rsidRPr="00352DFE">
        <w:rPr>
          <w:rFonts w:eastAsia="仿宋_GB2312"/>
          <w:bCs/>
          <w:color w:val="000000" w:themeColor="text1"/>
          <w:sz w:val="32"/>
          <w:szCs w:val="32"/>
        </w:rPr>
        <w:t>家矿山涉及</w:t>
      </w:r>
      <w:r w:rsidRPr="00352DFE">
        <w:rPr>
          <w:rFonts w:eastAsia="仿宋_GB2312"/>
          <w:bCs/>
          <w:color w:val="000000" w:themeColor="text1"/>
          <w:sz w:val="32"/>
          <w:szCs w:val="32"/>
        </w:rPr>
        <w:t>436</w:t>
      </w:r>
      <w:r w:rsidRPr="00352DFE">
        <w:rPr>
          <w:rFonts w:eastAsia="仿宋_GB2312"/>
          <w:bCs/>
          <w:color w:val="000000" w:themeColor="text1"/>
          <w:sz w:val="32"/>
          <w:szCs w:val="32"/>
        </w:rPr>
        <w:t>个生态环境问题，目前已整改</w:t>
      </w:r>
      <w:r w:rsidRPr="00352DFE">
        <w:rPr>
          <w:rFonts w:eastAsia="仿宋_GB2312"/>
          <w:bCs/>
          <w:color w:val="000000" w:themeColor="text1"/>
          <w:sz w:val="32"/>
          <w:szCs w:val="32"/>
        </w:rPr>
        <w:t>354</w:t>
      </w:r>
      <w:r w:rsidRPr="00352DFE">
        <w:rPr>
          <w:rFonts w:eastAsia="仿宋_GB2312"/>
          <w:bCs/>
          <w:color w:val="000000" w:themeColor="text1"/>
          <w:sz w:val="32"/>
          <w:szCs w:val="32"/>
        </w:rPr>
        <w:t>个，整体进度</w:t>
      </w:r>
      <w:r w:rsidRPr="00352DFE">
        <w:rPr>
          <w:rFonts w:eastAsia="仿宋_GB2312"/>
          <w:bCs/>
          <w:color w:val="000000" w:themeColor="text1"/>
          <w:sz w:val="32"/>
          <w:szCs w:val="32"/>
        </w:rPr>
        <w:t>81.19%</w:t>
      </w:r>
      <w:r w:rsidRPr="00352DFE">
        <w:rPr>
          <w:rFonts w:eastAsia="仿宋_GB2312"/>
          <w:bCs/>
          <w:color w:val="000000" w:themeColor="text1"/>
          <w:sz w:val="32"/>
          <w:szCs w:val="32"/>
        </w:rPr>
        <w:t>，关闭</w:t>
      </w:r>
      <w:r w:rsidRPr="00352DFE">
        <w:rPr>
          <w:rFonts w:eastAsia="仿宋_GB2312"/>
          <w:bCs/>
          <w:color w:val="000000" w:themeColor="text1"/>
          <w:sz w:val="32"/>
          <w:szCs w:val="32"/>
        </w:rPr>
        <w:t>10</w:t>
      </w:r>
      <w:r w:rsidRPr="00352DFE">
        <w:rPr>
          <w:rFonts w:eastAsia="仿宋_GB2312"/>
          <w:bCs/>
          <w:color w:val="000000" w:themeColor="text1"/>
          <w:sz w:val="32"/>
          <w:szCs w:val="32"/>
        </w:rPr>
        <w:t>家矿山。</w:t>
      </w:r>
      <w:r w:rsidRPr="00352DFE">
        <w:rPr>
          <w:rFonts w:eastAsia="仿宋_GB2312"/>
          <w:b/>
          <w:bCs/>
          <w:color w:val="000000" w:themeColor="text1"/>
          <w:sz w:val="32"/>
          <w:szCs w:val="32"/>
        </w:rPr>
        <w:t>强化矿产资源管理：</w:t>
      </w:r>
      <w:r w:rsidRPr="00352DFE">
        <w:rPr>
          <w:rFonts w:eastAsia="仿宋_GB2312"/>
          <w:color w:val="000000" w:themeColor="text1"/>
          <w:sz w:val="32"/>
          <w:szCs w:val="32"/>
        </w:rPr>
        <w:t>中干沟钒钛磁铁矿</w:t>
      </w:r>
      <w:proofErr w:type="gramStart"/>
      <w:r w:rsidRPr="00352DFE">
        <w:rPr>
          <w:rFonts w:eastAsia="仿宋_GB2312"/>
          <w:color w:val="000000" w:themeColor="text1"/>
          <w:sz w:val="32"/>
          <w:szCs w:val="32"/>
        </w:rPr>
        <w:t>探转采</w:t>
      </w:r>
      <w:proofErr w:type="gramEnd"/>
      <w:r w:rsidRPr="00352DFE">
        <w:rPr>
          <w:rFonts w:eastAsia="仿宋_GB2312"/>
          <w:color w:val="000000" w:themeColor="text1"/>
          <w:sz w:val="32"/>
          <w:szCs w:val="32"/>
        </w:rPr>
        <w:t>工作：协调解决中干沟钒钛磁铁矿</w:t>
      </w:r>
      <w:proofErr w:type="gramStart"/>
      <w:r w:rsidRPr="00352DFE">
        <w:rPr>
          <w:rFonts w:eastAsia="仿宋_GB2312"/>
          <w:color w:val="000000" w:themeColor="text1"/>
          <w:sz w:val="32"/>
          <w:szCs w:val="32"/>
        </w:rPr>
        <w:t>探转采过程</w:t>
      </w:r>
      <w:proofErr w:type="gramEnd"/>
      <w:r w:rsidRPr="00352DFE">
        <w:rPr>
          <w:rFonts w:eastAsia="仿宋_GB2312"/>
          <w:color w:val="000000" w:themeColor="text1"/>
          <w:sz w:val="32"/>
          <w:szCs w:val="32"/>
        </w:rPr>
        <w:t>中遇到的问题。红泥矿区煤矿分类处置矿业权重叠问题：已完成三维公司、金谷公司、</w:t>
      </w:r>
      <w:proofErr w:type="gramStart"/>
      <w:r w:rsidRPr="00352DFE">
        <w:rPr>
          <w:rFonts w:eastAsia="仿宋_GB2312"/>
          <w:color w:val="000000" w:themeColor="text1"/>
          <w:sz w:val="32"/>
          <w:szCs w:val="32"/>
        </w:rPr>
        <w:t>恒辉公司</w:t>
      </w:r>
      <w:proofErr w:type="gramEnd"/>
      <w:r w:rsidRPr="00352DFE">
        <w:rPr>
          <w:rFonts w:eastAsia="仿宋_GB2312"/>
          <w:color w:val="000000" w:themeColor="text1"/>
          <w:sz w:val="32"/>
          <w:szCs w:val="32"/>
        </w:rPr>
        <w:t>煤矿资源配置。</w:t>
      </w:r>
    </w:p>
    <w:p w:rsidR="00705A43" w:rsidRDefault="00705A43" w:rsidP="00705A43">
      <w:pPr>
        <w:pStyle w:val="a0"/>
        <w:adjustRightInd w:val="0"/>
        <w:snapToGrid w:val="0"/>
        <w:spacing w:before="93" w:line="600" w:lineRule="exact"/>
        <w:ind w:firstLineChars="210" w:firstLine="672"/>
        <w:outlineLvl w:val="2"/>
        <w:rPr>
          <w:rFonts w:ascii="仿宋" w:eastAsia="仿宋" w:hAnsi="仿宋"/>
          <w:bCs/>
          <w:sz w:val="32"/>
          <w:szCs w:val="32"/>
        </w:rPr>
      </w:pPr>
      <w:r>
        <w:rPr>
          <w:rFonts w:eastAsia="楷体_GB2312" w:hint="eastAsia"/>
          <w:bCs/>
          <w:color w:val="000000" w:themeColor="text1"/>
          <w:sz w:val="32"/>
          <w:szCs w:val="32"/>
        </w:rPr>
        <w:t>5</w:t>
      </w:r>
      <w:r>
        <w:rPr>
          <w:rFonts w:eastAsia="楷体_GB2312" w:hint="eastAsia"/>
          <w:bCs/>
          <w:color w:val="000000" w:themeColor="text1"/>
          <w:sz w:val="32"/>
          <w:szCs w:val="32"/>
        </w:rPr>
        <w:t>．</w:t>
      </w:r>
      <w:r w:rsidRPr="00352DFE">
        <w:rPr>
          <w:rFonts w:eastAsia="楷体_GB2312"/>
          <w:bCs/>
          <w:color w:val="000000" w:themeColor="text1"/>
          <w:sz w:val="32"/>
          <w:szCs w:val="32"/>
        </w:rPr>
        <w:t>聚焦服务民生，实施全系统提速增效。</w:t>
      </w:r>
      <w:r w:rsidRPr="00352DFE">
        <w:rPr>
          <w:rFonts w:eastAsia="仿宋"/>
          <w:b/>
          <w:bCs/>
          <w:color w:val="000000" w:themeColor="text1"/>
          <w:sz w:val="32"/>
          <w:szCs w:val="32"/>
        </w:rPr>
        <w:t>不动产登记再次提速：</w:t>
      </w:r>
      <w:r w:rsidRPr="00352DFE">
        <w:rPr>
          <w:color w:val="000000" w:themeColor="text1"/>
          <w:sz w:val="32"/>
          <w:szCs w:val="32"/>
        </w:rPr>
        <w:t>进一步优化流程、压缩办理时间，全面实现一般登记3个工作日内办结，预告登记、抵押登记、企业办理非住宅</w:t>
      </w:r>
      <w:proofErr w:type="gramStart"/>
      <w:r w:rsidRPr="00352DFE">
        <w:rPr>
          <w:color w:val="000000" w:themeColor="text1"/>
          <w:sz w:val="32"/>
          <w:szCs w:val="32"/>
        </w:rPr>
        <w:t>类转移</w:t>
      </w:r>
      <w:proofErr w:type="gramEnd"/>
      <w:r w:rsidRPr="00352DFE">
        <w:rPr>
          <w:color w:val="000000" w:themeColor="text1"/>
          <w:sz w:val="32"/>
          <w:szCs w:val="32"/>
        </w:rPr>
        <w:t>登记1工作日内办结，查（解）封登记、异议登记、注销登记即时办结的目标。2021年共受理不动产登记业务38364件（其中农村房地一体36668户），颁发不动产证书2180本（其中农村房地一体35818本证书制证完成后统一颁发），颁发不动产登记证明366份，其中抵押登记265份。受理查（解）</w:t>
      </w:r>
      <w:proofErr w:type="gramStart"/>
      <w:r w:rsidRPr="00352DFE">
        <w:rPr>
          <w:color w:val="000000" w:themeColor="text1"/>
          <w:sz w:val="32"/>
          <w:szCs w:val="32"/>
        </w:rPr>
        <w:t>封登记</w:t>
      </w:r>
      <w:proofErr w:type="gramEnd"/>
      <w:r w:rsidRPr="00352DFE">
        <w:rPr>
          <w:color w:val="000000" w:themeColor="text1"/>
          <w:sz w:val="32"/>
          <w:szCs w:val="32"/>
        </w:rPr>
        <w:t>83件，注销登记102件，不动产存量电子证照41388份，其中证书39807份，证明1581份。</w:t>
      </w:r>
      <w:r w:rsidRPr="00352DFE">
        <w:rPr>
          <w:b/>
          <w:color w:val="000000" w:themeColor="text1"/>
          <w:sz w:val="32"/>
          <w:szCs w:val="32"/>
        </w:rPr>
        <w:t>积极推进</w:t>
      </w:r>
      <w:r w:rsidRPr="00352DFE">
        <w:rPr>
          <w:rFonts w:eastAsia="仿宋"/>
          <w:b/>
          <w:bCs/>
          <w:color w:val="000000" w:themeColor="text1"/>
          <w:sz w:val="32"/>
          <w:szCs w:val="32"/>
        </w:rPr>
        <w:t>农村</w:t>
      </w:r>
      <w:r w:rsidRPr="00352DFE">
        <w:rPr>
          <w:b/>
          <w:bCs/>
          <w:color w:val="000000" w:themeColor="text1"/>
          <w:sz w:val="32"/>
          <w:szCs w:val="32"/>
        </w:rPr>
        <w:t>“</w:t>
      </w:r>
      <w:r w:rsidRPr="00352DFE">
        <w:rPr>
          <w:rFonts w:eastAsia="仿宋"/>
          <w:b/>
          <w:bCs/>
          <w:color w:val="000000" w:themeColor="text1"/>
          <w:sz w:val="32"/>
          <w:szCs w:val="32"/>
        </w:rPr>
        <w:t>房地一体</w:t>
      </w:r>
      <w:r w:rsidRPr="00352DFE">
        <w:rPr>
          <w:b/>
          <w:bCs/>
          <w:color w:val="000000" w:themeColor="text1"/>
          <w:sz w:val="32"/>
          <w:szCs w:val="32"/>
        </w:rPr>
        <w:t>”</w:t>
      </w:r>
      <w:r w:rsidRPr="00352DFE">
        <w:rPr>
          <w:rFonts w:eastAsia="仿宋"/>
          <w:b/>
          <w:bCs/>
          <w:color w:val="000000" w:themeColor="text1"/>
          <w:sz w:val="32"/>
          <w:szCs w:val="32"/>
        </w:rPr>
        <w:t>登记确权发证：</w:t>
      </w:r>
      <w:r w:rsidRPr="00352DFE">
        <w:rPr>
          <w:color w:val="000000" w:themeColor="text1"/>
          <w:sz w:val="32"/>
          <w:szCs w:val="32"/>
        </w:rPr>
        <w:t>盐边县</w:t>
      </w:r>
      <w:r w:rsidRPr="00352DFE">
        <w:rPr>
          <w:color w:val="000000" w:themeColor="text1"/>
          <w:sz w:val="32"/>
          <w:szCs w:val="32"/>
        </w:rPr>
        <w:t>“</w:t>
      </w:r>
      <w:r w:rsidRPr="00352DFE">
        <w:rPr>
          <w:color w:val="000000" w:themeColor="text1"/>
          <w:sz w:val="32"/>
          <w:szCs w:val="32"/>
        </w:rPr>
        <w:t>房地一体</w:t>
      </w:r>
      <w:r w:rsidRPr="00352DFE">
        <w:rPr>
          <w:color w:val="000000" w:themeColor="text1"/>
          <w:sz w:val="32"/>
          <w:szCs w:val="32"/>
        </w:rPr>
        <w:t>”</w:t>
      </w:r>
      <w:r w:rsidRPr="00352DFE">
        <w:rPr>
          <w:color w:val="000000" w:themeColor="text1"/>
          <w:sz w:val="32"/>
          <w:szCs w:val="32"/>
        </w:rPr>
        <w:t>共计完成外业测绘48781宗（其中宅基地48457宗，集体建设用地324宗），农村宅基地应发证数38389户，集体建设用地应发证数247宗；已完成两轮公示共45621户；已完成农户签字41241户，农村宅基地权籍入库36668户，</w:t>
      </w:r>
      <w:proofErr w:type="gramStart"/>
      <w:r w:rsidRPr="00352DFE">
        <w:rPr>
          <w:color w:val="000000" w:themeColor="text1"/>
          <w:sz w:val="32"/>
          <w:szCs w:val="32"/>
        </w:rPr>
        <w:t>登薄36668户</w:t>
      </w:r>
      <w:proofErr w:type="gramEnd"/>
      <w:r w:rsidRPr="00352DFE">
        <w:rPr>
          <w:color w:val="000000" w:themeColor="text1"/>
          <w:sz w:val="32"/>
          <w:szCs w:val="32"/>
        </w:rPr>
        <w:t>，集体建设用地权籍入库247宗，</w:t>
      </w:r>
      <w:proofErr w:type="gramStart"/>
      <w:r w:rsidRPr="00352DFE">
        <w:rPr>
          <w:color w:val="000000" w:themeColor="text1"/>
          <w:sz w:val="32"/>
          <w:szCs w:val="32"/>
        </w:rPr>
        <w:t>登薄247宗</w:t>
      </w:r>
      <w:proofErr w:type="gramEnd"/>
      <w:r w:rsidRPr="00352DFE">
        <w:rPr>
          <w:color w:val="000000" w:themeColor="text1"/>
          <w:sz w:val="32"/>
          <w:szCs w:val="32"/>
        </w:rPr>
        <w:t>，制</w:t>
      </w:r>
      <w:r w:rsidRPr="00352DFE">
        <w:rPr>
          <w:color w:val="000000" w:themeColor="text1"/>
          <w:sz w:val="32"/>
          <w:szCs w:val="32"/>
        </w:rPr>
        <w:lastRenderedPageBreak/>
        <w:t>证32000余本。农村房地一体</w:t>
      </w:r>
      <w:proofErr w:type="gramStart"/>
      <w:r w:rsidRPr="00352DFE">
        <w:rPr>
          <w:color w:val="000000" w:themeColor="text1"/>
          <w:sz w:val="32"/>
          <w:szCs w:val="32"/>
        </w:rPr>
        <w:t>共计登薄36915宗</w:t>
      </w:r>
      <w:proofErr w:type="gramEnd"/>
      <w:r w:rsidRPr="00352DFE">
        <w:rPr>
          <w:color w:val="000000" w:themeColor="text1"/>
          <w:sz w:val="32"/>
          <w:szCs w:val="32"/>
        </w:rPr>
        <w:t>，登记率95.55%。其中农村</w:t>
      </w:r>
      <w:proofErr w:type="gramStart"/>
      <w:r w:rsidRPr="00352DFE">
        <w:rPr>
          <w:color w:val="000000" w:themeColor="text1"/>
          <w:sz w:val="32"/>
          <w:szCs w:val="32"/>
        </w:rPr>
        <w:t>宅基地登薄36668户</w:t>
      </w:r>
      <w:proofErr w:type="gramEnd"/>
      <w:r w:rsidRPr="00352DFE">
        <w:rPr>
          <w:color w:val="000000" w:themeColor="text1"/>
          <w:sz w:val="32"/>
          <w:szCs w:val="32"/>
        </w:rPr>
        <w:t>，登记率94.87%；集体建设</w:t>
      </w:r>
      <w:proofErr w:type="gramStart"/>
      <w:r w:rsidRPr="00352DFE">
        <w:rPr>
          <w:color w:val="000000" w:themeColor="text1"/>
          <w:sz w:val="32"/>
          <w:szCs w:val="32"/>
        </w:rPr>
        <w:t>用地登薄247宗</w:t>
      </w:r>
      <w:proofErr w:type="gramEnd"/>
      <w:r w:rsidRPr="00352DFE">
        <w:rPr>
          <w:color w:val="000000" w:themeColor="text1"/>
          <w:sz w:val="32"/>
          <w:szCs w:val="32"/>
        </w:rPr>
        <w:t>，登记率100%。</w:t>
      </w:r>
      <w:r w:rsidRPr="00352DFE">
        <w:rPr>
          <w:b/>
          <w:color w:val="000000" w:themeColor="text1"/>
          <w:sz w:val="32"/>
          <w:szCs w:val="32"/>
        </w:rPr>
        <w:t>消除地灾隐患。</w:t>
      </w:r>
      <w:r w:rsidRPr="00352DFE">
        <w:rPr>
          <w:sz w:val="32"/>
          <w:szCs w:val="32"/>
        </w:rPr>
        <w:t>制定</w:t>
      </w:r>
      <w:r w:rsidRPr="00352DFE">
        <w:rPr>
          <w:sz w:val="32"/>
          <w:szCs w:val="32"/>
        </w:rPr>
        <w:t>“</w:t>
      </w:r>
      <w:r w:rsidRPr="00352DFE">
        <w:rPr>
          <w:sz w:val="32"/>
          <w:szCs w:val="32"/>
        </w:rPr>
        <w:t>三单一书</w:t>
      </w:r>
      <w:r w:rsidRPr="00352DFE">
        <w:rPr>
          <w:sz w:val="32"/>
          <w:szCs w:val="32"/>
        </w:rPr>
        <w:t>”“</w:t>
      </w:r>
      <w:r w:rsidRPr="00352DFE">
        <w:rPr>
          <w:sz w:val="32"/>
          <w:szCs w:val="32"/>
        </w:rPr>
        <w:t>两书一函</w:t>
      </w:r>
      <w:r w:rsidRPr="00352DFE">
        <w:rPr>
          <w:sz w:val="32"/>
          <w:szCs w:val="32"/>
        </w:rPr>
        <w:t>”“</w:t>
      </w:r>
      <w:r w:rsidRPr="00352DFE">
        <w:rPr>
          <w:sz w:val="32"/>
          <w:szCs w:val="32"/>
        </w:rPr>
        <w:t>五级包保</w:t>
      </w:r>
      <w:r w:rsidRPr="00352DFE">
        <w:rPr>
          <w:sz w:val="32"/>
          <w:szCs w:val="32"/>
        </w:rPr>
        <w:t>”</w:t>
      </w:r>
      <w:r w:rsidRPr="00352DFE">
        <w:rPr>
          <w:sz w:val="32"/>
          <w:szCs w:val="32"/>
        </w:rPr>
        <w:t>工作机制，层层落实地质灾害防灾责任，编制单点地质灾害防灾预案67份，制作警示标牌134个，设置专职监测人员94人，发放防灾工作明白卡和防灾避险明白卡777份，全年累计发放地质灾害风险预警34期；开展15场地质灾害防治知识宣传培训会，73场避险演练，10个地质灾害隐患点治理项目，已有7个项目主体完工。完成了全县44户避险搬迁户新房修建，目前正在公示并进行资金拨付。</w:t>
      </w:r>
    </w:p>
    <w:p w:rsidR="00457321" w:rsidRDefault="006572CB">
      <w:pPr>
        <w:pStyle w:val="2"/>
        <w:rPr>
          <w:rStyle w:val="2Char"/>
        </w:rPr>
      </w:pPr>
      <w:bookmarkStart w:id="21" w:name="_Toc15396601"/>
      <w:bookmarkStart w:id="22" w:name="_Toc15377200"/>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21"/>
      <w:bookmarkEnd w:id="22"/>
    </w:p>
    <w:p w:rsidR="00457321" w:rsidRDefault="00705A43" w:rsidP="00705A43">
      <w:pPr>
        <w:ind w:firstLineChars="250" w:firstLine="800"/>
        <w:rPr>
          <w:rFonts w:ascii="仿宋" w:eastAsia="仿宋" w:hAnsi="仿宋"/>
          <w:sz w:val="32"/>
          <w:szCs w:val="32"/>
        </w:rPr>
      </w:pPr>
      <w:r w:rsidRPr="00705A43">
        <w:rPr>
          <w:rFonts w:ascii="仿宋" w:eastAsia="仿宋" w:hAnsi="仿宋" w:hint="eastAsia"/>
          <w:sz w:val="32"/>
          <w:szCs w:val="32"/>
        </w:rPr>
        <w:t>盐边县自然资源和规划局</w:t>
      </w:r>
      <w:r w:rsidR="006572CB">
        <w:rPr>
          <w:rFonts w:ascii="仿宋" w:eastAsia="仿宋" w:hAnsi="仿宋" w:hint="eastAsia"/>
          <w:sz w:val="32"/>
          <w:szCs w:val="32"/>
        </w:rPr>
        <w:t>下属二级单位</w:t>
      </w:r>
      <w:r>
        <w:rPr>
          <w:rFonts w:ascii="仿宋" w:eastAsia="仿宋" w:hAnsi="仿宋" w:hint="eastAsia"/>
          <w:sz w:val="32"/>
          <w:szCs w:val="32"/>
        </w:rPr>
        <w:t>15</w:t>
      </w:r>
      <w:r w:rsidR="006572CB">
        <w:rPr>
          <w:rFonts w:ascii="仿宋" w:eastAsia="仿宋" w:hAnsi="仿宋" w:hint="eastAsia"/>
          <w:sz w:val="32"/>
          <w:szCs w:val="32"/>
        </w:rPr>
        <w:t>个，其中参照公务员法管理的事业单位</w:t>
      </w:r>
      <w:r>
        <w:rPr>
          <w:rFonts w:ascii="仿宋" w:eastAsia="仿宋" w:hAnsi="仿宋" w:hint="eastAsia"/>
          <w:bCs/>
          <w:sz w:val="32"/>
          <w:szCs w:val="32"/>
        </w:rPr>
        <w:t>1</w:t>
      </w:r>
      <w:r w:rsidR="006572CB">
        <w:rPr>
          <w:rFonts w:ascii="仿宋" w:eastAsia="仿宋" w:hAnsi="仿宋" w:hint="eastAsia"/>
          <w:sz w:val="32"/>
          <w:szCs w:val="32"/>
        </w:rPr>
        <w:t>个，其他事业单位</w:t>
      </w:r>
      <w:r>
        <w:rPr>
          <w:rFonts w:ascii="仿宋" w:eastAsia="仿宋" w:hAnsi="仿宋" w:hint="eastAsia"/>
          <w:sz w:val="32"/>
          <w:szCs w:val="32"/>
        </w:rPr>
        <w:t>14</w:t>
      </w:r>
      <w:r w:rsidR="006572CB">
        <w:rPr>
          <w:rFonts w:ascii="仿宋" w:eastAsia="仿宋" w:hAnsi="仿宋" w:hint="eastAsia"/>
          <w:sz w:val="32"/>
          <w:szCs w:val="32"/>
        </w:rPr>
        <w:t>个。</w:t>
      </w:r>
      <w:r>
        <w:rPr>
          <w:rFonts w:ascii="仿宋" w:eastAsia="仿宋" w:hAnsi="仿宋" w:hint="eastAsia"/>
          <w:sz w:val="32"/>
          <w:szCs w:val="32"/>
        </w:rPr>
        <w:t>全部</w:t>
      </w:r>
      <w:r w:rsidR="006572CB">
        <w:rPr>
          <w:rFonts w:ascii="仿宋" w:eastAsia="仿宋" w:hAnsi="仿宋" w:hint="eastAsia"/>
          <w:sz w:val="32"/>
          <w:szCs w:val="32"/>
        </w:rPr>
        <w:t>纳入2021年度部门决算编制范围</w:t>
      </w:r>
      <w:r>
        <w:rPr>
          <w:rFonts w:ascii="仿宋" w:eastAsia="仿宋" w:hAnsi="仿宋" w:hint="eastAsia"/>
          <w:sz w:val="32"/>
          <w:szCs w:val="32"/>
        </w:rPr>
        <w:t>。</w:t>
      </w:r>
    </w:p>
    <w:p w:rsidR="00457321" w:rsidRDefault="006572CB">
      <w:pPr>
        <w:widowControl/>
        <w:jc w:val="left"/>
        <w:rPr>
          <w:rFonts w:ascii="仿宋" w:eastAsia="仿宋" w:hAnsi="仿宋"/>
          <w:kern w:val="0"/>
          <w:sz w:val="32"/>
          <w:szCs w:val="32"/>
        </w:rPr>
      </w:pPr>
      <w:r>
        <w:rPr>
          <w:rFonts w:ascii="仿宋" w:eastAsia="仿宋" w:hAnsi="仿宋"/>
          <w:sz w:val="32"/>
          <w:szCs w:val="32"/>
        </w:rPr>
        <w:br w:type="page"/>
      </w:r>
    </w:p>
    <w:p w:rsidR="00457321" w:rsidRDefault="006572CB">
      <w:pPr>
        <w:pStyle w:val="1"/>
        <w:ind w:right="440"/>
        <w:jc w:val="center"/>
        <w:rPr>
          <w:rStyle w:val="1Char"/>
          <w:rFonts w:ascii="黑体" w:eastAsia="黑体" w:hAnsi="黑体"/>
          <w:bCs/>
        </w:rPr>
      </w:pPr>
      <w:bookmarkStart w:id="23" w:name="_Toc15377204"/>
      <w:bookmarkStart w:id="24" w:name="_Toc15396602"/>
      <w:r>
        <w:rPr>
          <w:rFonts w:ascii="黑体" w:eastAsia="黑体" w:hAnsi="黑体" w:hint="eastAsia"/>
          <w:b w:val="0"/>
        </w:rPr>
        <w:lastRenderedPageBreak/>
        <w:t>第二部分 2021年度</w:t>
      </w:r>
      <w:r>
        <w:rPr>
          <w:rStyle w:val="1Char"/>
          <w:rFonts w:ascii="黑体" w:eastAsia="黑体" w:hAnsi="黑体" w:hint="eastAsia"/>
          <w:bCs/>
        </w:rPr>
        <w:t>部门决算情况说明</w:t>
      </w:r>
      <w:bookmarkEnd w:id="23"/>
      <w:bookmarkEnd w:id="24"/>
    </w:p>
    <w:p w:rsidR="00457321" w:rsidRDefault="00457321"/>
    <w:p w:rsidR="00457321" w:rsidRDefault="006572CB">
      <w:pPr>
        <w:pStyle w:val="a9"/>
        <w:numPr>
          <w:ilvl w:val="0"/>
          <w:numId w:val="2"/>
        </w:numPr>
        <w:spacing w:line="600" w:lineRule="exact"/>
        <w:ind w:firstLineChars="0"/>
        <w:outlineLvl w:val="1"/>
        <w:rPr>
          <w:rStyle w:val="2Char"/>
          <w:rFonts w:ascii="黑体" w:eastAsia="黑体" w:hAnsi="黑体"/>
          <w:b w:val="0"/>
        </w:rPr>
      </w:pPr>
      <w:bookmarkStart w:id="25" w:name="_Toc15396603"/>
      <w:bookmarkStart w:id="26" w:name="_Toc15377205"/>
      <w:r>
        <w:rPr>
          <w:rFonts w:ascii="黑体" w:eastAsia="黑体" w:hAnsi="黑体" w:hint="eastAsia"/>
          <w:sz w:val="32"/>
          <w:szCs w:val="32"/>
        </w:rPr>
        <w:t>收</w:t>
      </w:r>
      <w:r>
        <w:rPr>
          <w:rStyle w:val="2Char"/>
          <w:rFonts w:ascii="黑体" w:eastAsia="黑体" w:hAnsi="黑体" w:hint="eastAsia"/>
          <w:b w:val="0"/>
        </w:rPr>
        <w:t>入支出决算总体情况说明</w:t>
      </w:r>
      <w:bookmarkEnd w:id="25"/>
      <w:bookmarkEnd w:id="26"/>
    </w:p>
    <w:p w:rsidR="00E819BD" w:rsidRDefault="006572CB" w:rsidP="00E819BD">
      <w:pPr>
        <w:spacing w:line="600" w:lineRule="exact"/>
        <w:ind w:firstLineChars="200" w:firstLine="640"/>
      </w:pPr>
      <w:r>
        <w:rPr>
          <w:rFonts w:ascii="仿宋" w:eastAsia="仿宋" w:hAnsi="仿宋" w:hint="eastAsia"/>
          <w:sz w:val="32"/>
          <w:szCs w:val="32"/>
        </w:rPr>
        <w:t>2021年度收、支总计</w:t>
      </w:r>
      <w:r w:rsidR="00851497">
        <w:rPr>
          <w:rFonts w:ascii="仿宋" w:eastAsia="仿宋" w:hAnsi="仿宋" w:hint="eastAsia"/>
          <w:sz w:val="32"/>
          <w:szCs w:val="32"/>
        </w:rPr>
        <w:t>11463.98</w:t>
      </w:r>
      <w:r>
        <w:rPr>
          <w:rFonts w:ascii="仿宋" w:eastAsia="仿宋" w:hAnsi="仿宋" w:hint="eastAsia"/>
          <w:sz w:val="32"/>
          <w:szCs w:val="32"/>
        </w:rPr>
        <w:t>万元。与2020年相比，收、支总计各减少</w:t>
      </w:r>
      <w:r w:rsidR="0068679C">
        <w:rPr>
          <w:rFonts w:ascii="仿宋" w:eastAsia="仿宋" w:hAnsi="仿宋" w:hint="eastAsia"/>
          <w:sz w:val="32"/>
          <w:szCs w:val="32"/>
        </w:rPr>
        <w:t>39031.76</w:t>
      </w:r>
      <w:r>
        <w:rPr>
          <w:rFonts w:ascii="仿宋" w:eastAsia="仿宋" w:hAnsi="仿宋" w:hint="eastAsia"/>
          <w:sz w:val="32"/>
          <w:szCs w:val="32"/>
        </w:rPr>
        <w:t>万元，下降</w:t>
      </w:r>
      <w:r w:rsidR="00F92165">
        <w:rPr>
          <w:rFonts w:ascii="仿宋" w:eastAsia="仿宋" w:hAnsi="仿宋" w:hint="eastAsia"/>
          <w:sz w:val="32"/>
          <w:szCs w:val="32"/>
        </w:rPr>
        <w:t>340.47</w:t>
      </w:r>
      <w:r>
        <w:rPr>
          <w:rFonts w:ascii="仿宋" w:eastAsia="仿宋" w:hAnsi="仿宋"/>
          <w:sz w:val="32"/>
          <w:szCs w:val="32"/>
        </w:rPr>
        <w:t>%</w:t>
      </w:r>
      <w:r>
        <w:rPr>
          <w:rFonts w:ascii="仿宋" w:eastAsia="仿宋" w:hAnsi="仿宋" w:hint="eastAsia"/>
          <w:sz w:val="32"/>
          <w:szCs w:val="32"/>
        </w:rPr>
        <w:t>。主要变动原因是</w:t>
      </w:r>
      <w:r w:rsidR="00F92165">
        <w:rPr>
          <w:rFonts w:ascii="仿宋" w:eastAsia="仿宋" w:hAnsi="仿宋" w:hint="eastAsia"/>
          <w:sz w:val="32"/>
          <w:szCs w:val="32"/>
        </w:rPr>
        <w:t>根据县编制委员会关于机构设置调整的通知，我局与县林业局进行了职能职责分离，对林业部分财政资金业务进行了调整。</w:t>
      </w:r>
    </w:p>
    <w:p w:rsidR="00E819BD" w:rsidRDefault="00E819BD" w:rsidP="00E819BD">
      <w:pPr>
        <w:pStyle w:val="a0"/>
        <w:spacing w:before="93"/>
      </w:pPr>
      <w:r>
        <w:rPr>
          <w:rFonts w:ascii="仿宋" w:eastAsia="仿宋" w:hAnsi="仿宋" w:hint="eastAsia"/>
          <w:noProof/>
          <w:sz w:val="32"/>
          <w:szCs w:val="32"/>
        </w:rPr>
        <w:drawing>
          <wp:inline distT="0" distB="0" distL="0" distR="0" wp14:anchorId="183CA82B" wp14:editId="6A0C2A9F">
            <wp:extent cx="5274310" cy="3076575"/>
            <wp:effectExtent l="0" t="0" r="2159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57321" w:rsidRDefault="006572CB">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w:t>
      </w:r>
    </w:p>
    <w:p w:rsidR="00457321" w:rsidRPr="00E819BD" w:rsidRDefault="00457321">
      <w:pPr>
        <w:spacing w:line="600" w:lineRule="exact"/>
        <w:ind w:firstLineChars="200" w:firstLine="640"/>
        <w:jc w:val="left"/>
        <w:rPr>
          <w:rFonts w:ascii="仿宋_GB2312" w:eastAsia="仿宋_GB2312"/>
          <w:sz w:val="32"/>
          <w:szCs w:val="32"/>
        </w:rPr>
      </w:pPr>
    </w:p>
    <w:p w:rsidR="00457321" w:rsidRDefault="006572CB">
      <w:pPr>
        <w:pStyle w:val="a9"/>
        <w:numPr>
          <w:ilvl w:val="0"/>
          <w:numId w:val="2"/>
        </w:numPr>
        <w:spacing w:line="600" w:lineRule="exact"/>
        <w:ind w:firstLineChars="0"/>
        <w:outlineLvl w:val="1"/>
        <w:rPr>
          <w:rStyle w:val="2Char"/>
          <w:rFonts w:ascii="黑体" w:eastAsia="黑体" w:hAnsi="黑体"/>
          <w:b w:val="0"/>
        </w:rPr>
      </w:pPr>
      <w:bookmarkStart w:id="27" w:name="_Toc15377206"/>
      <w:bookmarkStart w:id="28" w:name="_Toc15396604"/>
      <w:r>
        <w:rPr>
          <w:rFonts w:ascii="黑体" w:eastAsia="黑体" w:hAnsi="黑体" w:hint="eastAsia"/>
          <w:sz w:val="32"/>
          <w:szCs w:val="32"/>
        </w:rPr>
        <w:t>收</w:t>
      </w:r>
      <w:r>
        <w:rPr>
          <w:rStyle w:val="2Char"/>
          <w:rFonts w:ascii="黑体" w:eastAsia="黑体" w:hAnsi="黑体" w:hint="eastAsia"/>
          <w:b w:val="0"/>
        </w:rPr>
        <w:t>入决算情况说明</w:t>
      </w:r>
      <w:bookmarkEnd w:id="27"/>
      <w:bookmarkEnd w:id="28"/>
    </w:p>
    <w:p w:rsidR="00E819BD" w:rsidRDefault="006572CB" w:rsidP="00E819BD">
      <w:pPr>
        <w:spacing w:line="600" w:lineRule="exact"/>
        <w:ind w:firstLineChars="200" w:firstLine="640"/>
        <w:outlineLvl w:val="1"/>
      </w:pPr>
      <w:r>
        <w:rPr>
          <w:rFonts w:ascii="仿宋" w:eastAsia="仿宋" w:hAnsi="仿宋"/>
          <w:sz w:val="32"/>
          <w:szCs w:val="32"/>
        </w:rPr>
        <w:t>20</w:t>
      </w:r>
      <w:r>
        <w:rPr>
          <w:rFonts w:ascii="仿宋" w:eastAsia="仿宋" w:hAnsi="仿宋" w:hint="eastAsia"/>
          <w:sz w:val="32"/>
          <w:szCs w:val="32"/>
        </w:rPr>
        <w:t>21年本年收入合计</w:t>
      </w:r>
      <w:r w:rsidR="00851497">
        <w:rPr>
          <w:rFonts w:ascii="仿宋" w:eastAsia="仿宋" w:hAnsi="仿宋" w:hint="eastAsia"/>
          <w:sz w:val="32"/>
          <w:szCs w:val="32"/>
        </w:rPr>
        <w:t>5731.99</w:t>
      </w:r>
      <w:r>
        <w:rPr>
          <w:rFonts w:ascii="仿宋" w:eastAsia="仿宋" w:hAnsi="仿宋" w:hint="eastAsia"/>
          <w:sz w:val="32"/>
          <w:szCs w:val="32"/>
        </w:rPr>
        <w:t>万元，其中：一般公共预算财政拨款收入</w:t>
      </w:r>
      <w:r w:rsidR="00851497">
        <w:rPr>
          <w:rFonts w:ascii="仿宋" w:eastAsia="仿宋" w:hAnsi="仿宋" w:hint="eastAsia"/>
          <w:sz w:val="32"/>
          <w:szCs w:val="32"/>
        </w:rPr>
        <w:t>2087.95</w:t>
      </w:r>
      <w:r>
        <w:rPr>
          <w:rFonts w:ascii="仿宋" w:eastAsia="仿宋" w:hAnsi="仿宋" w:hint="eastAsia"/>
          <w:sz w:val="32"/>
          <w:szCs w:val="32"/>
        </w:rPr>
        <w:t>万元，占</w:t>
      </w:r>
      <w:r w:rsidR="00F92165">
        <w:rPr>
          <w:rFonts w:ascii="仿宋" w:eastAsia="仿宋" w:hAnsi="仿宋" w:hint="eastAsia"/>
          <w:sz w:val="32"/>
          <w:szCs w:val="32"/>
        </w:rPr>
        <w:t>36.43</w:t>
      </w:r>
      <w:r>
        <w:rPr>
          <w:rFonts w:ascii="仿宋" w:eastAsia="仿宋" w:hAnsi="仿宋"/>
          <w:sz w:val="32"/>
          <w:szCs w:val="32"/>
        </w:rPr>
        <w:t>%</w:t>
      </w:r>
      <w:r>
        <w:rPr>
          <w:rFonts w:ascii="仿宋" w:eastAsia="仿宋" w:hAnsi="仿宋" w:hint="eastAsia"/>
          <w:sz w:val="32"/>
          <w:szCs w:val="32"/>
        </w:rPr>
        <w:t>；政府性基金预算财政拨款收入</w:t>
      </w:r>
      <w:r w:rsidR="00851497">
        <w:rPr>
          <w:rFonts w:ascii="仿宋" w:eastAsia="仿宋" w:hAnsi="仿宋" w:hint="eastAsia"/>
          <w:sz w:val="32"/>
          <w:szCs w:val="32"/>
        </w:rPr>
        <w:t>1633.33</w:t>
      </w:r>
      <w:r>
        <w:rPr>
          <w:rFonts w:ascii="仿宋" w:eastAsia="仿宋" w:hAnsi="仿宋" w:hint="eastAsia"/>
          <w:sz w:val="32"/>
          <w:szCs w:val="32"/>
        </w:rPr>
        <w:t>万元，占</w:t>
      </w:r>
      <w:r w:rsidR="00683910">
        <w:rPr>
          <w:rFonts w:ascii="仿宋" w:eastAsia="仿宋" w:hAnsi="仿宋" w:hint="eastAsia"/>
          <w:sz w:val="32"/>
          <w:szCs w:val="32"/>
        </w:rPr>
        <w:t>28.49</w:t>
      </w:r>
      <w:r>
        <w:rPr>
          <w:rFonts w:ascii="仿宋" w:eastAsia="仿宋" w:hAnsi="仿宋"/>
          <w:sz w:val="32"/>
          <w:szCs w:val="32"/>
        </w:rPr>
        <w:t>%</w:t>
      </w:r>
      <w:r w:rsidR="00683910">
        <w:rPr>
          <w:rFonts w:ascii="仿宋" w:eastAsia="仿宋" w:hAnsi="仿宋" w:hint="eastAsia"/>
          <w:sz w:val="32"/>
          <w:szCs w:val="32"/>
        </w:rPr>
        <w:t>；年初结转和结余</w:t>
      </w:r>
      <w:r w:rsidR="00683910">
        <w:rPr>
          <w:rFonts w:ascii="仿宋" w:eastAsia="仿宋" w:hAnsi="仿宋" w:hint="eastAsia"/>
          <w:sz w:val="32"/>
          <w:szCs w:val="32"/>
        </w:rPr>
        <w:lastRenderedPageBreak/>
        <w:t>2010.72万元，占35.08%</w:t>
      </w:r>
      <w:r>
        <w:rPr>
          <w:rFonts w:ascii="仿宋" w:eastAsia="仿宋" w:hAnsi="仿宋" w:hint="eastAsia"/>
          <w:sz w:val="32"/>
          <w:szCs w:val="32"/>
        </w:rPr>
        <w:t>。</w:t>
      </w:r>
    </w:p>
    <w:p w:rsidR="00E819BD" w:rsidRDefault="00E819BD" w:rsidP="00E819BD">
      <w:pPr>
        <w:pStyle w:val="a0"/>
        <w:spacing w:before="93"/>
      </w:pPr>
      <w:r>
        <w:rPr>
          <w:rFonts w:hint="eastAsia"/>
          <w:noProof/>
        </w:rPr>
        <w:drawing>
          <wp:inline distT="0" distB="0" distL="0" distR="0">
            <wp:extent cx="5274310" cy="3076575"/>
            <wp:effectExtent l="0" t="0" r="2159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57321" w:rsidRDefault="006572CB">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w:t>
      </w:r>
    </w:p>
    <w:p w:rsidR="00457321" w:rsidRPr="00E819BD" w:rsidRDefault="00457321">
      <w:pPr>
        <w:spacing w:line="600" w:lineRule="exact"/>
        <w:ind w:firstLineChars="200" w:firstLine="640"/>
        <w:rPr>
          <w:rFonts w:ascii="仿宋_GB2312" w:eastAsia="仿宋_GB2312"/>
          <w:sz w:val="32"/>
          <w:szCs w:val="32"/>
        </w:rPr>
      </w:pPr>
    </w:p>
    <w:p w:rsidR="00457321" w:rsidRDefault="006572CB">
      <w:pPr>
        <w:pStyle w:val="a9"/>
        <w:numPr>
          <w:ilvl w:val="0"/>
          <w:numId w:val="2"/>
        </w:numPr>
        <w:spacing w:line="600" w:lineRule="exact"/>
        <w:ind w:firstLineChars="0"/>
        <w:outlineLvl w:val="1"/>
        <w:rPr>
          <w:rStyle w:val="2Char"/>
          <w:rFonts w:ascii="黑体" w:eastAsia="黑体" w:hAnsi="黑体"/>
          <w:b w:val="0"/>
        </w:rPr>
      </w:pPr>
      <w:bookmarkStart w:id="29" w:name="_Toc15377207"/>
      <w:bookmarkStart w:id="30" w:name="_Toc15396605"/>
      <w:r>
        <w:rPr>
          <w:rFonts w:ascii="黑体" w:eastAsia="黑体" w:hAnsi="黑体" w:hint="eastAsia"/>
          <w:sz w:val="32"/>
          <w:szCs w:val="32"/>
        </w:rPr>
        <w:t>支</w:t>
      </w:r>
      <w:r>
        <w:rPr>
          <w:rStyle w:val="2Char"/>
          <w:rFonts w:ascii="黑体" w:eastAsia="黑体" w:hAnsi="黑体" w:hint="eastAsia"/>
          <w:b w:val="0"/>
        </w:rPr>
        <w:t>出决算情况说明</w:t>
      </w:r>
      <w:bookmarkEnd w:id="29"/>
      <w:bookmarkEnd w:id="30"/>
    </w:p>
    <w:p w:rsidR="00457321" w:rsidRDefault="006572CB" w:rsidP="00E819BD">
      <w:pPr>
        <w:spacing w:line="600" w:lineRule="exact"/>
        <w:ind w:firstLineChars="200" w:firstLine="640"/>
        <w:outlineLvl w:val="1"/>
        <w:rPr>
          <w:rFonts w:ascii="仿宋" w:eastAsia="仿宋" w:hAnsi="仿宋"/>
          <w:sz w:val="32"/>
          <w:szCs w:val="32"/>
          <w:shd w:val="pct10" w:color="auto" w:fill="FFFFFF"/>
        </w:rPr>
      </w:pPr>
      <w:r>
        <w:rPr>
          <w:rFonts w:ascii="仿宋" w:eastAsia="仿宋" w:hAnsi="仿宋"/>
          <w:sz w:val="32"/>
          <w:szCs w:val="32"/>
        </w:rPr>
        <w:t>20</w:t>
      </w:r>
      <w:r>
        <w:rPr>
          <w:rFonts w:ascii="仿宋" w:eastAsia="仿宋" w:hAnsi="仿宋" w:hint="eastAsia"/>
          <w:sz w:val="32"/>
          <w:szCs w:val="32"/>
        </w:rPr>
        <w:t>21年本年支出合计</w:t>
      </w:r>
      <w:r w:rsidR="00851497">
        <w:rPr>
          <w:rFonts w:ascii="仿宋" w:eastAsia="仿宋" w:hAnsi="仿宋" w:hint="eastAsia"/>
          <w:sz w:val="32"/>
          <w:szCs w:val="32"/>
        </w:rPr>
        <w:t>5731.99</w:t>
      </w:r>
      <w:r>
        <w:rPr>
          <w:rFonts w:ascii="仿宋" w:eastAsia="仿宋" w:hAnsi="仿宋" w:hint="eastAsia"/>
          <w:sz w:val="32"/>
          <w:szCs w:val="32"/>
        </w:rPr>
        <w:t>万元，其中：基本支出</w:t>
      </w:r>
      <w:r w:rsidR="00851497">
        <w:rPr>
          <w:rFonts w:ascii="仿宋" w:eastAsia="仿宋" w:hAnsi="仿宋" w:hint="eastAsia"/>
          <w:sz w:val="32"/>
          <w:szCs w:val="32"/>
        </w:rPr>
        <w:t>1105.93</w:t>
      </w:r>
      <w:r>
        <w:rPr>
          <w:rFonts w:ascii="仿宋" w:eastAsia="仿宋" w:hAnsi="仿宋" w:hint="eastAsia"/>
          <w:sz w:val="32"/>
          <w:szCs w:val="32"/>
        </w:rPr>
        <w:t>万元，占</w:t>
      </w:r>
      <w:r w:rsidR="00683910">
        <w:rPr>
          <w:rFonts w:ascii="仿宋" w:eastAsia="仿宋" w:hAnsi="仿宋" w:hint="eastAsia"/>
          <w:sz w:val="32"/>
          <w:szCs w:val="32"/>
        </w:rPr>
        <w:t>19.29</w:t>
      </w:r>
      <w:r>
        <w:rPr>
          <w:rFonts w:ascii="仿宋" w:eastAsia="仿宋" w:hAnsi="仿宋"/>
          <w:sz w:val="32"/>
          <w:szCs w:val="32"/>
        </w:rPr>
        <w:t>%</w:t>
      </w:r>
      <w:r>
        <w:rPr>
          <w:rFonts w:ascii="仿宋" w:eastAsia="仿宋" w:hAnsi="仿宋" w:hint="eastAsia"/>
          <w:sz w:val="32"/>
          <w:szCs w:val="32"/>
        </w:rPr>
        <w:t>；项目支出</w:t>
      </w:r>
      <w:r w:rsidR="00851497">
        <w:rPr>
          <w:rFonts w:ascii="仿宋" w:eastAsia="仿宋" w:hAnsi="仿宋" w:hint="eastAsia"/>
          <w:sz w:val="32"/>
          <w:szCs w:val="32"/>
        </w:rPr>
        <w:t>4626.07</w:t>
      </w:r>
      <w:r>
        <w:rPr>
          <w:rFonts w:ascii="仿宋" w:eastAsia="仿宋" w:hAnsi="仿宋" w:hint="eastAsia"/>
          <w:sz w:val="32"/>
          <w:szCs w:val="32"/>
        </w:rPr>
        <w:t>万元，占</w:t>
      </w:r>
      <w:r w:rsidR="00683910">
        <w:rPr>
          <w:rFonts w:ascii="仿宋" w:eastAsia="仿宋" w:hAnsi="仿宋" w:hint="eastAsia"/>
          <w:sz w:val="32"/>
          <w:szCs w:val="32"/>
        </w:rPr>
        <w:t>80.71</w:t>
      </w:r>
      <w:r>
        <w:rPr>
          <w:rFonts w:ascii="仿宋" w:eastAsia="仿宋" w:hAnsi="仿宋"/>
          <w:sz w:val="32"/>
          <w:szCs w:val="32"/>
        </w:rPr>
        <w:t>%</w:t>
      </w:r>
      <w:r>
        <w:rPr>
          <w:rFonts w:ascii="仿宋" w:eastAsia="仿宋" w:hAnsi="仿宋" w:hint="eastAsia"/>
          <w:sz w:val="32"/>
          <w:szCs w:val="32"/>
        </w:rPr>
        <w:t>。</w:t>
      </w:r>
    </w:p>
    <w:p w:rsidR="00E819BD" w:rsidRDefault="00E819BD" w:rsidP="00E819BD">
      <w:pPr>
        <w:pStyle w:val="a0"/>
        <w:spacing w:before="93"/>
      </w:pPr>
      <w:r>
        <w:rPr>
          <w:rFonts w:hint="eastAsia"/>
          <w:noProof/>
        </w:rPr>
        <w:drawing>
          <wp:inline distT="0" distB="0" distL="0" distR="0">
            <wp:extent cx="5268036" cy="2620370"/>
            <wp:effectExtent l="0" t="0" r="27940" b="2794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57321" w:rsidRDefault="006572CB">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w:t>
      </w:r>
    </w:p>
    <w:p w:rsidR="00457321" w:rsidRDefault="006572CB">
      <w:pPr>
        <w:spacing w:line="600" w:lineRule="exact"/>
        <w:ind w:firstLineChars="200" w:firstLine="640"/>
        <w:outlineLvl w:val="1"/>
        <w:rPr>
          <w:rStyle w:val="2Char"/>
          <w:rFonts w:ascii="黑体" w:eastAsia="黑体" w:hAnsi="黑体"/>
          <w:b w:val="0"/>
        </w:rPr>
      </w:pPr>
      <w:bookmarkStart w:id="31" w:name="_Toc15396606"/>
      <w:bookmarkStart w:id="32" w:name="_Toc15377208"/>
      <w:r>
        <w:rPr>
          <w:rFonts w:ascii="黑体" w:eastAsia="黑体" w:hAnsi="黑体" w:hint="eastAsia"/>
          <w:sz w:val="32"/>
          <w:szCs w:val="32"/>
        </w:rPr>
        <w:lastRenderedPageBreak/>
        <w:t>四、财</w:t>
      </w:r>
      <w:r>
        <w:rPr>
          <w:rStyle w:val="2Char"/>
          <w:rFonts w:ascii="黑体" w:eastAsia="黑体" w:hAnsi="黑体" w:hint="eastAsia"/>
          <w:b w:val="0"/>
        </w:rPr>
        <w:t>政拨款收入支出决算总体情况说明</w:t>
      </w:r>
      <w:bookmarkEnd w:id="31"/>
      <w:bookmarkEnd w:id="32"/>
    </w:p>
    <w:p w:rsidR="00457321" w:rsidRDefault="006572CB" w:rsidP="00C661EC">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21年财政拨款收、支总计</w:t>
      </w:r>
      <w:r w:rsidR="00851497" w:rsidRPr="00851497">
        <w:rPr>
          <w:rFonts w:ascii="仿宋" w:eastAsia="仿宋" w:hAnsi="仿宋"/>
          <w:sz w:val="32"/>
          <w:szCs w:val="32"/>
        </w:rPr>
        <w:t>11463.98</w:t>
      </w:r>
      <w:r>
        <w:rPr>
          <w:rFonts w:ascii="仿宋" w:eastAsia="仿宋" w:hAnsi="仿宋" w:hint="eastAsia"/>
          <w:sz w:val="32"/>
          <w:szCs w:val="32"/>
        </w:rPr>
        <w:t>万元。与</w:t>
      </w:r>
      <w:r>
        <w:rPr>
          <w:rFonts w:ascii="仿宋" w:eastAsia="仿宋" w:hAnsi="仿宋"/>
          <w:sz w:val="32"/>
          <w:szCs w:val="32"/>
        </w:rPr>
        <w:t>20</w:t>
      </w:r>
      <w:r>
        <w:rPr>
          <w:rFonts w:ascii="仿宋" w:eastAsia="仿宋" w:hAnsi="仿宋" w:hint="eastAsia"/>
          <w:sz w:val="32"/>
          <w:szCs w:val="32"/>
        </w:rPr>
        <w:t>20年相比，财政拨款收、支总计各</w:t>
      </w:r>
      <w:r w:rsidR="00D7730D" w:rsidRPr="00D7730D">
        <w:rPr>
          <w:rFonts w:ascii="仿宋" w:eastAsia="仿宋" w:hAnsi="仿宋" w:hint="eastAsia"/>
          <w:sz w:val="32"/>
          <w:szCs w:val="32"/>
        </w:rPr>
        <w:t>减少39031.76万元，下降340.47%</w:t>
      </w:r>
      <w:r>
        <w:rPr>
          <w:rFonts w:ascii="仿宋" w:eastAsia="仿宋" w:hAnsi="仿宋" w:hint="eastAsia"/>
          <w:sz w:val="32"/>
          <w:szCs w:val="32"/>
        </w:rPr>
        <w:t>。主要变动原因</w:t>
      </w:r>
      <w:r w:rsidR="00D7730D" w:rsidRPr="00D7730D">
        <w:rPr>
          <w:rFonts w:ascii="仿宋" w:eastAsia="仿宋" w:hAnsi="仿宋" w:hint="eastAsia"/>
          <w:sz w:val="32"/>
          <w:szCs w:val="32"/>
        </w:rPr>
        <w:t>是根据县编制委员会关于机构设置调整的通知，我局与县林业局进行了职能职责分离，对林业部分财政资金业务进行了调整</w:t>
      </w:r>
      <w:r w:rsidR="00D7730D">
        <w:rPr>
          <w:rFonts w:ascii="仿宋" w:eastAsia="仿宋" w:hAnsi="仿宋" w:hint="eastAsia"/>
          <w:sz w:val="32"/>
          <w:szCs w:val="32"/>
        </w:rPr>
        <w:t>。</w:t>
      </w:r>
    </w:p>
    <w:p w:rsidR="009C48EB" w:rsidRDefault="00C661EC" w:rsidP="009C48EB">
      <w:pPr>
        <w:pStyle w:val="a0"/>
        <w:spacing w:before="93"/>
      </w:pPr>
      <w:r>
        <w:rPr>
          <w:rFonts w:ascii="仿宋" w:eastAsia="仿宋" w:hAnsi="仿宋" w:hint="eastAsia"/>
          <w:noProof/>
          <w:sz w:val="32"/>
          <w:szCs w:val="32"/>
        </w:rPr>
        <w:drawing>
          <wp:inline distT="0" distB="0" distL="0" distR="0" wp14:anchorId="30EAFFE3" wp14:editId="426778E9">
            <wp:extent cx="5274310" cy="3076575"/>
            <wp:effectExtent l="0" t="0" r="21590" b="952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57321" w:rsidRDefault="006572CB">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w:t>
      </w:r>
    </w:p>
    <w:p w:rsidR="00457321" w:rsidRDefault="00457321">
      <w:pPr>
        <w:spacing w:line="600" w:lineRule="exact"/>
        <w:ind w:firstLine="640"/>
        <w:rPr>
          <w:rFonts w:ascii="仿宋" w:eastAsia="仿宋" w:hAnsi="仿宋"/>
          <w:b/>
          <w:sz w:val="32"/>
          <w:szCs w:val="32"/>
        </w:rPr>
      </w:pPr>
    </w:p>
    <w:p w:rsidR="00457321" w:rsidRDefault="006572CB">
      <w:pPr>
        <w:spacing w:line="600" w:lineRule="exact"/>
        <w:ind w:firstLineChars="200" w:firstLine="640"/>
        <w:outlineLvl w:val="1"/>
        <w:rPr>
          <w:rStyle w:val="2Char"/>
          <w:rFonts w:ascii="黑体" w:eastAsia="黑体" w:hAnsi="黑体"/>
          <w:b w:val="0"/>
        </w:rPr>
      </w:pPr>
      <w:bookmarkStart w:id="33" w:name="_Toc15377209"/>
      <w:bookmarkStart w:id="34" w:name="_Toc15396607"/>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33"/>
      <w:bookmarkEnd w:id="34"/>
    </w:p>
    <w:p w:rsidR="00457321" w:rsidRDefault="006572CB">
      <w:pPr>
        <w:spacing w:line="600" w:lineRule="exact"/>
        <w:ind w:firstLineChars="200" w:firstLine="643"/>
        <w:outlineLvl w:val="2"/>
        <w:rPr>
          <w:rFonts w:ascii="仿宋" w:eastAsia="仿宋" w:hAnsi="仿宋"/>
          <w:b/>
          <w:sz w:val="32"/>
          <w:szCs w:val="32"/>
        </w:rPr>
      </w:pPr>
      <w:bookmarkStart w:id="35" w:name="_Toc15377210"/>
      <w:r>
        <w:rPr>
          <w:rFonts w:ascii="仿宋" w:eastAsia="仿宋" w:hAnsi="仿宋" w:hint="eastAsia"/>
          <w:b/>
          <w:sz w:val="32"/>
          <w:szCs w:val="32"/>
        </w:rPr>
        <w:t>（一）一般公共预算财政拨款支出决算总体情况</w:t>
      </w:r>
      <w:bookmarkEnd w:id="35"/>
    </w:p>
    <w:p w:rsidR="00457321" w:rsidRDefault="006572CB">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w:t>
      </w:r>
      <w:r w:rsidR="00851497">
        <w:rPr>
          <w:rFonts w:ascii="仿宋" w:eastAsia="仿宋" w:hAnsi="仿宋" w:hint="eastAsia"/>
          <w:sz w:val="32"/>
          <w:szCs w:val="32"/>
        </w:rPr>
        <w:t>3845.80</w:t>
      </w:r>
      <w:r>
        <w:rPr>
          <w:rFonts w:ascii="仿宋" w:eastAsia="仿宋" w:hAnsi="仿宋" w:hint="eastAsia"/>
          <w:sz w:val="32"/>
          <w:szCs w:val="32"/>
        </w:rPr>
        <w:t>万元，占本年支出合计的</w:t>
      </w:r>
      <w:r w:rsidR="00D7730D">
        <w:rPr>
          <w:rFonts w:ascii="仿宋" w:eastAsia="仿宋" w:hAnsi="仿宋" w:hint="eastAsia"/>
          <w:sz w:val="32"/>
          <w:szCs w:val="32"/>
        </w:rPr>
        <w:t>67.09</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20年相比，一般公共预算财政拨款支出减少</w:t>
      </w:r>
      <w:r w:rsidR="00D7730D">
        <w:rPr>
          <w:rFonts w:ascii="仿宋" w:eastAsia="仿宋" w:hAnsi="仿宋" w:hint="eastAsia"/>
          <w:sz w:val="32"/>
          <w:szCs w:val="32"/>
        </w:rPr>
        <w:t>4354.79</w:t>
      </w:r>
      <w:r>
        <w:rPr>
          <w:rFonts w:ascii="仿宋" w:eastAsia="仿宋" w:hAnsi="仿宋" w:hint="eastAsia"/>
          <w:sz w:val="32"/>
          <w:szCs w:val="32"/>
        </w:rPr>
        <w:t>万元，下降</w:t>
      </w:r>
      <w:r w:rsidR="00D7730D">
        <w:rPr>
          <w:rFonts w:ascii="仿宋" w:eastAsia="仿宋" w:hAnsi="仿宋" w:hint="eastAsia"/>
          <w:sz w:val="32"/>
          <w:szCs w:val="32"/>
        </w:rPr>
        <w:t>113.23</w:t>
      </w:r>
      <w:r>
        <w:rPr>
          <w:rFonts w:ascii="仿宋" w:eastAsia="仿宋" w:hAnsi="仿宋"/>
          <w:sz w:val="32"/>
          <w:szCs w:val="32"/>
        </w:rPr>
        <w:t>%</w:t>
      </w:r>
      <w:r>
        <w:rPr>
          <w:rFonts w:ascii="仿宋" w:eastAsia="仿宋" w:hAnsi="仿宋" w:hint="eastAsia"/>
          <w:sz w:val="32"/>
          <w:szCs w:val="32"/>
        </w:rPr>
        <w:t>。主要变动原因是</w:t>
      </w:r>
      <w:r w:rsidR="00D7730D" w:rsidRPr="00D7730D">
        <w:rPr>
          <w:rFonts w:ascii="仿宋" w:eastAsia="仿宋" w:hAnsi="仿宋" w:hint="eastAsia"/>
          <w:sz w:val="32"/>
          <w:szCs w:val="32"/>
        </w:rPr>
        <w:t>根据县编制委员会关于机构设置调整的通知，我局与县林</w:t>
      </w:r>
      <w:r w:rsidR="00D7730D" w:rsidRPr="00D7730D">
        <w:rPr>
          <w:rFonts w:ascii="仿宋" w:eastAsia="仿宋" w:hAnsi="仿宋" w:hint="eastAsia"/>
          <w:sz w:val="32"/>
          <w:szCs w:val="32"/>
        </w:rPr>
        <w:lastRenderedPageBreak/>
        <w:t>业局进行了职能职责分离，对林业部分财政资金业务进行了调整。</w:t>
      </w:r>
    </w:p>
    <w:p w:rsidR="00C661EC" w:rsidRDefault="00C661EC" w:rsidP="00C661EC">
      <w:pPr>
        <w:pStyle w:val="a0"/>
        <w:spacing w:before="93"/>
      </w:pPr>
      <w:r>
        <w:rPr>
          <w:rFonts w:ascii="仿宋" w:eastAsia="仿宋" w:hAnsi="仿宋" w:hint="eastAsia"/>
          <w:noProof/>
          <w:sz w:val="32"/>
          <w:szCs w:val="32"/>
        </w:rPr>
        <w:drawing>
          <wp:inline distT="0" distB="0" distL="0" distR="0" wp14:anchorId="6D2CDF52" wp14:editId="6D80493E">
            <wp:extent cx="5274310" cy="3076575"/>
            <wp:effectExtent l="0" t="0" r="21590" b="952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57321" w:rsidRDefault="006572CB">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w:t>
      </w:r>
    </w:p>
    <w:p w:rsidR="00C661EC" w:rsidRPr="00C661EC" w:rsidRDefault="00C661EC" w:rsidP="00C661EC">
      <w:pPr>
        <w:pStyle w:val="a0"/>
        <w:spacing w:before="93"/>
      </w:pPr>
    </w:p>
    <w:p w:rsidR="00457321" w:rsidRDefault="006572CB">
      <w:pPr>
        <w:spacing w:line="600" w:lineRule="exact"/>
        <w:ind w:firstLineChars="200" w:firstLine="643"/>
        <w:outlineLvl w:val="2"/>
        <w:rPr>
          <w:rFonts w:ascii="仿宋" w:eastAsia="仿宋" w:hAnsi="仿宋"/>
          <w:b/>
          <w:sz w:val="32"/>
          <w:szCs w:val="32"/>
        </w:rPr>
      </w:pPr>
      <w:bookmarkStart w:id="36" w:name="_Toc15377211"/>
      <w:r>
        <w:rPr>
          <w:rFonts w:ascii="仿宋" w:eastAsia="仿宋" w:hAnsi="仿宋" w:hint="eastAsia"/>
          <w:b/>
          <w:sz w:val="32"/>
          <w:szCs w:val="32"/>
        </w:rPr>
        <w:t>（二）一般公共预算财政拨款支出决算结构情况</w:t>
      </w:r>
      <w:bookmarkEnd w:id="36"/>
    </w:p>
    <w:p w:rsidR="00457321" w:rsidRDefault="006572CB">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w:t>
      </w:r>
      <w:r w:rsidR="00D8316E" w:rsidRPr="00D8316E">
        <w:rPr>
          <w:rFonts w:ascii="仿宋" w:eastAsia="仿宋" w:hAnsi="仿宋"/>
          <w:sz w:val="32"/>
          <w:szCs w:val="32"/>
        </w:rPr>
        <w:t>3845.80</w:t>
      </w:r>
      <w:r>
        <w:rPr>
          <w:rFonts w:ascii="仿宋" w:eastAsia="仿宋" w:hAnsi="仿宋" w:hint="eastAsia"/>
          <w:sz w:val="32"/>
          <w:szCs w:val="32"/>
        </w:rPr>
        <w:t>万元，主要用于以下方面</w:t>
      </w:r>
      <w:r>
        <w:rPr>
          <w:rFonts w:ascii="仿宋" w:eastAsia="仿宋" w:hAnsi="仿宋"/>
          <w:sz w:val="32"/>
          <w:szCs w:val="32"/>
        </w:rPr>
        <w:t>:</w:t>
      </w:r>
      <w:r w:rsidRPr="00C661EC">
        <w:rPr>
          <w:rFonts w:ascii="仿宋" w:eastAsia="仿宋" w:hAnsi="仿宋" w:hint="eastAsia"/>
          <w:b/>
          <w:sz w:val="32"/>
          <w:szCs w:val="32"/>
        </w:rPr>
        <w:t>社会保障和就业支出</w:t>
      </w:r>
      <w:r w:rsidR="00D8316E">
        <w:rPr>
          <w:rFonts w:ascii="仿宋" w:eastAsia="仿宋" w:hAnsi="仿宋" w:hint="eastAsia"/>
          <w:sz w:val="32"/>
          <w:szCs w:val="32"/>
        </w:rPr>
        <w:t>153</w:t>
      </w:r>
      <w:r>
        <w:rPr>
          <w:rFonts w:ascii="仿宋" w:eastAsia="仿宋" w:hAnsi="仿宋" w:hint="eastAsia"/>
          <w:sz w:val="32"/>
          <w:szCs w:val="32"/>
        </w:rPr>
        <w:t>万元，占</w:t>
      </w:r>
      <w:r w:rsidR="009B5591">
        <w:rPr>
          <w:rFonts w:ascii="仿宋" w:eastAsia="仿宋" w:hAnsi="仿宋" w:hint="eastAsia"/>
          <w:sz w:val="32"/>
          <w:szCs w:val="32"/>
        </w:rPr>
        <w:t>3.98</w:t>
      </w:r>
      <w:r>
        <w:rPr>
          <w:rFonts w:ascii="仿宋" w:eastAsia="仿宋" w:hAnsi="仿宋"/>
          <w:sz w:val="32"/>
          <w:szCs w:val="32"/>
        </w:rPr>
        <w:t>%</w:t>
      </w:r>
      <w:r>
        <w:rPr>
          <w:rFonts w:ascii="仿宋" w:eastAsia="仿宋" w:hAnsi="仿宋" w:hint="eastAsia"/>
          <w:sz w:val="32"/>
          <w:szCs w:val="32"/>
        </w:rPr>
        <w:t>；</w:t>
      </w:r>
      <w:r w:rsidRPr="00C661EC">
        <w:rPr>
          <w:rFonts w:ascii="仿宋" w:eastAsia="仿宋" w:hAnsi="仿宋" w:hint="eastAsia"/>
          <w:b/>
          <w:sz w:val="32"/>
          <w:szCs w:val="32"/>
        </w:rPr>
        <w:t>卫生健康支出</w:t>
      </w:r>
      <w:r w:rsidR="00D8316E">
        <w:rPr>
          <w:rFonts w:ascii="仿宋" w:eastAsia="仿宋" w:hAnsi="仿宋" w:hint="eastAsia"/>
          <w:sz w:val="32"/>
          <w:szCs w:val="32"/>
        </w:rPr>
        <w:t>56.17</w:t>
      </w:r>
      <w:r>
        <w:rPr>
          <w:rFonts w:ascii="仿宋" w:eastAsia="仿宋" w:hAnsi="仿宋" w:hint="eastAsia"/>
          <w:sz w:val="32"/>
          <w:szCs w:val="32"/>
        </w:rPr>
        <w:t>万元，占</w:t>
      </w:r>
      <w:r w:rsidR="009B5591">
        <w:rPr>
          <w:rFonts w:ascii="仿宋" w:eastAsia="仿宋" w:hAnsi="仿宋" w:hint="eastAsia"/>
          <w:sz w:val="32"/>
          <w:szCs w:val="32"/>
        </w:rPr>
        <w:t>1.46</w:t>
      </w:r>
      <w:r>
        <w:rPr>
          <w:rFonts w:ascii="仿宋" w:eastAsia="仿宋" w:hAnsi="仿宋"/>
          <w:sz w:val="32"/>
          <w:szCs w:val="32"/>
        </w:rPr>
        <w:t>%</w:t>
      </w:r>
      <w:r>
        <w:rPr>
          <w:rFonts w:ascii="仿宋" w:eastAsia="仿宋" w:hAnsi="仿宋" w:hint="eastAsia"/>
          <w:sz w:val="32"/>
          <w:szCs w:val="32"/>
        </w:rPr>
        <w:t>；</w:t>
      </w:r>
      <w:r w:rsidR="00D8316E">
        <w:rPr>
          <w:rFonts w:ascii="仿宋" w:eastAsia="仿宋" w:hAnsi="仿宋" w:hint="eastAsia"/>
          <w:b/>
          <w:sz w:val="32"/>
          <w:szCs w:val="32"/>
        </w:rPr>
        <w:t>节能环保</w:t>
      </w:r>
      <w:r w:rsidR="00D8316E" w:rsidRPr="00C661EC">
        <w:rPr>
          <w:rFonts w:ascii="仿宋" w:eastAsia="仿宋" w:hAnsi="仿宋" w:hint="eastAsia"/>
          <w:b/>
          <w:sz w:val="32"/>
          <w:szCs w:val="32"/>
        </w:rPr>
        <w:t>支出</w:t>
      </w:r>
      <w:r w:rsidR="00D8316E">
        <w:rPr>
          <w:rFonts w:ascii="仿宋" w:eastAsia="仿宋" w:hAnsi="仿宋" w:hint="eastAsia"/>
          <w:sz w:val="32"/>
          <w:szCs w:val="32"/>
        </w:rPr>
        <w:t>5.08万元，占</w:t>
      </w:r>
      <w:r w:rsidR="009B5591">
        <w:rPr>
          <w:rFonts w:ascii="仿宋" w:eastAsia="仿宋" w:hAnsi="仿宋" w:hint="eastAsia"/>
          <w:sz w:val="32"/>
          <w:szCs w:val="32"/>
        </w:rPr>
        <w:t>0.13</w:t>
      </w:r>
      <w:r w:rsidR="00D8316E">
        <w:rPr>
          <w:rFonts w:ascii="仿宋" w:eastAsia="仿宋" w:hAnsi="仿宋"/>
          <w:sz w:val="32"/>
          <w:szCs w:val="32"/>
        </w:rPr>
        <w:t>%</w:t>
      </w:r>
      <w:r w:rsidR="00D8316E">
        <w:rPr>
          <w:rFonts w:ascii="仿宋" w:eastAsia="仿宋" w:hAnsi="仿宋" w:hint="eastAsia"/>
          <w:sz w:val="32"/>
          <w:szCs w:val="32"/>
        </w:rPr>
        <w:t>；</w:t>
      </w:r>
      <w:r w:rsidR="00D8316E">
        <w:rPr>
          <w:rFonts w:ascii="仿宋" w:eastAsia="仿宋" w:hAnsi="仿宋" w:hint="eastAsia"/>
          <w:b/>
          <w:sz w:val="32"/>
          <w:szCs w:val="32"/>
        </w:rPr>
        <w:t>城乡社区</w:t>
      </w:r>
      <w:r w:rsidR="00D8316E" w:rsidRPr="00C661EC">
        <w:rPr>
          <w:rFonts w:ascii="仿宋" w:eastAsia="仿宋" w:hAnsi="仿宋" w:hint="eastAsia"/>
          <w:b/>
          <w:sz w:val="32"/>
          <w:szCs w:val="32"/>
        </w:rPr>
        <w:t>支出</w:t>
      </w:r>
      <w:r w:rsidR="00FD33D4">
        <w:rPr>
          <w:rFonts w:ascii="仿宋" w:eastAsia="仿宋" w:hAnsi="仿宋" w:hint="eastAsia"/>
          <w:sz w:val="32"/>
          <w:szCs w:val="32"/>
        </w:rPr>
        <w:t>280.15</w:t>
      </w:r>
      <w:r w:rsidR="00D8316E">
        <w:rPr>
          <w:rFonts w:ascii="仿宋" w:eastAsia="仿宋" w:hAnsi="仿宋" w:hint="eastAsia"/>
          <w:sz w:val="32"/>
          <w:szCs w:val="32"/>
        </w:rPr>
        <w:t>万元，占</w:t>
      </w:r>
      <w:r w:rsidR="009B5591">
        <w:rPr>
          <w:rFonts w:ascii="仿宋" w:eastAsia="仿宋" w:hAnsi="仿宋" w:hint="eastAsia"/>
          <w:sz w:val="32"/>
          <w:szCs w:val="32"/>
        </w:rPr>
        <w:t>7.28</w:t>
      </w:r>
      <w:r w:rsidR="00D8316E">
        <w:rPr>
          <w:rFonts w:ascii="仿宋" w:eastAsia="仿宋" w:hAnsi="仿宋"/>
          <w:sz w:val="32"/>
          <w:szCs w:val="32"/>
        </w:rPr>
        <w:t>%</w:t>
      </w:r>
      <w:r w:rsidR="00D8316E">
        <w:rPr>
          <w:rFonts w:ascii="仿宋" w:eastAsia="仿宋" w:hAnsi="仿宋" w:hint="eastAsia"/>
          <w:sz w:val="32"/>
          <w:szCs w:val="32"/>
        </w:rPr>
        <w:t>；</w:t>
      </w:r>
      <w:r w:rsidR="00D8316E">
        <w:rPr>
          <w:rFonts w:ascii="仿宋" w:eastAsia="仿宋" w:hAnsi="仿宋" w:hint="eastAsia"/>
          <w:b/>
          <w:sz w:val="32"/>
          <w:szCs w:val="32"/>
        </w:rPr>
        <w:t>农林水</w:t>
      </w:r>
      <w:r w:rsidR="00D8316E" w:rsidRPr="00C661EC">
        <w:rPr>
          <w:rFonts w:ascii="仿宋" w:eastAsia="仿宋" w:hAnsi="仿宋" w:hint="eastAsia"/>
          <w:b/>
          <w:sz w:val="32"/>
          <w:szCs w:val="32"/>
        </w:rPr>
        <w:t>支出</w:t>
      </w:r>
      <w:r w:rsidR="00D8316E">
        <w:rPr>
          <w:rFonts w:ascii="仿宋" w:eastAsia="仿宋" w:hAnsi="仿宋" w:hint="eastAsia"/>
          <w:sz w:val="32"/>
          <w:szCs w:val="32"/>
        </w:rPr>
        <w:t>396.95万元，占</w:t>
      </w:r>
      <w:r w:rsidR="009B5591">
        <w:rPr>
          <w:rFonts w:ascii="仿宋" w:eastAsia="仿宋" w:hAnsi="仿宋" w:hint="eastAsia"/>
          <w:sz w:val="32"/>
          <w:szCs w:val="32"/>
        </w:rPr>
        <w:t>10.32</w:t>
      </w:r>
      <w:r w:rsidR="00D8316E">
        <w:rPr>
          <w:rFonts w:ascii="仿宋" w:eastAsia="仿宋" w:hAnsi="仿宋"/>
          <w:sz w:val="32"/>
          <w:szCs w:val="32"/>
        </w:rPr>
        <w:t>%</w:t>
      </w:r>
      <w:r w:rsidR="00D8316E">
        <w:rPr>
          <w:rFonts w:ascii="仿宋" w:eastAsia="仿宋" w:hAnsi="仿宋" w:hint="eastAsia"/>
          <w:sz w:val="32"/>
          <w:szCs w:val="32"/>
        </w:rPr>
        <w:t>；</w:t>
      </w:r>
      <w:r w:rsidR="00D8316E" w:rsidRPr="00C661EC">
        <w:rPr>
          <w:rFonts w:ascii="仿宋" w:eastAsia="仿宋" w:hAnsi="仿宋" w:hint="eastAsia"/>
          <w:b/>
          <w:sz w:val="32"/>
          <w:szCs w:val="32"/>
        </w:rPr>
        <w:t>自然资源海洋气象等支出</w:t>
      </w:r>
      <w:r w:rsidR="00D8316E">
        <w:rPr>
          <w:rFonts w:ascii="仿宋" w:eastAsia="仿宋" w:hAnsi="仿宋" w:hint="eastAsia"/>
          <w:bCs/>
          <w:sz w:val="32"/>
          <w:szCs w:val="32"/>
        </w:rPr>
        <w:t>1137.15</w:t>
      </w:r>
      <w:r w:rsidR="00D8316E" w:rsidRPr="00D8316E">
        <w:rPr>
          <w:rFonts w:ascii="仿宋" w:eastAsia="仿宋" w:hAnsi="仿宋" w:hint="eastAsia"/>
          <w:bCs/>
          <w:sz w:val="32"/>
          <w:szCs w:val="32"/>
        </w:rPr>
        <w:t>万元，占</w:t>
      </w:r>
      <w:r w:rsidR="009B5591">
        <w:rPr>
          <w:rFonts w:ascii="仿宋" w:eastAsia="仿宋" w:hAnsi="仿宋" w:hint="eastAsia"/>
          <w:bCs/>
          <w:sz w:val="32"/>
          <w:szCs w:val="32"/>
        </w:rPr>
        <w:t>29.57</w:t>
      </w:r>
      <w:r w:rsidR="00D8316E" w:rsidRPr="00D8316E">
        <w:rPr>
          <w:rFonts w:ascii="仿宋" w:eastAsia="仿宋" w:hAnsi="仿宋"/>
          <w:bCs/>
          <w:sz w:val="32"/>
          <w:szCs w:val="32"/>
        </w:rPr>
        <w:t>%</w:t>
      </w:r>
      <w:r w:rsidR="00D8316E" w:rsidRPr="00D8316E">
        <w:rPr>
          <w:rFonts w:ascii="仿宋" w:eastAsia="仿宋" w:hAnsi="仿宋" w:hint="eastAsia"/>
          <w:sz w:val="32"/>
          <w:szCs w:val="32"/>
        </w:rPr>
        <w:t>；</w:t>
      </w:r>
      <w:r w:rsidRPr="00D8316E">
        <w:rPr>
          <w:rFonts w:ascii="仿宋" w:eastAsia="仿宋" w:hAnsi="仿宋" w:hint="eastAsia"/>
          <w:b/>
          <w:sz w:val="32"/>
          <w:szCs w:val="32"/>
        </w:rPr>
        <w:t>住房保障</w:t>
      </w:r>
      <w:r w:rsidRPr="00C661EC">
        <w:rPr>
          <w:rFonts w:ascii="仿宋" w:eastAsia="仿宋" w:hAnsi="仿宋" w:hint="eastAsia"/>
          <w:b/>
          <w:sz w:val="32"/>
          <w:szCs w:val="32"/>
        </w:rPr>
        <w:t>支出</w:t>
      </w:r>
      <w:r w:rsidR="00D8316E">
        <w:rPr>
          <w:rFonts w:ascii="仿宋" w:eastAsia="仿宋" w:hAnsi="仿宋" w:hint="eastAsia"/>
          <w:sz w:val="32"/>
          <w:szCs w:val="32"/>
        </w:rPr>
        <w:t>90.47</w:t>
      </w:r>
      <w:r>
        <w:rPr>
          <w:rFonts w:ascii="仿宋" w:eastAsia="仿宋" w:hAnsi="仿宋" w:hint="eastAsia"/>
          <w:sz w:val="32"/>
          <w:szCs w:val="32"/>
        </w:rPr>
        <w:t>万元，占</w:t>
      </w:r>
      <w:r w:rsidR="009B5591">
        <w:rPr>
          <w:rFonts w:ascii="仿宋" w:eastAsia="仿宋" w:hAnsi="仿宋" w:hint="eastAsia"/>
          <w:sz w:val="32"/>
          <w:szCs w:val="32"/>
        </w:rPr>
        <w:t>2.35</w:t>
      </w:r>
      <w:r>
        <w:rPr>
          <w:rFonts w:ascii="仿宋" w:eastAsia="仿宋" w:hAnsi="仿宋"/>
          <w:sz w:val="32"/>
          <w:szCs w:val="32"/>
        </w:rPr>
        <w:t>%</w:t>
      </w:r>
      <w:r>
        <w:rPr>
          <w:rFonts w:ascii="仿宋" w:eastAsia="仿宋" w:hAnsi="仿宋" w:hint="eastAsia"/>
          <w:sz w:val="32"/>
          <w:szCs w:val="32"/>
        </w:rPr>
        <w:t>；</w:t>
      </w:r>
      <w:r w:rsidR="00D8316E">
        <w:rPr>
          <w:rFonts w:ascii="仿宋" w:eastAsia="仿宋" w:hAnsi="仿宋" w:hint="eastAsia"/>
          <w:b/>
          <w:bCs/>
          <w:sz w:val="32"/>
          <w:szCs w:val="32"/>
        </w:rPr>
        <w:t>灾害防治及应急管</w:t>
      </w:r>
      <w:r w:rsidR="00D8316E" w:rsidRPr="00C661EC">
        <w:rPr>
          <w:rFonts w:ascii="仿宋" w:eastAsia="仿宋" w:hAnsi="仿宋" w:hint="eastAsia"/>
          <w:b/>
          <w:sz w:val="32"/>
          <w:szCs w:val="32"/>
        </w:rPr>
        <w:t>理支出</w:t>
      </w:r>
      <w:r w:rsidR="00D8316E">
        <w:rPr>
          <w:rFonts w:ascii="仿宋" w:eastAsia="仿宋" w:hAnsi="仿宋" w:hint="eastAsia"/>
          <w:bCs/>
          <w:sz w:val="32"/>
          <w:szCs w:val="32"/>
        </w:rPr>
        <w:t>1714.80</w:t>
      </w:r>
      <w:r w:rsidR="00D8316E" w:rsidRPr="00D8316E">
        <w:rPr>
          <w:rFonts w:ascii="仿宋" w:eastAsia="仿宋" w:hAnsi="仿宋" w:hint="eastAsia"/>
          <w:bCs/>
          <w:sz w:val="32"/>
          <w:szCs w:val="32"/>
        </w:rPr>
        <w:t>万元，占</w:t>
      </w:r>
      <w:r w:rsidR="009B5591">
        <w:rPr>
          <w:rFonts w:ascii="仿宋" w:eastAsia="仿宋" w:hAnsi="仿宋" w:hint="eastAsia"/>
          <w:bCs/>
          <w:sz w:val="32"/>
          <w:szCs w:val="32"/>
        </w:rPr>
        <w:t>44.59</w:t>
      </w:r>
      <w:r w:rsidR="00D8316E" w:rsidRPr="00D8316E">
        <w:rPr>
          <w:rFonts w:ascii="仿宋" w:eastAsia="仿宋" w:hAnsi="仿宋"/>
          <w:bCs/>
          <w:sz w:val="32"/>
          <w:szCs w:val="32"/>
        </w:rPr>
        <w:t>%</w:t>
      </w:r>
      <w:r w:rsidR="00D8316E" w:rsidRPr="00D8316E">
        <w:rPr>
          <w:rFonts w:ascii="仿宋" w:eastAsia="仿宋" w:hAnsi="仿宋" w:hint="eastAsia"/>
          <w:sz w:val="32"/>
          <w:szCs w:val="32"/>
        </w:rPr>
        <w:t>；</w:t>
      </w:r>
      <w:r w:rsidR="00D8316E">
        <w:rPr>
          <w:rFonts w:ascii="仿宋" w:eastAsia="仿宋" w:hAnsi="仿宋" w:hint="eastAsia"/>
          <w:b/>
          <w:bCs/>
          <w:sz w:val="32"/>
          <w:szCs w:val="32"/>
        </w:rPr>
        <w:t>其他</w:t>
      </w:r>
      <w:r w:rsidR="00D8316E" w:rsidRPr="00C661EC">
        <w:rPr>
          <w:rFonts w:ascii="仿宋" w:eastAsia="仿宋" w:hAnsi="仿宋" w:hint="eastAsia"/>
          <w:b/>
          <w:sz w:val="32"/>
          <w:szCs w:val="32"/>
        </w:rPr>
        <w:t>支出</w:t>
      </w:r>
      <w:r w:rsidR="00D8316E">
        <w:rPr>
          <w:rFonts w:ascii="仿宋" w:eastAsia="仿宋" w:hAnsi="仿宋" w:hint="eastAsia"/>
          <w:bCs/>
          <w:sz w:val="32"/>
          <w:szCs w:val="32"/>
        </w:rPr>
        <w:t>12</w:t>
      </w:r>
      <w:r w:rsidR="00D8316E" w:rsidRPr="00D8316E">
        <w:rPr>
          <w:rFonts w:ascii="仿宋" w:eastAsia="仿宋" w:hAnsi="仿宋" w:hint="eastAsia"/>
          <w:bCs/>
          <w:sz w:val="32"/>
          <w:szCs w:val="32"/>
        </w:rPr>
        <w:t>万元，占</w:t>
      </w:r>
      <w:r w:rsidR="009B5591">
        <w:rPr>
          <w:rFonts w:ascii="仿宋" w:eastAsia="仿宋" w:hAnsi="仿宋" w:hint="eastAsia"/>
          <w:bCs/>
          <w:sz w:val="32"/>
          <w:szCs w:val="32"/>
        </w:rPr>
        <w:t>0.31</w:t>
      </w:r>
      <w:r w:rsidR="00D8316E" w:rsidRPr="00D8316E">
        <w:rPr>
          <w:rFonts w:ascii="仿宋" w:eastAsia="仿宋" w:hAnsi="仿宋"/>
          <w:bCs/>
          <w:sz w:val="32"/>
          <w:szCs w:val="32"/>
        </w:rPr>
        <w:t>%</w:t>
      </w:r>
      <w:r>
        <w:rPr>
          <w:rFonts w:ascii="仿宋" w:eastAsia="仿宋" w:hAnsi="仿宋" w:hint="eastAsia"/>
          <w:sz w:val="32"/>
          <w:szCs w:val="32"/>
        </w:rPr>
        <w:t>。</w:t>
      </w:r>
    </w:p>
    <w:p w:rsidR="00457321" w:rsidRDefault="00457321">
      <w:pPr>
        <w:spacing w:line="600" w:lineRule="exact"/>
        <w:ind w:firstLine="640"/>
        <w:rPr>
          <w:rFonts w:ascii="仿宋" w:eastAsia="仿宋" w:hAnsi="仿宋"/>
          <w:sz w:val="32"/>
          <w:szCs w:val="32"/>
        </w:rPr>
      </w:pPr>
    </w:p>
    <w:p w:rsidR="00C661EC" w:rsidRDefault="00C661EC" w:rsidP="00C661EC">
      <w:pPr>
        <w:pStyle w:val="a0"/>
        <w:spacing w:before="93"/>
      </w:pPr>
      <w:r>
        <w:rPr>
          <w:rFonts w:hint="eastAsia"/>
          <w:noProof/>
        </w:rPr>
        <w:lastRenderedPageBreak/>
        <w:drawing>
          <wp:inline distT="0" distB="0" distL="0" distR="0">
            <wp:extent cx="5274310" cy="3076575"/>
            <wp:effectExtent l="0" t="0" r="21590" b="952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57321" w:rsidRDefault="006572CB">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w:t>
      </w:r>
    </w:p>
    <w:p w:rsidR="00457321" w:rsidRDefault="00457321">
      <w:pPr>
        <w:spacing w:line="600" w:lineRule="exact"/>
        <w:ind w:firstLineChars="200" w:firstLine="640"/>
        <w:rPr>
          <w:rFonts w:ascii="仿宋" w:eastAsia="仿宋" w:hAnsi="仿宋"/>
          <w:sz w:val="32"/>
          <w:szCs w:val="32"/>
        </w:rPr>
      </w:pPr>
    </w:p>
    <w:p w:rsidR="00457321" w:rsidRDefault="006572CB">
      <w:pPr>
        <w:spacing w:line="600" w:lineRule="exact"/>
        <w:ind w:firstLineChars="200" w:firstLine="643"/>
        <w:outlineLvl w:val="2"/>
        <w:rPr>
          <w:rFonts w:ascii="仿宋" w:eastAsia="仿宋" w:hAnsi="仿宋"/>
          <w:b/>
          <w:sz w:val="32"/>
          <w:szCs w:val="32"/>
        </w:rPr>
      </w:pPr>
      <w:bookmarkStart w:id="37" w:name="_Toc15377212"/>
      <w:r>
        <w:rPr>
          <w:rFonts w:ascii="仿宋" w:eastAsia="仿宋" w:hAnsi="仿宋" w:hint="eastAsia"/>
          <w:b/>
          <w:sz w:val="32"/>
          <w:szCs w:val="32"/>
        </w:rPr>
        <w:t>（三）一般公共预算财政拨款支出决算具体情况</w:t>
      </w:r>
      <w:bookmarkEnd w:id="37"/>
    </w:p>
    <w:p w:rsidR="00457321" w:rsidRDefault="006572CB">
      <w:pPr>
        <w:spacing w:line="600" w:lineRule="exact"/>
        <w:ind w:firstLineChars="200" w:firstLine="643"/>
        <w:outlineLvl w:val="2"/>
        <w:rPr>
          <w:rFonts w:ascii="仿宋" w:eastAsia="仿宋" w:hAnsi="仿宋"/>
          <w:sz w:val="32"/>
          <w:szCs w:val="32"/>
        </w:rPr>
      </w:pPr>
      <w:bookmarkStart w:id="38" w:name="_Toc15377444"/>
      <w:bookmarkStart w:id="39" w:name="_Toc15378460"/>
      <w:bookmarkStart w:id="40" w:name="_Toc15377213"/>
      <w:r>
        <w:rPr>
          <w:rFonts w:ascii="仿宋" w:eastAsia="仿宋" w:hAnsi="仿宋" w:hint="eastAsia"/>
          <w:b/>
          <w:sz w:val="32"/>
          <w:szCs w:val="32"/>
        </w:rPr>
        <w:t>2021年一般公共预算支出决算数为</w:t>
      </w:r>
      <w:r w:rsidR="00841BF0">
        <w:rPr>
          <w:rFonts w:ascii="仿宋" w:eastAsia="仿宋" w:hAnsi="仿宋" w:hint="eastAsia"/>
          <w:b/>
          <w:sz w:val="32"/>
          <w:szCs w:val="32"/>
        </w:rPr>
        <w:t>3845.80万元</w:t>
      </w:r>
      <w:r>
        <w:rPr>
          <w:rFonts w:ascii="仿宋" w:eastAsia="仿宋" w:hAnsi="仿宋" w:hint="eastAsia"/>
          <w:sz w:val="32"/>
          <w:szCs w:val="32"/>
        </w:rPr>
        <w:t>，</w:t>
      </w:r>
      <w:r>
        <w:rPr>
          <w:rStyle w:val="a7"/>
          <w:rFonts w:ascii="仿宋" w:eastAsia="仿宋" w:hAnsi="仿宋" w:hint="eastAsia"/>
          <w:bCs/>
          <w:sz w:val="32"/>
          <w:szCs w:val="32"/>
        </w:rPr>
        <w:t>完成预算</w:t>
      </w:r>
      <w:r w:rsidR="00841BF0">
        <w:rPr>
          <w:rStyle w:val="a7"/>
          <w:rFonts w:ascii="仿宋" w:eastAsia="仿宋" w:hAnsi="仿宋" w:hint="eastAsia"/>
          <w:bCs/>
          <w:sz w:val="32"/>
          <w:szCs w:val="32"/>
        </w:rPr>
        <w:t>100</w:t>
      </w:r>
      <w:r>
        <w:rPr>
          <w:rStyle w:val="a7"/>
          <w:rFonts w:ascii="仿宋" w:eastAsia="仿宋" w:hAnsi="仿宋"/>
          <w:bCs/>
          <w:sz w:val="32"/>
          <w:szCs w:val="32"/>
        </w:rPr>
        <w:t>%</w:t>
      </w:r>
      <w:r>
        <w:rPr>
          <w:rStyle w:val="a7"/>
          <w:rFonts w:ascii="仿宋" w:eastAsia="仿宋" w:hAnsi="仿宋" w:hint="eastAsia"/>
          <w:bCs/>
          <w:sz w:val="32"/>
          <w:szCs w:val="32"/>
        </w:rPr>
        <w:t>。其中：</w:t>
      </w:r>
      <w:bookmarkEnd w:id="38"/>
      <w:bookmarkEnd w:id="39"/>
      <w:bookmarkEnd w:id="40"/>
    </w:p>
    <w:p w:rsidR="00457321" w:rsidRDefault="006572CB">
      <w:pPr>
        <w:spacing w:line="600" w:lineRule="exact"/>
        <w:ind w:firstLineChars="200" w:firstLine="643"/>
        <w:rPr>
          <w:rFonts w:ascii="仿宋" w:eastAsia="仿宋" w:hAnsi="仿宋"/>
          <w:b/>
          <w:sz w:val="32"/>
          <w:szCs w:val="32"/>
        </w:rPr>
      </w:pPr>
      <w:r>
        <w:rPr>
          <w:rStyle w:val="a7"/>
          <w:rFonts w:ascii="仿宋" w:eastAsia="仿宋" w:hAnsi="仿宋"/>
          <w:bCs/>
          <w:sz w:val="32"/>
          <w:szCs w:val="32"/>
        </w:rPr>
        <w:t>1.</w:t>
      </w:r>
      <w:r w:rsidR="005B541A" w:rsidRPr="005B541A">
        <w:rPr>
          <w:rStyle w:val="a7"/>
          <w:rFonts w:ascii="仿宋" w:eastAsia="仿宋" w:hAnsi="仿宋" w:hint="eastAsia"/>
          <w:bCs/>
          <w:sz w:val="32"/>
          <w:szCs w:val="32"/>
        </w:rPr>
        <w:t>社会保障和就业（类）</w:t>
      </w:r>
      <w:r w:rsidR="005B541A">
        <w:rPr>
          <w:rStyle w:val="a7"/>
          <w:rFonts w:ascii="仿宋" w:eastAsia="仿宋" w:hAnsi="仿宋" w:hint="eastAsia"/>
          <w:bCs/>
          <w:sz w:val="32"/>
          <w:szCs w:val="32"/>
        </w:rPr>
        <w:t>行政事业单位养老支出</w:t>
      </w:r>
      <w:r w:rsidR="005B541A" w:rsidRPr="005B541A">
        <w:rPr>
          <w:rStyle w:val="a7"/>
          <w:rFonts w:ascii="仿宋" w:eastAsia="仿宋" w:hAnsi="仿宋" w:hint="eastAsia"/>
          <w:bCs/>
          <w:sz w:val="32"/>
          <w:szCs w:val="32"/>
        </w:rPr>
        <w:t>（款）</w:t>
      </w:r>
      <w:r w:rsidR="005B541A">
        <w:rPr>
          <w:rStyle w:val="a7"/>
          <w:rFonts w:ascii="仿宋" w:eastAsia="仿宋" w:hAnsi="仿宋" w:hint="eastAsia"/>
          <w:bCs/>
          <w:sz w:val="32"/>
          <w:szCs w:val="32"/>
        </w:rPr>
        <w:t>行政单位离退休</w:t>
      </w:r>
      <w:r w:rsidR="005B541A" w:rsidRPr="005B541A">
        <w:rPr>
          <w:rStyle w:val="a7"/>
          <w:rFonts w:ascii="仿宋" w:eastAsia="仿宋" w:hAnsi="仿宋" w:hint="eastAsia"/>
          <w:bCs/>
          <w:sz w:val="32"/>
          <w:szCs w:val="32"/>
        </w:rPr>
        <w:t>（项）</w:t>
      </w:r>
      <w:r>
        <w:rPr>
          <w:rStyle w:val="a7"/>
          <w:rFonts w:ascii="仿宋" w:eastAsia="仿宋" w:hAnsi="仿宋"/>
          <w:bCs/>
          <w:sz w:val="32"/>
          <w:szCs w:val="32"/>
        </w:rPr>
        <w:t>:</w:t>
      </w:r>
      <w:r>
        <w:rPr>
          <w:rStyle w:val="a7"/>
          <w:rFonts w:ascii="仿宋" w:eastAsia="仿宋" w:hAnsi="仿宋" w:hint="eastAsia"/>
          <w:b w:val="0"/>
          <w:bCs/>
          <w:sz w:val="32"/>
          <w:szCs w:val="32"/>
        </w:rPr>
        <w:t>支出决算为</w:t>
      </w:r>
      <w:r w:rsidR="005B541A">
        <w:rPr>
          <w:rStyle w:val="a7"/>
          <w:rFonts w:ascii="仿宋" w:eastAsia="仿宋" w:hAnsi="仿宋" w:hint="eastAsia"/>
          <w:b w:val="0"/>
          <w:bCs/>
          <w:sz w:val="32"/>
          <w:szCs w:val="32"/>
        </w:rPr>
        <w:t>35.00</w:t>
      </w:r>
      <w:r>
        <w:rPr>
          <w:rStyle w:val="a7"/>
          <w:rFonts w:ascii="仿宋" w:eastAsia="仿宋" w:hAnsi="仿宋" w:hint="eastAsia"/>
          <w:b w:val="0"/>
          <w:bCs/>
          <w:sz w:val="32"/>
          <w:szCs w:val="32"/>
        </w:rPr>
        <w:t>万元，完成预算</w:t>
      </w:r>
      <w:r w:rsidR="005B541A">
        <w:rPr>
          <w:rStyle w:val="a7"/>
          <w:rFonts w:ascii="仿宋" w:eastAsia="仿宋" w:hAnsi="仿宋" w:hint="eastAsia"/>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457321" w:rsidRDefault="006572CB">
      <w:pPr>
        <w:spacing w:line="600" w:lineRule="exact"/>
        <w:ind w:firstLineChars="200" w:firstLine="643"/>
        <w:rPr>
          <w:rFonts w:ascii="仿宋" w:eastAsia="仿宋" w:hAnsi="仿宋"/>
          <w:b/>
          <w:sz w:val="32"/>
          <w:szCs w:val="32"/>
        </w:rPr>
      </w:pPr>
      <w:r>
        <w:rPr>
          <w:rStyle w:val="a7"/>
          <w:rFonts w:ascii="仿宋" w:eastAsia="仿宋" w:hAnsi="仿宋"/>
          <w:bCs/>
          <w:sz w:val="32"/>
          <w:szCs w:val="32"/>
        </w:rPr>
        <w:t>2.</w:t>
      </w:r>
      <w:r w:rsidR="005B541A" w:rsidRPr="005B541A">
        <w:rPr>
          <w:rStyle w:val="a7"/>
          <w:rFonts w:ascii="仿宋" w:eastAsia="仿宋" w:hAnsi="仿宋" w:hint="eastAsia"/>
          <w:bCs/>
          <w:sz w:val="32"/>
          <w:szCs w:val="32"/>
        </w:rPr>
        <w:t>社会保障和就业（类）</w:t>
      </w:r>
      <w:r w:rsidR="005B541A">
        <w:rPr>
          <w:rStyle w:val="a7"/>
          <w:rFonts w:ascii="仿宋" w:eastAsia="仿宋" w:hAnsi="仿宋" w:hint="eastAsia"/>
          <w:bCs/>
          <w:sz w:val="32"/>
          <w:szCs w:val="32"/>
        </w:rPr>
        <w:t>行政事业单位养老支出</w:t>
      </w:r>
      <w:r w:rsidR="005B541A" w:rsidRPr="005B541A">
        <w:rPr>
          <w:rStyle w:val="a7"/>
          <w:rFonts w:ascii="仿宋" w:eastAsia="仿宋" w:hAnsi="仿宋" w:hint="eastAsia"/>
          <w:bCs/>
          <w:sz w:val="32"/>
          <w:szCs w:val="32"/>
        </w:rPr>
        <w:t>（款）</w:t>
      </w:r>
      <w:r w:rsidR="005B541A">
        <w:rPr>
          <w:rStyle w:val="a7"/>
          <w:rFonts w:ascii="仿宋" w:eastAsia="仿宋" w:hAnsi="仿宋" w:hint="eastAsia"/>
          <w:bCs/>
          <w:sz w:val="32"/>
          <w:szCs w:val="32"/>
        </w:rPr>
        <w:t>事业单位离退休</w:t>
      </w:r>
      <w:r w:rsidR="005B541A" w:rsidRPr="005B541A">
        <w:rPr>
          <w:rStyle w:val="a7"/>
          <w:rFonts w:ascii="仿宋" w:eastAsia="仿宋" w:hAnsi="仿宋" w:hint="eastAsia"/>
          <w:bCs/>
          <w:sz w:val="32"/>
          <w:szCs w:val="32"/>
        </w:rPr>
        <w:t>（项）</w:t>
      </w:r>
      <w:r w:rsidR="005B541A">
        <w:rPr>
          <w:rStyle w:val="a7"/>
          <w:rFonts w:ascii="仿宋" w:eastAsia="仿宋" w:hAnsi="仿宋"/>
          <w:bCs/>
          <w:sz w:val="32"/>
          <w:szCs w:val="32"/>
        </w:rPr>
        <w:t>:</w:t>
      </w:r>
      <w:r w:rsidR="005B541A">
        <w:rPr>
          <w:rStyle w:val="a7"/>
          <w:rFonts w:ascii="仿宋" w:eastAsia="仿宋" w:hAnsi="仿宋" w:hint="eastAsia"/>
          <w:b w:val="0"/>
          <w:bCs/>
          <w:sz w:val="32"/>
          <w:szCs w:val="32"/>
        </w:rPr>
        <w:t>支出决算为</w:t>
      </w:r>
      <w:r w:rsidR="009E5D01">
        <w:rPr>
          <w:rStyle w:val="a7"/>
          <w:rFonts w:ascii="仿宋" w:eastAsia="仿宋" w:hAnsi="仿宋" w:hint="eastAsia"/>
          <w:b w:val="0"/>
          <w:bCs/>
          <w:sz w:val="32"/>
          <w:szCs w:val="32"/>
        </w:rPr>
        <w:t>10.27</w:t>
      </w:r>
      <w:r w:rsidR="005B541A">
        <w:rPr>
          <w:rStyle w:val="a7"/>
          <w:rFonts w:ascii="仿宋" w:eastAsia="仿宋" w:hAnsi="仿宋" w:hint="eastAsia"/>
          <w:b w:val="0"/>
          <w:bCs/>
          <w:sz w:val="32"/>
          <w:szCs w:val="32"/>
        </w:rPr>
        <w:t>万元，完成预算100</w:t>
      </w:r>
      <w:r w:rsidR="005B541A">
        <w:rPr>
          <w:rStyle w:val="a7"/>
          <w:rFonts w:ascii="仿宋" w:eastAsia="仿宋" w:hAnsi="仿宋"/>
          <w:b w:val="0"/>
          <w:bCs/>
          <w:sz w:val="32"/>
          <w:szCs w:val="32"/>
        </w:rPr>
        <w:t>%</w:t>
      </w:r>
      <w:r w:rsidR="005B541A">
        <w:rPr>
          <w:rStyle w:val="a7"/>
          <w:rFonts w:ascii="仿宋" w:eastAsia="仿宋" w:hAnsi="仿宋" w:hint="eastAsia"/>
          <w:b w:val="0"/>
          <w:bCs/>
          <w:sz w:val="32"/>
          <w:szCs w:val="32"/>
        </w:rPr>
        <w:t>。</w:t>
      </w:r>
    </w:p>
    <w:p w:rsidR="00457321" w:rsidRDefault="006572CB">
      <w:pPr>
        <w:spacing w:line="600" w:lineRule="exact"/>
        <w:ind w:firstLineChars="200" w:firstLine="643"/>
        <w:rPr>
          <w:rFonts w:ascii="仿宋" w:eastAsia="仿宋" w:hAnsi="仿宋"/>
          <w:b/>
          <w:sz w:val="32"/>
          <w:szCs w:val="32"/>
        </w:rPr>
      </w:pPr>
      <w:r>
        <w:rPr>
          <w:rStyle w:val="a7"/>
          <w:rFonts w:ascii="仿宋" w:eastAsia="仿宋" w:hAnsi="仿宋"/>
          <w:bCs/>
          <w:sz w:val="32"/>
          <w:szCs w:val="32"/>
        </w:rPr>
        <w:t>3.</w:t>
      </w:r>
      <w:r w:rsidR="005B541A" w:rsidRPr="005B541A">
        <w:rPr>
          <w:rStyle w:val="a7"/>
          <w:rFonts w:ascii="仿宋" w:eastAsia="仿宋" w:hAnsi="仿宋" w:hint="eastAsia"/>
          <w:bCs/>
          <w:sz w:val="32"/>
          <w:szCs w:val="32"/>
        </w:rPr>
        <w:t>社会保障和就业（类）</w:t>
      </w:r>
      <w:r w:rsidR="005B541A">
        <w:rPr>
          <w:rStyle w:val="a7"/>
          <w:rFonts w:ascii="仿宋" w:eastAsia="仿宋" w:hAnsi="仿宋" w:hint="eastAsia"/>
          <w:bCs/>
          <w:sz w:val="32"/>
          <w:szCs w:val="32"/>
        </w:rPr>
        <w:t>行政事业单位养老支出</w:t>
      </w:r>
      <w:r w:rsidR="005B541A" w:rsidRPr="005B541A">
        <w:rPr>
          <w:rStyle w:val="a7"/>
          <w:rFonts w:ascii="仿宋" w:eastAsia="仿宋" w:hAnsi="仿宋" w:hint="eastAsia"/>
          <w:bCs/>
          <w:sz w:val="32"/>
          <w:szCs w:val="32"/>
        </w:rPr>
        <w:t>（款）机关事业单位基本养老保险缴费支出（项）</w:t>
      </w:r>
      <w:r w:rsidR="005B541A">
        <w:rPr>
          <w:rStyle w:val="a7"/>
          <w:rFonts w:ascii="仿宋" w:eastAsia="仿宋" w:hAnsi="仿宋"/>
          <w:bCs/>
          <w:sz w:val="32"/>
          <w:szCs w:val="32"/>
        </w:rPr>
        <w:t>:</w:t>
      </w:r>
      <w:r w:rsidR="005B541A">
        <w:rPr>
          <w:rStyle w:val="a7"/>
          <w:rFonts w:ascii="仿宋" w:eastAsia="仿宋" w:hAnsi="仿宋" w:hint="eastAsia"/>
          <w:b w:val="0"/>
          <w:bCs/>
          <w:sz w:val="32"/>
          <w:szCs w:val="32"/>
        </w:rPr>
        <w:t>支出决算为</w:t>
      </w:r>
      <w:r w:rsidR="009E5D01">
        <w:rPr>
          <w:rStyle w:val="a7"/>
          <w:rFonts w:ascii="仿宋" w:eastAsia="仿宋" w:hAnsi="仿宋" w:hint="eastAsia"/>
          <w:b w:val="0"/>
          <w:bCs/>
          <w:sz w:val="32"/>
          <w:szCs w:val="32"/>
        </w:rPr>
        <w:t>74.66</w:t>
      </w:r>
      <w:r w:rsidR="005B541A">
        <w:rPr>
          <w:rStyle w:val="a7"/>
          <w:rFonts w:ascii="仿宋" w:eastAsia="仿宋" w:hAnsi="仿宋" w:hint="eastAsia"/>
          <w:b w:val="0"/>
          <w:bCs/>
          <w:sz w:val="32"/>
          <w:szCs w:val="32"/>
        </w:rPr>
        <w:t>万元，完成预算100</w:t>
      </w:r>
      <w:r w:rsidR="005B541A">
        <w:rPr>
          <w:rStyle w:val="a7"/>
          <w:rFonts w:ascii="仿宋" w:eastAsia="仿宋" w:hAnsi="仿宋"/>
          <w:b w:val="0"/>
          <w:bCs/>
          <w:sz w:val="32"/>
          <w:szCs w:val="32"/>
        </w:rPr>
        <w:t>%</w:t>
      </w:r>
      <w:r w:rsidR="005B541A">
        <w:rPr>
          <w:rStyle w:val="a7"/>
          <w:rFonts w:ascii="仿宋" w:eastAsia="仿宋" w:hAnsi="仿宋" w:hint="eastAsia"/>
          <w:b w:val="0"/>
          <w:bCs/>
          <w:sz w:val="32"/>
          <w:szCs w:val="32"/>
        </w:rPr>
        <w:t>。</w:t>
      </w:r>
    </w:p>
    <w:p w:rsidR="00457321" w:rsidRDefault="006572CB">
      <w:pPr>
        <w:spacing w:line="600" w:lineRule="exact"/>
        <w:ind w:firstLineChars="200" w:firstLine="643"/>
        <w:rPr>
          <w:rFonts w:ascii="仿宋" w:eastAsia="仿宋" w:hAnsi="仿宋"/>
          <w:b/>
          <w:sz w:val="32"/>
          <w:szCs w:val="32"/>
        </w:rPr>
      </w:pPr>
      <w:r>
        <w:rPr>
          <w:rStyle w:val="a7"/>
          <w:rFonts w:ascii="仿宋" w:eastAsia="仿宋" w:hAnsi="仿宋"/>
          <w:bCs/>
          <w:sz w:val="32"/>
          <w:szCs w:val="32"/>
        </w:rPr>
        <w:lastRenderedPageBreak/>
        <w:t>4.</w:t>
      </w:r>
      <w:r w:rsidR="005B541A" w:rsidRPr="005B541A">
        <w:rPr>
          <w:rStyle w:val="a7"/>
          <w:rFonts w:ascii="仿宋" w:eastAsia="仿宋" w:hAnsi="仿宋" w:hint="eastAsia"/>
          <w:bCs/>
          <w:sz w:val="32"/>
          <w:szCs w:val="32"/>
        </w:rPr>
        <w:t>社会保障和就业（类）</w:t>
      </w:r>
      <w:r w:rsidR="005B541A">
        <w:rPr>
          <w:rStyle w:val="a7"/>
          <w:rFonts w:ascii="仿宋" w:eastAsia="仿宋" w:hAnsi="仿宋" w:hint="eastAsia"/>
          <w:bCs/>
          <w:sz w:val="32"/>
          <w:szCs w:val="32"/>
        </w:rPr>
        <w:t>行政事业单位养老支出</w:t>
      </w:r>
      <w:r w:rsidR="005B541A" w:rsidRPr="005B541A">
        <w:rPr>
          <w:rStyle w:val="a7"/>
          <w:rFonts w:ascii="仿宋" w:eastAsia="仿宋" w:hAnsi="仿宋" w:hint="eastAsia"/>
          <w:bCs/>
          <w:sz w:val="32"/>
          <w:szCs w:val="32"/>
        </w:rPr>
        <w:t>（款）机关事业单位职业年金缴费支出（项）</w:t>
      </w:r>
      <w:r w:rsidR="005B541A">
        <w:rPr>
          <w:rStyle w:val="a7"/>
          <w:rFonts w:ascii="仿宋" w:eastAsia="仿宋" w:hAnsi="仿宋"/>
          <w:bCs/>
          <w:sz w:val="32"/>
          <w:szCs w:val="32"/>
        </w:rPr>
        <w:t>:</w:t>
      </w:r>
      <w:r w:rsidR="005B541A">
        <w:rPr>
          <w:rStyle w:val="a7"/>
          <w:rFonts w:ascii="仿宋" w:eastAsia="仿宋" w:hAnsi="仿宋" w:hint="eastAsia"/>
          <w:b w:val="0"/>
          <w:bCs/>
          <w:sz w:val="32"/>
          <w:szCs w:val="32"/>
        </w:rPr>
        <w:t>支出决算为</w:t>
      </w:r>
      <w:r w:rsidR="009E5D01">
        <w:rPr>
          <w:rStyle w:val="a7"/>
          <w:rFonts w:ascii="仿宋" w:eastAsia="仿宋" w:hAnsi="仿宋" w:hint="eastAsia"/>
          <w:b w:val="0"/>
          <w:bCs/>
          <w:sz w:val="32"/>
          <w:szCs w:val="32"/>
        </w:rPr>
        <w:t>30.13</w:t>
      </w:r>
      <w:r w:rsidR="005B541A">
        <w:rPr>
          <w:rStyle w:val="a7"/>
          <w:rFonts w:ascii="仿宋" w:eastAsia="仿宋" w:hAnsi="仿宋" w:hint="eastAsia"/>
          <w:b w:val="0"/>
          <w:bCs/>
          <w:sz w:val="32"/>
          <w:szCs w:val="32"/>
        </w:rPr>
        <w:t>万元，完成预算100</w:t>
      </w:r>
      <w:r w:rsidR="005B541A">
        <w:rPr>
          <w:rStyle w:val="a7"/>
          <w:rFonts w:ascii="仿宋" w:eastAsia="仿宋" w:hAnsi="仿宋"/>
          <w:b w:val="0"/>
          <w:bCs/>
          <w:sz w:val="32"/>
          <w:szCs w:val="32"/>
        </w:rPr>
        <w:t>%</w:t>
      </w:r>
      <w:r w:rsidR="005B541A">
        <w:rPr>
          <w:rStyle w:val="a7"/>
          <w:rFonts w:ascii="仿宋" w:eastAsia="仿宋" w:hAnsi="仿宋" w:hint="eastAsia"/>
          <w:b w:val="0"/>
          <w:bCs/>
          <w:sz w:val="32"/>
          <w:szCs w:val="32"/>
        </w:rPr>
        <w:t>。</w:t>
      </w:r>
    </w:p>
    <w:p w:rsidR="00457321" w:rsidRDefault="006572CB">
      <w:pPr>
        <w:spacing w:line="600" w:lineRule="exact"/>
        <w:ind w:firstLineChars="200" w:firstLine="643"/>
        <w:rPr>
          <w:rFonts w:ascii="仿宋" w:eastAsia="仿宋" w:hAnsi="仿宋"/>
          <w:b/>
          <w:sz w:val="32"/>
          <w:szCs w:val="32"/>
        </w:rPr>
      </w:pPr>
      <w:r>
        <w:rPr>
          <w:rStyle w:val="a7"/>
          <w:rFonts w:ascii="仿宋" w:eastAsia="仿宋" w:hAnsi="仿宋"/>
          <w:bCs/>
          <w:sz w:val="32"/>
          <w:szCs w:val="32"/>
        </w:rPr>
        <w:t>5.</w:t>
      </w:r>
      <w:r w:rsidR="005B541A" w:rsidRPr="005B541A">
        <w:rPr>
          <w:rStyle w:val="a7"/>
          <w:rFonts w:ascii="仿宋" w:eastAsia="仿宋" w:hAnsi="仿宋" w:hint="eastAsia"/>
          <w:bCs/>
          <w:sz w:val="32"/>
          <w:szCs w:val="32"/>
        </w:rPr>
        <w:t>社会保障和就业（类）</w:t>
      </w:r>
      <w:r w:rsidR="005B541A">
        <w:rPr>
          <w:rStyle w:val="a7"/>
          <w:rFonts w:ascii="仿宋" w:eastAsia="仿宋" w:hAnsi="仿宋" w:hint="eastAsia"/>
          <w:bCs/>
          <w:sz w:val="32"/>
          <w:szCs w:val="32"/>
        </w:rPr>
        <w:t>行政事业单位养老支出</w:t>
      </w:r>
      <w:r w:rsidR="005B541A" w:rsidRPr="005B541A">
        <w:rPr>
          <w:rStyle w:val="a7"/>
          <w:rFonts w:ascii="仿宋" w:eastAsia="仿宋" w:hAnsi="仿宋" w:hint="eastAsia"/>
          <w:bCs/>
          <w:sz w:val="32"/>
          <w:szCs w:val="32"/>
        </w:rPr>
        <w:t>（款）伤残抚恤（项）</w:t>
      </w:r>
      <w:r w:rsidR="005B541A">
        <w:rPr>
          <w:rStyle w:val="a7"/>
          <w:rFonts w:ascii="仿宋" w:eastAsia="仿宋" w:hAnsi="仿宋"/>
          <w:bCs/>
          <w:sz w:val="32"/>
          <w:szCs w:val="32"/>
        </w:rPr>
        <w:t>:</w:t>
      </w:r>
      <w:r w:rsidR="005B541A">
        <w:rPr>
          <w:rStyle w:val="a7"/>
          <w:rFonts w:ascii="仿宋" w:eastAsia="仿宋" w:hAnsi="仿宋" w:hint="eastAsia"/>
          <w:b w:val="0"/>
          <w:bCs/>
          <w:sz w:val="32"/>
          <w:szCs w:val="32"/>
        </w:rPr>
        <w:t>支出决算为</w:t>
      </w:r>
      <w:r w:rsidR="009E5D01">
        <w:rPr>
          <w:rStyle w:val="a7"/>
          <w:rFonts w:ascii="仿宋" w:eastAsia="仿宋" w:hAnsi="仿宋" w:hint="eastAsia"/>
          <w:b w:val="0"/>
          <w:bCs/>
          <w:sz w:val="32"/>
          <w:szCs w:val="32"/>
        </w:rPr>
        <w:t>2.95</w:t>
      </w:r>
      <w:r w:rsidR="005B541A">
        <w:rPr>
          <w:rStyle w:val="a7"/>
          <w:rFonts w:ascii="仿宋" w:eastAsia="仿宋" w:hAnsi="仿宋" w:hint="eastAsia"/>
          <w:b w:val="0"/>
          <w:bCs/>
          <w:sz w:val="32"/>
          <w:szCs w:val="32"/>
        </w:rPr>
        <w:t>万元，完成预算100</w:t>
      </w:r>
      <w:r w:rsidR="005B541A">
        <w:rPr>
          <w:rStyle w:val="a7"/>
          <w:rFonts w:ascii="仿宋" w:eastAsia="仿宋" w:hAnsi="仿宋"/>
          <w:b w:val="0"/>
          <w:bCs/>
          <w:sz w:val="32"/>
          <w:szCs w:val="32"/>
        </w:rPr>
        <w:t>%</w:t>
      </w:r>
      <w:r w:rsidR="005B541A">
        <w:rPr>
          <w:rStyle w:val="a7"/>
          <w:rFonts w:ascii="仿宋" w:eastAsia="仿宋" w:hAnsi="仿宋" w:hint="eastAsia"/>
          <w:b w:val="0"/>
          <w:bCs/>
          <w:sz w:val="32"/>
          <w:szCs w:val="32"/>
        </w:rPr>
        <w:t>。</w:t>
      </w:r>
    </w:p>
    <w:p w:rsidR="00457321" w:rsidRDefault="006572CB">
      <w:pPr>
        <w:spacing w:line="600" w:lineRule="exact"/>
        <w:ind w:firstLineChars="200" w:firstLine="643"/>
        <w:rPr>
          <w:rStyle w:val="a7"/>
          <w:rFonts w:ascii="仿宋" w:eastAsia="仿宋" w:hAnsi="仿宋"/>
          <w:b w:val="0"/>
          <w:bCs/>
          <w:sz w:val="32"/>
          <w:szCs w:val="32"/>
        </w:rPr>
      </w:pPr>
      <w:r>
        <w:rPr>
          <w:rStyle w:val="a7"/>
          <w:rFonts w:ascii="仿宋" w:eastAsia="仿宋" w:hAnsi="仿宋"/>
          <w:bCs/>
          <w:sz w:val="32"/>
          <w:szCs w:val="32"/>
        </w:rPr>
        <w:t>6.</w:t>
      </w:r>
      <w:r>
        <w:rPr>
          <w:rFonts w:ascii="仿宋" w:eastAsia="仿宋" w:hAnsi="仿宋" w:hint="eastAsia"/>
          <w:b/>
          <w:bCs/>
          <w:sz w:val="32"/>
          <w:szCs w:val="32"/>
        </w:rPr>
        <w:t>卫生健康</w:t>
      </w:r>
      <w:r>
        <w:rPr>
          <w:rStyle w:val="a7"/>
          <w:rFonts w:ascii="仿宋" w:eastAsia="仿宋" w:hAnsi="仿宋" w:hint="eastAsia"/>
          <w:bCs/>
          <w:sz w:val="32"/>
          <w:szCs w:val="32"/>
        </w:rPr>
        <w:t>（类）</w:t>
      </w:r>
      <w:r w:rsidR="009E5D01">
        <w:rPr>
          <w:rStyle w:val="a7"/>
          <w:rFonts w:ascii="仿宋" w:eastAsia="仿宋" w:hAnsi="仿宋" w:hint="eastAsia"/>
          <w:bCs/>
          <w:sz w:val="32"/>
          <w:szCs w:val="32"/>
        </w:rPr>
        <w:t>行政事业单位医疗</w:t>
      </w:r>
      <w:r>
        <w:rPr>
          <w:rStyle w:val="a7"/>
          <w:rFonts w:ascii="仿宋" w:eastAsia="仿宋" w:hAnsi="仿宋" w:hint="eastAsia"/>
          <w:bCs/>
          <w:sz w:val="32"/>
          <w:szCs w:val="32"/>
        </w:rPr>
        <w:t>（款）</w:t>
      </w:r>
      <w:r w:rsidR="009E5D01" w:rsidRPr="009E5D01">
        <w:rPr>
          <w:rStyle w:val="a7"/>
          <w:rFonts w:ascii="仿宋" w:eastAsia="仿宋" w:hAnsi="仿宋" w:hint="eastAsia"/>
          <w:bCs/>
          <w:sz w:val="32"/>
          <w:szCs w:val="32"/>
        </w:rPr>
        <w:t>行政单位医疗</w:t>
      </w:r>
      <w:r>
        <w:rPr>
          <w:rStyle w:val="a7"/>
          <w:rFonts w:ascii="仿宋" w:eastAsia="仿宋" w:hAnsi="仿宋" w:hint="eastAsia"/>
          <w:bCs/>
          <w:sz w:val="32"/>
          <w:szCs w:val="32"/>
        </w:rPr>
        <w:t>（项）</w:t>
      </w:r>
      <w:r>
        <w:rPr>
          <w:rStyle w:val="a7"/>
          <w:rFonts w:ascii="仿宋" w:eastAsia="仿宋" w:hAnsi="仿宋"/>
          <w:bCs/>
          <w:sz w:val="32"/>
          <w:szCs w:val="32"/>
        </w:rPr>
        <w:t>:</w:t>
      </w:r>
      <w:r>
        <w:rPr>
          <w:rStyle w:val="a7"/>
          <w:rFonts w:ascii="仿宋" w:eastAsia="仿宋" w:hAnsi="仿宋" w:hint="eastAsia"/>
          <w:b w:val="0"/>
          <w:bCs/>
          <w:sz w:val="32"/>
          <w:szCs w:val="32"/>
        </w:rPr>
        <w:t>支出决算为</w:t>
      </w:r>
      <w:r w:rsidR="009E5D01">
        <w:rPr>
          <w:rStyle w:val="a7"/>
          <w:rFonts w:ascii="仿宋" w:eastAsia="仿宋" w:hAnsi="仿宋" w:hint="eastAsia"/>
          <w:b w:val="0"/>
          <w:bCs/>
          <w:sz w:val="32"/>
          <w:szCs w:val="32"/>
        </w:rPr>
        <w:t>22.65</w:t>
      </w:r>
      <w:r>
        <w:rPr>
          <w:rStyle w:val="a7"/>
          <w:rFonts w:ascii="仿宋" w:eastAsia="仿宋" w:hAnsi="仿宋" w:hint="eastAsia"/>
          <w:b w:val="0"/>
          <w:bCs/>
          <w:sz w:val="32"/>
          <w:szCs w:val="32"/>
        </w:rPr>
        <w:t>万元，</w:t>
      </w:r>
      <w:r w:rsidR="009E5D01">
        <w:rPr>
          <w:rStyle w:val="a7"/>
          <w:rFonts w:ascii="仿宋" w:eastAsia="仿宋" w:hAnsi="仿宋" w:hint="eastAsia"/>
          <w:b w:val="0"/>
          <w:bCs/>
          <w:sz w:val="32"/>
          <w:szCs w:val="32"/>
        </w:rPr>
        <w:t>完成预算100</w:t>
      </w:r>
      <w:r w:rsidR="009E5D01">
        <w:rPr>
          <w:rStyle w:val="a7"/>
          <w:rFonts w:ascii="仿宋" w:eastAsia="仿宋" w:hAnsi="仿宋"/>
          <w:b w:val="0"/>
          <w:bCs/>
          <w:sz w:val="32"/>
          <w:szCs w:val="32"/>
        </w:rPr>
        <w:t>%</w:t>
      </w:r>
      <w:r w:rsidR="009E5D01">
        <w:rPr>
          <w:rStyle w:val="a7"/>
          <w:rFonts w:ascii="仿宋" w:eastAsia="仿宋" w:hAnsi="仿宋" w:hint="eastAsia"/>
          <w:b w:val="0"/>
          <w:bCs/>
          <w:sz w:val="32"/>
          <w:szCs w:val="32"/>
        </w:rPr>
        <w:t>。</w:t>
      </w:r>
    </w:p>
    <w:p w:rsidR="009E5D01" w:rsidRDefault="009E5D01" w:rsidP="009E5D01">
      <w:pPr>
        <w:pStyle w:val="a0"/>
        <w:spacing w:before="93"/>
      </w:pPr>
      <w:r>
        <w:rPr>
          <w:rFonts w:hint="eastAsia"/>
        </w:rPr>
        <w:t xml:space="preserve">    </w:t>
      </w:r>
      <w:r>
        <w:rPr>
          <w:rStyle w:val="a7"/>
          <w:rFonts w:ascii="仿宋" w:eastAsia="仿宋" w:hAnsi="仿宋" w:hint="eastAsia"/>
          <w:bCs/>
          <w:sz w:val="32"/>
          <w:szCs w:val="32"/>
        </w:rPr>
        <w:t>7</w:t>
      </w:r>
      <w:r>
        <w:rPr>
          <w:rStyle w:val="a7"/>
          <w:rFonts w:ascii="仿宋" w:eastAsia="仿宋" w:hAnsi="仿宋"/>
          <w:bCs/>
          <w:sz w:val="32"/>
          <w:szCs w:val="32"/>
        </w:rPr>
        <w:t>.</w:t>
      </w:r>
      <w:r>
        <w:rPr>
          <w:rFonts w:ascii="仿宋" w:eastAsia="仿宋" w:hAnsi="仿宋" w:hint="eastAsia"/>
          <w:b/>
          <w:bCs/>
          <w:sz w:val="32"/>
          <w:szCs w:val="32"/>
        </w:rPr>
        <w:t>卫生健康</w:t>
      </w:r>
      <w:r>
        <w:rPr>
          <w:rStyle w:val="a7"/>
          <w:rFonts w:ascii="仿宋" w:eastAsia="仿宋" w:hAnsi="仿宋" w:hint="eastAsia"/>
          <w:bCs/>
          <w:sz w:val="32"/>
          <w:szCs w:val="32"/>
        </w:rPr>
        <w:t>（类）行政事业单位医疗（款）事业</w:t>
      </w:r>
      <w:r w:rsidRPr="009E5D01">
        <w:rPr>
          <w:rStyle w:val="a7"/>
          <w:rFonts w:ascii="仿宋" w:eastAsia="仿宋" w:hAnsi="仿宋" w:hint="eastAsia"/>
          <w:bCs/>
          <w:sz w:val="32"/>
          <w:szCs w:val="32"/>
        </w:rPr>
        <w:t>单位医疗</w:t>
      </w:r>
      <w:r>
        <w:rPr>
          <w:rStyle w:val="a7"/>
          <w:rFonts w:ascii="仿宋" w:eastAsia="仿宋" w:hAnsi="仿宋" w:hint="eastAsia"/>
          <w:bCs/>
          <w:sz w:val="32"/>
          <w:szCs w:val="32"/>
        </w:rPr>
        <w:t>（项）</w:t>
      </w:r>
      <w:r>
        <w:rPr>
          <w:rStyle w:val="a7"/>
          <w:rFonts w:ascii="仿宋" w:eastAsia="仿宋" w:hAnsi="仿宋"/>
          <w:bCs/>
          <w:sz w:val="32"/>
          <w:szCs w:val="32"/>
        </w:rPr>
        <w:t>:</w:t>
      </w:r>
      <w:r>
        <w:rPr>
          <w:rStyle w:val="a7"/>
          <w:rFonts w:ascii="仿宋" w:eastAsia="仿宋" w:hAnsi="仿宋" w:hint="eastAsia"/>
          <w:b w:val="0"/>
          <w:bCs/>
          <w:sz w:val="32"/>
          <w:szCs w:val="32"/>
        </w:rPr>
        <w:t>支出决算为27.44万元，完成预算100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9E5D01" w:rsidRDefault="009E5D01" w:rsidP="009E5D01">
      <w:pPr>
        <w:pStyle w:val="a0"/>
        <w:spacing w:before="93"/>
        <w:ind w:firstLineChars="196" w:firstLine="630"/>
      </w:pPr>
      <w:r>
        <w:rPr>
          <w:rStyle w:val="a7"/>
          <w:rFonts w:ascii="仿宋" w:eastAsia="仿宋" w:hAnsi="仿宋" w:hint="eastAsia"/>
          <w:bCs/>
          <w:sz w:val="32"/>
          <w:szCs w:val="32"/>
        </w:rPr>
        <w:t>8</w:t>
      </w:r>
      <w:r>
        <w:rPr>
          <w:rStyle w:val="a7"/>
          <w:rFonts w:ascii="仿宋" w:eastAsia="仿宋" w:hAnsi="仿宋"/>
          <w:bCs/>
          <w:sz w:val="32"/>
          <w:szCs w:val="32"/>
        </w:rPr>
        <w:t>.</w:t>
      </w:r>
      <w:r>
        <w:rPr>
          <w:rFonts w:ascii="仿宋" w:eastAsia="仿宋" w:hAnsi="仿宋" w:hint="eastAsia"/>
          <w:b/>
          <w:bCs/>
          <w:sz w:val="32"/>
          <w:szCs w:val="32"/>
        </w:rPr>
        <w:t>卫生健康</w:t>
      </w:r>
      <w:r>
        <w:rPr>
          <w:rStyle w:val="a7"/>
          <w:rFonts w:ascii="仿宋" w:eastAsia="仿宋" w:hAnsi="仿宋" w:hint="eastAsia"/>
          <w:bCs/>
          <w:sz w:val="32"/>
          <w:szCs w:val="32"/>
        </w:rPr>
        <w:t>（类）行政事业单位医疗（款）</w:t>
      </w:r>
      <w:r w:rsidRPr="009E5D01">
        <w:rPr>
          <w:rStyle w:val="a7"/>
          <w:rFonts w:ascii="仿宋" w:eastAsia="仿宋" w:hAnsi="仿宋" w:hint="eastAsia"/>
          <w:bCs/>
          <w:sz w:val="32"/>
          <w:szCs w:val="32"/>
        </w:rPr>
        <w:t>公务员医疗补助</w:t>
      </w:r>
      <w:r>
        <w:rPr>
          <w:rStyle w:val="a7"/>
          <w:rFonts w:ascii="仿宋" w:eastAsia="仿宋" w:hAnsi="仿宋" w:hint="eastAsia"/>
          <w:bCs/>
          <w:sz w:val="32"/>
          <w:szCs w:val="32"/>
        </w:rPr>
        <w:t>（项）</w:t>
      </w:r>
      <w:r>
        <w:rPr>
          <w:rStyle w:val="a7"/>
          <w:rFonts w:ascii="仿宋" w:eastAsia="仿宋" w:hAnsi="仿宋"/>
          <w:bCs/>
          <w:sz w:val="32"/>
          <w:szCs w:val="32"/>
        </w:rPr>
        <w:t>:</w:t>
      </w:r>
      <w:r>
        <w:rPr>
          <w:rStyle w:val="a7"/>
          <w:rFonts w:ascii="仿宋" w:eastAsia="仿宋" w:hAnsi="仿宋" w:hint="eastAsia"/>
          <w:b w:val="0"/>
          <w:bCs/>
          <w:sz w:val="32"/>
          <w:szCs w:val="32"/>
        </w:rPr>
        <w:t>支出决算为6.08万元，完成预算100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9E5D01" w:rsidRDefault="009E5D01" w:rsidP="009E5D01">
      <w:pPr>
        <w:pStyle w:val="a0"/>
        <w:spacing w:before="93"/>
        <w:ind w:firstLineChars="196" w:firstLine="630"/>
      </w:pPr>
      <w:r>
        <w:rPr>
          <w:rStyle w:val="a7"/>
          <w:rFonts w:ascii="仿宋" w:eastAsia="仿宋" w:hAnsi="仿宋" w:hint="eastAsia"/>
          <w:bCs/>
          <w:sz w:val="32"/>
          <w:szCs w:val="32"/>
        </w:rPr>
        <w:t>9</w:t>
      </w:r>
      <w:r>
        <w:rPr>
          <w:rStyle w:val="a7"/>
          <w:rFonts w:ascii="仿宋" w:eastAsia="仿宋" w:hAnsi="仿宋"/>
          <w:bCs/>
          <w:sz w:val="32"/>
          <w:szCs w:val="32"/>
        </w:rPr>
        <w:t>.</w:t>
      </w:r>
      <w:r>
        <w:rPr>
          <w:rFonts w:ascii="仿宋" w:eastAsia="仿宋" w:hAnsi="仿宋" w:hint="eastAsia"/>
          <w:b/>
          <w:bCs/>
          <w:sz w:val="32"/>
          <w:szCs w:val="32"/>
        </w:rPr>
        <w:t>节能环保</w:t>
      </w:r>
      <w:r>
        <w:rPr>
          <w:rStyle w:val="a7"/>
          <w:rFonts w:ascii="仿宋" w:eastAsia="仿宋" w:hAnsi="仿宋" w:hint="eastAsia"/>
          <w:bCs/>
          <w:sz w:val="32"/>
          <w:szCs w:val="32"/>
        </w:rPr>
        <w:t>（类）自然生态保护（款）生态保护（项）</w:t>
      </w:r>
      <w:r>
        <w:rPr>
          <w:rStyle w:val="a7"/>
          <w:rFonts w:ascii="仿宋" w:eastAsia="仿宋" w:hAnsi="仿宋"/>
          <w:bCs/>
          <w:sz w:val="32"/>
          <w:szCs w:val="32"/>
        </w:rPr>
        <w:t>:</w:t>
      </w:r>
      <w:r>
        <w:rPr>
          <w:rStyle w:val="a7"/>
          <w:rFonts w:ascii="仿宋" w:eastAsia="仿宋" w:hAnsi="仿宋" w:hint="eastAsia"/>
          <w:b w:val="0"/>
          <w:bCs/>
          <w:sz w:val="32"/>
          <w:szCs w:val="32"/>
        </w:rPr>
        <w:t>支出决算为5.09万元，完成预算100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9E5D01" w:rsidRDefault="009E5D01" w:rsidP="009E5D01">
      <w:pPr>
        <w:pStyle w:val="a0"/>
        <w:spacing w:before="93"/>
        <w:ind w:firstLineChars="196" w:firstLine="630"/>
      </w:pPr>
      <w:r>
        <w:rPr>
          <w:rStyle w:val="a7"/>
          <w:rFonts w:ascii="仿宋" w:eastAsia="仿宋" w:hAnsi="仿宋" w:hint="eastAsia"/>
          <w:bCs/>
          <w:sz w:val="32"/>
          <w:szCs w:val="32"/>
        </w:rPr>
        <w:t>10</w:t>
      </w:r>
      <w:r>
        <w:rPr>
          <w:rStyle w:val="a7"/>
          <w:rFonts w:ascii="仿宋" w:eastAsia="仿宋" w:hAnsi="仿宋"/>
          <w:bCs/>
          <w:sz w:val="32"/>
          <w:szCs w:val="32"/>
        </w:rPr>
        <w:t>.</w:t>
      </w:r>
      <w:r>
        <w:rPr>
          <w:rFonts w:ascii="仿宋" w:eastAsia="仿宋" w:hAnsi="仿宋" w:hint="eastAsia"/>
          <w:b/>
          <w:bCs/>
          <w:sz w:val="32"/>
          <w:szCs w:val="32"/>
        </w:rPr>
        <w:t>城乡社区</w:t>
      </w:r>
      <w:r>
        <w:rPr>
          <w:rStyle w:val="a7"/>
          <w:rFonts w:ascii="仿宋" w:eastAsia="仿宋" w:hAnsi="仿宋" w:hint="eastAsia"/>
          <w:bCs/>
          <w:sz w:val="32"/>
          <w:szCs w:val="32"/>
        </w:rPr>
        <w:t>（类）城乡社区公共设施（款）其他城乡社区公共设施（项）</w:t>
      </w:r>
      <w:r>
        <w:rPr>
          <w:rStyle w:val="a7"/>
          <w:rFonts w:ascii="仿宋" w:eastAsia="仿宋" w:hAnsi="仿宋"/>
          <w:bCs/>
          <w:sz w:val="32"/>
          <w:szCs w:val="32"/>
        </w:rPr>
        <w:t>:</w:t>
      </w:r>
      <w:r>
        <w:rPr>
          <w:rStyle w:val="a7"/>
          <w:rFonts w:ascii="仿宋" w:eastAsia="仿宋" w:hAnsi="仿宋" w:hint="eastAsia"/>
          <w:b w:val="0"/>
          <w:bCs/>
          <w:sz w:val="32"/>
          <w:szCs w:val="32"/>
        </w:rPr>
        <w:t>支出决算为280.16万元，完成预算100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9E5D01" w:rsidRDefault="009E5D01" w:rsidP="009E5D01">
      <w:pPr>
        <w:pStyle w:val="a0"/>
        <w:spacing w:before="93"/>
        <w:ind w:firstLineChars="196" w:firstLine="630"/>
      </w:pPr>
      <w:r>
        <w:rPr>
          <w:rStyle w:val="a7"/>
          <w:rFonts w:ascii="仿宋" w:eastAsia="仿宋" w:hAnsi="仿宋" w:hint="eastAsia"/>
          <w:bCs/>
          <w:sz w:val="32"/>
          <w:szCs w:val="32"/>
        </w:rPr>
        <w:t>11</w:t>
      </w:r>
      <w:r>
        <w:rPr>
          <w:rStyle w:val="a7"/>
          <w:rFonts w:ascii="仿宋" w:eastAsia="仿宋" w:hAnsi="仿宋"/>
          <w:bCs/>
          <w:sz w:val="32"/>
          <w:szCs w:val="32"/>
        </w:rPr>
        <w:t>.</w:t>
      </w:r>
      <w:r>
        <w:rPr>
          <w:rFonts w:ascii="仿宋" w:eastAsia="仿宋" w:hAnsi="仿宋" w:hint="eastAsia"/>
          <w:b/>
          <w:bCs/>
          <w:sz w:val="32"/>
          <w:szCs w:val="32"/>
        </w:rPr>
        <w:t>农林水</w:t>
      </w:r>
      <w:r>
        <w:rPr>
          <w:rStyle w:val="a7"/>
          <w:rFonts w:ascii="仿宋" w:eastAsia="仿宋" w:hAnsi="仿宋" w:hint="eastAsia"/>
          <w:bCs/>
          <w:sz w:val="32"/>
          <w:szCs w:val="32"/>
        </w:rPr>
        <w:t>（类）其他</w:t>
      </w:r>
      <w:r>
        <w:rPr>
          <w:rFonts w:ascii="仿宋" w:eastAsia="仿宋" w:hAnsi="仿宋" w:hint="eastAsia"/>
          <w:b/>
          <w:bCs/>
          <w:sz w:val="32"/>
          <w:szCs w:val="32"/>
        </w:rPr>
        <w:t>农林水</w:t>
      </w:r>
      <w:r>
        <w:rPr>
          <w:rStyle w:val="a7"/>
          <w:rFonts w:ascii="仿宋" w:eastAsia="仿宋" w:hAnsi="仿宋" w:hint="eastAsia"/>
          <w:bCs/>
          <w:sz w:val="32"/>
          <w:szCs w:val="32"/>
        </w:rPr>
        <w:t>（款）其他</w:t>
      </w:r>
      <w:r>
        <w:rPr>
          <w:rFonts w:ascii="仿宋" w:eastAsia="仿宋" w:hAnsi="仿宋" w:hint="eastAsia"/>
          <w:b/>
          <w:bCs/>
          <w:sz w:val="32"/>
          <w:szCs w:val="32"/>
        </w:rPr>
        <w:t>农林水</w:t>
      </w:r>
      <w:r>
        <w:rPr>
          <w:rStyle w:val="a7"/>
          <w:rFonts w:ascii="仿宋" w:eastAsia="仿宋" w:hAnsi="仿宋" w:hint="eastAsia"/>
          <w:bCs/>
          <w:sz w:val="32"/>
          <w:szCs w:val="32"/>
        </w:rPr>
        <w:t>（项）</w:t>
      </w:r>
      <w:r>
        <w:rPr>
          <w:rStyle w:val="a7"/>
          <w:rFonts w:ascii="仿宋" w:eastAsia="仿宋" w:hAnsi="仿宋"/>
          <w:bCs/>
          <w:sz w:val="32"/>
          <w:szCs w:val="32"/>
        </w:rPr>
        <w:t>:</w:t>
      </w:r>
      <w:r>
        <w:rPr>
          <w:rStyle w:val="a7"/>
          <w:rFonts w:ascii="仿宋" w:eastAsia="仿宋" w:hAnsi="仿宋" w:hint="eastAsia"/>
          <w:b w:val="0"/>
          <w:bCs/>
          <w:sz w:val="32"/>
          <w:szCs w:val="32"/>
        </w:rPr>
        <w:t>支出决算为396.95万元，完成预算100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9E5D01" w:rsidRDefault="009E5D01" w:rsidP="009E5D01">
      <w:pPr>
        <w:pStyle w:val="a0"/>
        <w:spacing w:before="93"/>
        <w:ind w:firstLineChars="196" w:firstLine="630"/>
      </w:pPr>
      <w:r>
        <w:rPr>
          <w:rStyle w:val="a7"/>
          <w:rFonts w:ascii="仿宋" w:eastAsia="仿宋" w:hAnsi="仿宋" w:hint="eastAsia"/>
          <w:bCs/>
          <w:sz w:val="32"/>
          <w:szCs w:val="32"/>
        </w:rPr>
        <w:t>12</w:t>
      </w:r>
      <w:r>
        <w:rPr>
          <w:rStyle w:val="a7"/>
          <w:rFonts w:ascii="仿宋" w:eastAsia="仿宋" w:hAnsi="仿宋"/>
          <w:bCs/>
          <w:sz w:val="32"/>
          <w:szCs w:val="32"/>
        </w:rPr>
        <w:t>.</w:t>
      </w:r>
      <w:r>
        <w:rPr>
          <w:rFonts w:ascii="仿宋" w:eastAsia="仿宋" w:hAnsi="仿宋" w:hint="eastAsia"/>
          <w:b/>
          <w:bCs/>
          <w:sz w:val="32"/>
          <w:szCs w:val="32"/>
        </w:rPr>
        <w:t>自然资源海洋气象等</w:t>
      </w:r>
      <w:r>
        <w:rPr>
          <w:rStyle w:val="a7"/>
          <w:rFonts w:ascii="仿宋" w:eastAsia="仿宋" w:hAnsi="仿宋" w:hint="eastAsia"/>
          <w:bCs/>
          <w:sz w:val="32"/>
          <w:szCs w:val="32"/>
        </w:rPr>
        <w:t>（类）自然资源事务（款）行政运行（项）</w:t>
      </w:r>
      <w:r>
        <w:rPr>
          <w:rStyle w:val="a7"/>
          <w:rFonts w:ascii="仿宋" w:eastAsia="仿宋" w:hAnsi="仿宋"/>
          <w:bCs/>
          <w:sz w:val="32"/>
          <w:szCs w:val="32"/>
        </w:rPr>
        <w:t>:</w:t>
      </w:r>
      <w:r>
        <w:rPr>
          <w:rStyle w:val="a7"/>
          <w:rFonts w:ascii="仿宋" w:eastAsia="仿宋" w:hAnsi="仿宋" w:hint="eastAsia"/>
          <w:b w:val="0"/>
          <w:bCs/>
          <w:sz w:val="32"/>
          <w:szCs w:val="32"/>
        </w:rPr>
        <w:t>支出决算为</w:t>
      </w:r>
      <w:r w:rsidR="008926FB" w:rsidRPr="008926FB">
        <w:rPr>
          <w:rStyle w:val="a7"/>
          <w:rFonts w:ascii="仿宋" w:eastAsia="仿宋" w:hAnsi="仿宋"/>
          <w:b w:val="0"/>
          <w:bCs/>
          <w:sz w:val="32"/>
          <w:szCs w:val="32"/>
        </w:rPr>
        <w:t>447.39</w:t>
      </w:r>
      <w:r>
        <w:rPr>
          <w:rStyle w:val="a7"/>
          <w:rFonts w:ascii="仿宋" w:eastAsia="仿宋" w:hAnsi="仿宋" w:hint="eastAsia"/>
          <w:b w:val="0"/>
          <w:bCs/>
          <w:sz w:val="32"/>
          <w:szCs w:val="32"/>
        </w:rPr>
        <w:t>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9E5D01" w:rsidRDefault="009E5D01" w:rsidP="009E5D01">
      <w:pPr>
        <w:pStyle w:val="a0"/>
        <w:spacing w:before="93"/>
        <w:ind w:firstLineChars="196" w:firstLine="630"/>
      </w:pPr>
      <w:r>
        <w:rPr>
          <w:rStyle w:val="a7"/>
          <w:rFonts w:ascii="仿宋" w:eastAsia="仿宋" w:hAnsi="仿宋" w:hint="eastAsia"/>
          <w:bCs/>
          <w:sz w:val="32"/>
          <w:szCs w:val="32"/>
        </w:rPr>
        <w:t>13</w:t>
      </w:r>
      <w:r>
        <w:rPr>
          <w:rStyle w:val="a7"/>
          <w:rFonts w:ascii="仿宋" w:eastAsia="仿宋" w:hAnsi="仿宋"/>
          <w:bCs/>
          <w:sz w:val="32"/>
          <w:szCs w:val="32"/>
        </w:rPr>
        <w:t>.</w:t>
      </w:r>
      <w:r>
        <w:rPr>
          <w:rFonts w:ascii="仿宋" w:eastAsia="仿宋" w:hAnsi="仿宋" w:hint="eastAsia"/>
          <w:b/>
          <w:bCs/>
          <w:sz w:val="32"/>
          <w:szCs w:val="32"/>
        </w:rPr>
        <w:t>自然资源海洋气象等</w:t>
      </w:r>
      <w:r>
        <w:rPr>
          <w:rStyle w:val="a7"/>
          <w:rFonts w:ascii="仿宋" w:eastAsia="仿宋" w:hAnsi="仿宋" w:hint="eastAsia"/>
          <w:bCs/>
          <w:sz w:val="32"/>
          <w:szCs w:val="32"/>
        </w:rPr>
        <w:t>（类）自然资源事务（款）</w:t>
      </w:r>
      <w:r w:rsidR="008926FB" w:rsidRPr="008926FB">
        <w:rPr>
          <w:rStyle w:val="a7"/>
          <w:rFonts w:ascii="仿宋" w:eastAsia="仿宋" w:hAnsi="仿宋" w:hint="eastAsia"/>
          <w:bCs/>
          <w:sz w:val="32"/>
          <w:szCs w:val="32"/>
        </w:rPr>
        <w:t>一般行政管理事务</w:t>
      </w:r>
      <w:r>
        <w:rPr>
          <w:rStyle w:val="a7"/>
          <w:rFonts w:ascii="仿宋" w:eastAsia="仿宋" w:hAnsi="仿宋" w:hint="eastAsia"/>
          <w:bCs/>
          <w:sz w:val="32"/>
          <w:szCs w:val="32"/>
        </w:rPr>
        <w:t>（项）</w:t>
      </w:r>
      <w:r>
        <w:rPr>
          <w:rStyle w:val="a7"/>
          <w:rFonts w:ascii="仿宋" w:eastAsia="仿宋" w:hAnsi="仿宋"/>
          <w:bCs/>
          <w:sz w:val="32"/>
          <w:szCs w:val="32"/>
        </w:rPr>
        <w:t>:</w:t>
      </w:r>
      <w:r>
        <w:rPr>
          <w:rStyle w:val="a7"/>
          <w:rFonts w:ascii="仿宋" w:eastAsia="仿宋" w:hAnsi="仿宋" w:hint="eastAsia"/>
          <w:b w:val="0"/>
          <w:bCs/>
          <w:sz w:val="32"/>
          <w:szCs w:val="32"/>
        </w:rPr>
        <w:t>支出决算为</w:t>
      </w:r>
      <w:r w:rsidR="008926FB" w:rsidRPr="008926FB">
        <w:rPr>
          <w:rStyle w:val="a7"/>
          <w:rFonts w:ascii="仿宋" w:eastAsia="仿宋" w:hAnsi="仿宋"/>
          <w:b w:val="0"/>
          <w:bCs/>
          <w:sz w:val="32"/>
          <w:szCs w:val="32"/>
        </w:rPr>
        <w:t>118.35</w:t>
      </w:r>
      <w:r>
        <w:rPr>
          <w:rStyle w:val="a7"/>
          <w:rFonts w:ascii="仿宋" w:eastAsia="仿宋" w:hAnsi="仿宋" w:hint="eastAsia"/>
          <w:b w:val="0"/>
          <w:bCs/>
          <w:sz w:val="32"/>
          <w:szCs w:val="32"/>
        </w:rPr>
        <w:t>万元，完成预算</w:t>
      </w:r>
      <w:r>
        <w:rPr>
          <w:rStyle w:val="a7"/>
          <w:rFonts w:ascii="仿宋" w:eastAsia="仿宋" w:hAnsi="仿宋" w:hint="eastAsia"/>
          <w:b w:val="0"/>
          <w:bCs/>
          <w:sz w:val="32"/>
          <w:szCs w:val="32"/>
        </w:rPr>
        <w:lastRenderedPageBreak/>
        <w:t>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9E5D01" w:rsidRDefault="009E5D01" w:rsidP="009E5D01">
      <w:pPr>
        <w:pStyle w:val="a0"/>
        <w:spacing w:before="93"/>
        <w:ind w:firstLineChars="196" w:firstLine="630"/>
      </w:pPr>
      <w:r>
        <w:rPr>
          <w:rStyle w:val="a7"/>
          <w:rFonts w:ascii="仿宋" w:eastAsia="仿宋" w:hAnsi="仿宋" w:hint="eastAsia"/>
          <w:bCs/>
          <w:sz w:val="32"/>
          <w:szCs w:val="32"/>
        </w:rPr>
        <w:t>14</w:t>
      </w:r>
      <w:r>
        <w:rPr>
          <w:rStyle w:val="a7"/>
          <w:rFonts w:ascii="仿宋" w:eastAsia="仿宋" w:hAnsi="仿宋"/>
          <w:bCs/>
          <w:sz w:val="32"/>
          <w:szCs w:val="32"/>
        </w:rPr>
        <w:t>.</w:t>
      </w:r>
      <w:r>
        <w:rPr>
          <w:rFonts w:ascii="仿宋" w:eastAsia="仿宋" w:hAnsi="仿宋" w:hint="eastAsia"/>
          <w:b/>
          <w:bCs/>
          <w:sz w:val="32"/>
          <w:szCs w:val="32"/>
        </w:rPr>
        <w:t>自然资源海洋气象等</w:t>
      </w:r>
      <w:r>
        <w:rPr>
          <w:rStyle w:val="a7"/>
          <w:rFonts w:ascii="仿宋" w:eastAsia="仿宋" w:hAnsi="仿宋" w:hint="eastAsia"/>
          <w:bCs/>
          <w:sz w:val="32"/>
          <w:szCs w:val="32"/>
        </w:rPr>
        <w:t>（类）自然资源事务（款）</w:t>
      </w:r>
      <w:r w:rsidR="008926FB" w:rsidRPr="008926FB">
        <w:rPr>
          <w:rStyle w:val="a7"/>
          <w:rFonts w:ascii="仿宋" w:eastAsia="仿宋" w:hAnsi="仿宋" w:hint="eastAsia"/>
          <w:bCs/>
          <w:sz w:val="32"/>
          <w:szCs w:val="32"/>
        </w:rPr>
        <w:t>自然资源规划及管理</w:t>
      </w:r>
      <w:r>
        <w:rPr>
          <w:rStyle w:val="a7"/>
          <w:rFonts w:ascii="仿宋" w:eastAsia="仿宋" w:hAnsi="仿宋" w:hint="eastAsia"/>
          <w:bCs/>
          <w:sz w:val="32"/>
          <w:szCs w:val="32"/>
        </w:rPr>
        <w:t>（项）</w:t>
      </w:r>
      <w:r>
        <w:rPr>
          <w:rStyle w:val="a7"/>
          <w:rFonts w:ascii="仿宋" w:eastAsia="仿宋" w:hAnsi="仿宋"/>
          <w:bCs/>
          <w:sz w:val="32"/>
          <w:szCs w:val="32"/>
        </w:rPr>
        <w:t>:</w:t>
      </w:r>
      <w:r>
        <w:rPr>
          <w:rStyle w:val="a7"/>
          <w:rFonts w:ascii="仿宋" w:eastAsia="仿宋" w:hAnsi="仿宋" w:hint="eastAsia"/>
          <w:b w:val="0"/>
          <w:bCs/>
          <w:sz w:val="32"/>
          <w:szCs w:val="32"/>
        </w:rPr>
        <w:t>支出决算为</w:t>
      </w:r>
      <w:r w:rsidR="008926FB" w:rsidRPr="008926FB">
        <w:rPr>
          <w:rStyle w:val="a7"/>
          <w:rFonts w:ascii="仿宋" w:eastAsia="仿宋" w:hAnsi="仿宋"/>
          <w:b w:val="0"/>
          <w:bCs/>
          <w:sz w:val="32"/>
          <w:szCs w:val="32"/>
        </w:rPr>
        <w:t>12.80</w:t>
      </w:r>
      <w:r>
        <w:rPr>
          <w:rStyle w:val="a7"/>
          <w:rFonts w:ascii="仿宋" w:eastAsia="仿宋" w:hAnsi="仿宋" w:hint="eastAsia"/>
          <w:b w:val="0"/>
          <w:bCs/>
          <w:sz w:val="32"/>
          <w:szCs w:val="32"/>
        </w:rPr>
        <w:t>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9E5D01" w:rsidRDefault="009E5D01" w:rsidP="009E5D01">
      <w:pPr>
        <w:pStyle w:val="a0"/>
        <w:spacing w:before="93"/>
        <w:ind w:firstLineChars="196" w:firstLine="630"/>
      </w:pPr>
      <w:r>
        <w:rPr>
          <w:rStyle w:val="a7"/>
          <w:rFonts w:ascii="仿宋" w:eastAsia="仿宋" w:hAnsi="仿宋" w:hint="eastAsia"/>
          <w:bCs/>
          <w:sz w:val="32"/>
          <w:szCs w:val="32"/>
        </w:rPr>
        <w:t>15</w:t>
      </w:r>
      <w:r>
        <w:rPr>
          <w:rStyle w:val="a7"/>
          <w:rFonts w:ascii="仿宋" w:eastAsia="仿宋" w:hAnsi="仿宋"/>
          <w:bCs/>
          <w:sz w:val="32"/>
          <w:szCs w:val="32"/>
        </w:rPr>
        <w:t>.</w:t>
      </w:r>
      <w:r>
        <w:rPr>
          <w:rFonts w:ascii="仿宋" w:eastAsia="仿宋" w:hAnsi="仿宋" w:hint="eastAsia"/>
          <w:b/>
          <w:bCs/>
          <w:sz w:val="32"/>
          <w:szCs w:val="32"/>
        </w:rPr>
        <w:t>自然资源海洋气象等</w:t>
      </w:r>
      <w:r>
        <w:rPr>
          <w:rStyle w:val="a7"/>
          <w:rFonts w:ascii="仿宋" w:eastAsia="仿宋" w:hAnsi="仿宋" w:hint="eastAsia"/>
          <w:bCs/>
          <w:sz w:val="32"/>
          <w:szCs w:val="32"/>
        </w:rPr>
        <w:t>（类）自然资源事务（款）</w:t>
      </w:r>
      <w:r w:rsidR="008926FB" w:rsidRPr="008926FB">
        <w:rPr>
          <w:rStyle w:val="a7"/>
          <w:rFonts w:ascii="仿宋" w:eastAsia="仿宋" w:hAnsi="仿宋" w:hint="eastAsia"/>
          <w:bCs/>
          <w:sz w:val="32"/>
          <w:szCs w:val="32"/>
        </w:rPr>
        <w:t>自然资源利用与保护</w:t>
      </w:r>
      <w:r>
        <w:rPr>
          <w:rStyle w:val="a7"/>
          <w:rFonts w:ascii="仿宋" w:eastAsia="仿宋" w:hAnsi="仿宋" w:hint="eastAsia"/>
          <w:bCs/>
          <w:sz w:val="32"/>
          <w:szCs w:val="32"/>
        </w:rPr>
        <w:t>（项）</w:t>
      </w:r>
      <w:r>
        <w:rPr>
          <w:rStyle w:val="a7"/>
          <w:rFonts w:ascii="仿宋" w:eastAsia="仿宋" w:hAnsi="仿宋"/>
          <w:bCs/>
          <w:sz w:val="32"/>
          <w:szCs w:val="32"/>
        </w:rPr>
        <w:t>:</w:t>
      </w:r>
      <w:r>
        <w:rPr>
          <w:rStyle w:val="a7"/>
          <w:rFonts w:ascii="仿宋" w:eastAsia="仿宋" w:hAnsi="仿宋" w:hint="eastAsia"/>
          <w:b w:val="0"/>
          <w:bCs/>
          <w:sz w:val="32"/>
          <w:szCs w:val="32"/>
        </w:rPr>
        <w:t>支出决算为</w:t>
      </w:r>
      <w:r w:rsidR="008926FB" w:rsidRPr="008926FB">
        <w:rPr>
          <w:rStyle w:val="a7"/>
          <w:rFonts w:ascii="仿宋" w:eastAsia="仿宋" w:hAnsi="仿宋"/>
          <w:b w:val="0"/>
          <w:bCs/>
          <w:sz w:val="32"/>
          <w:szCs w:val="32"/>
        </w:rPr>
        <w:t>80.80</w:t>
      </w:r>
      <w:r>
        <w:rPr>
          <w:rStyle w:val="a7"/>
          <w:rFonts w:ascii="仿宋" w:eastAsia="仿宋" w:hAnsi="仿宋" w:hint="eastAsia"/>
          <w:b w:val="0"/>
          <w:bCs/>
          <w:sz w:val="32"/>
          <w:szCs w:val="32"/>
        </w:rPr>
        <w:t>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9E5D01" w:rsidRDefault="009E5D01" w:rsidP="009E5D01">
      <w:pPr>
        <w:pStyle w:val="a0"/>
        <w:spacing w:before="93"/>
        <w:ind w:firstLineChars="196" w:firstLine="630"/>
      </w:pPr>
      <w:r>
        <w:rPr>
          <w:rStyle w:val="a7"/>
          <w:rFonts w:ascii="仿宋" w:eastAsia="仿宋" w:hAnsi="仿宋" w:hint="eastAsia"/>
          <w:bCs/>
          <w:sz w:val="32"/>
          <w:szCs w:val="32"/>
        </w:rPr>
        <w:t>16</w:t>
      </w:r>
      <w:r>
        <w:rPr>
          <w:rStyle w:val="a7"/>
          <w:rFonts w:ascii="仿宋" w:eastAsia="仿宋" w:hAnsi="仿宋"/>
          <w:bCs/>
          <w:sz w:val="32"/>
          <w:szCs w:val="32"/>
        </w:rPr>
        <w:t>.</w:t>
      </w:r>
      <w:r>
        <w:rPr>
          <w:rFonts w:ascii="仿宋" w:eastAsia="仿宋" w:hAnsi="仿宋" w:hint="eastAsia"/>
          <w:b/>
          <w:bCs/>
          <w:sz w:val="32"/>
          <w:szCs w:val="32"/>
        </w:rPr>
        <w:t>自然资源海洋气象等</w:t>
      </w:r>
      <w:r>
        <w:rPr>
          <w:rStyle w:val="a7"/>
          <w:rFonts w:ascii="仿宋" w:eastAsia="仿宋" w:hAnsi="仿宋" w:hint="eastAsia"/>
          <w:bCs/>
          <w:sz w:val="32"/>
          <w:szCs w:val="32"/>
        </w:rPr>
        <w:t>（类）自然资源事务（款）</w:t>
      </w:r>
      <w:r w:rsidR="008926FB" w:rsidRPr="008926FB">
        <w:rPr>
          <w:rStyle w:val="a7"/>
          <w:rFonts w:ascii="仿宋" w:eastAsia="仿宋" w:hAnsi="仿宋" w:hint="eastAsia"/>
          <w:bCs/>
          <w:sz w:val="32"/>
          <w:szCs w:val="32"/>
        </w:rPr>
        <w:t>自然资源调查与确权登记</w:t>
      </w:r>
      <w:r>
        <w:rPr>
          <w:rStyle w:val="a7"/>
          <w:rFonts w:ascii="仿宋" w:eastAsia="仿宋" w:hAnsi="仿宋" w:hint="eastAsia"/>
          <w:bCs/>
          <w:sz w:val="32"/>
          <w:szCs w:val="32"/>
        </w:rPr>
        <w:t>（项）</w:t>
      </w:r>
      <w:r>
        <w:rPr>
          <w:rStyle w:val="a7"/>
          <w:rFonts w:ascii="仿宋" w:eastAsia="仿宋" w:hAnsi="仿宋"/>
          <w:bCs/>
          <w:sz w:val="32"/>
          <w:szCs w:val="32"/>
        </w:rPr>
        <w:t>:</w:t>
      </w:r>
      <w:r>
        <w:rPr>
          <w:rStyle w:val="a7"/>
          <w:rFonts w:ascii="仿宋" w:eastAsia="仿宋" w:hAnsi="仿宋" w:hint="eastAsia"/>
          <w:b w:val="0"/>
          <w:bCs/>
          <w:sz w:val="32"/>
          <w:szCs w:val="32"/>
        </w:rPr>
        <w:t>支出决算为</w:t>
      </w:r>
      <w:r w:rsidR="008926FB" w:rsidRPr="008926FB">
        <w:rPr>
          <w:rStyle w:val="a7"/>
          <w:rFonts w:ascii="仿宋" w:eastAsia="仿宋" w:hAnsi="仿宋"/>
          <w:b w:val="0"/>
          <w:bCs/>
          <w:sz w:val="32"/>
          <w:szCs w:val="32"/>
        </w:rPr>
        <w:t>106.32</w:t>
      </w:r>
      <w:r>
        <w:rPr>
          <w:rStyle w:val="a7"/>
          <w:rFonts w:ascii="仿宋" w:eastAsia="仿宋" w:hAnsi="仿宋" w:hint="eastAsia"/>
          <w:b w:val="0"/>
          <w:bCs/>
          <w:sz w:val="32"/>
          <w:szCs w:val="32"/>
        </w:rPr>
        <w:t>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9E5D01" w:rsidRDefault="009E5D01" w:rsidP="009E5D01">
      <w:pPr>
        <w:pStyle w:val="a0"/>
        <w:spacing w:before="93"/>
        <w:ind w:firstLineChars="196" w:firstLine="630"/>
      </w:pPr>
      <w:r>
        <w:rPr>
          <w:rStyle w:val="a7"/>
          <w:rFonts w:ascii="仿宋" w:eastAsia="仿宋" w:hAnsi="仿宋" w:hint="eastAsia"/>
          <w:bCs/>
          <w:sz w:val="32"/>
          <w:szCs w:val="32"/>
        </w:rPr>
        <w:t>17</w:t>
      </w:r>
      <w:r>
        <w:rPr>
          <w:rStyle w:val="a7"/>
          <w:rFonts w:ascii="仿宋" w:eastAsia="仿宋" w:hAnsi="仿宋"/>
          <w:bCs/>
          <w:sz w:val="32"/>
          <w:szCs w:val="32"/>
        </w:rPr>
        <w:t>.</w:t>
      </w:r>
      <w:r>
        <w:rPr>
          <w:rFonts w:ascii="仿宋" w:eastAsia="仿宋" w:hAnsi="仿宋" w:hint="eastAsia"/>
          <w:b/>
          <w:bCs/>
          <w:sz w:val="32"/>
          <w:szCs w:val="32"/>
        </w:rPr>
        <w:t>自然资源海洋气象等</w:t>
      </w:r>
      <w:r>
        <w:rPr>
          <w:rStyle w:val="a7"/>
          <w:rFonts w:ascii="仿宋" w:eastAsia="仿宋" w:hAnsi="仿宋" w:hint="eastAsia"/>
          <w:bCs/>
          <w:sz w:val="32"/>
          <w:szCs w:val="32"/>
        </w:rPr>
        <w:t>（类）自然资源事务（款）</w:t>
      </w:r>
      <w:r w:rsidR="008926FB" w:rsidRPr="008926FB">
        <w:rPr>
          <w:rStyle w:val="a7"/>
          <w:rFonts w:ascii="仿宋" w:eastAsia="仿宋" w:hAnsi="仿宋" w:hint="eastAsia"/>
          <w:bCs/>
          <w:sz w:val="32"/>
          <w:szCs w:val="32"/>
        </w:rPr>
        <w:t>地质勘查与矿产资源管理</w:t>
      </w:r>
      <w:r>
        <w:rPr>
          <w:rStyle w:val="a7"/>
          <w:rFonts w:ascii="仿宋" w:eastAsia="仿宋" w:hAnsi="仿宋" w:hint="eastAsia"/>
          <w:bCs/>
          <w:sz w:val="32"/>
          <w:szCs w:val="32"/>
        </w:rPr>
        <w:t>（项）</w:t>
      </w:r>
      <w:r>
        <w:rPr>
          <w:rStyle w:val="a7"/>
          <w:rFonts w:ascii="仿宋" w:eastAsia="仿宋" w:hAnsi="仿宋"/>
          <w:bCs/>
          <w:sz w:val="32"/>
          <w:szCs w:val="32"/>
        </w:rPr>
        <w:t>:</w:t>
      </w:r>
      <w:r>
        <w:rPr>
          <w:rStyle w:val="a7"/>
          <w:rFonts w:ascii="仿宋" w:eastAsia="仿宋" w:hAnsi="仿宋" w:hint="eastAsia"/>
          <w:b w:val="0"/>
          <w:bCs/>
          <w:sz w:val="32"/>
          <w:szCs w:val="32"/>
        </w:rPr>
        <w:t>支出决算为</w:t>
      </w:r>
      <w:r w:rsidR="008926FB" w:rsidRPr="008926FB">
        <w:rPr>
          <w:rStyle w:val="a7"/>
          <w:rFonts w:ascii="仿宋" w:eastAsia="仿宋" w:hAnsi="仿宋"/>
          <w:b w:val="0"/>
          <w:bCs/>
          <w:sz w:val="32"/>
          <w:szCs w:val="32"/>
        </w:rPr>
        <w:t>12.60</w:t>
      </w:r>
      <w:r>
        <w:rPr>
          <w:rStyle w:val="a7"/>
          <w:rFonts w:ascii="仿宋" w:eastAsia="仿宋" w:hAnsi="仿宋" w:hint="eastAsia"/>
          <w:b w:val="0"/>
          <w:bCs/>
          <w:sz w:val="32"/>
          <w:szCs w:val="32"/>
        </w:rPr>
        <w:t>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9E5D01" w:rsidRDefault="009E5D01" w:rsidP="009E5D01">
      <w:pPr>
        <w:pStyle w:val="a0"/>
        <w:spacing w:before="93"/>
        <w:ind w:firstLineChars="196" w:firstLine="630"/>
      </w:pPr>
      <w:r>
        <w:rPr>
          <w:rStyle w:val="a7"/>
          <w:rFonts w:ascii="仿宋" w:eastAsia="仿宋" w:hAnsi="仿宋" w:hint="eastAsia"/>
          <w:bCs/>
          <w:sz w:val="32"/>
          <w:szCs w:val="32"/>
        </w:rPr>
        <w:t>18</w:t>
      </w:r>
      <w:r>
        <w:rPr>
          <w:rStyle w:val="a7"/>
          <w:rFonts w:ascii="仿宋" w:eastAsia="仿宋" w:hAnsi="仿宋"/>
          <w:bCs/>
          <w:sz w:val="32"/>
          <w:szCs w:val="32"/>
        </w:rPr>
        <w:t>.</w:t>
      </w:r>
      <w:r>
        <w:rPr>
          <w:rFonts w:ascii="仿宋" w:eastAsia="仿宋" w:hAnsi="仿宋" w:hint="eastAsia"/>
          <w:b/>
          <w:bCs/>
          <w:sz w:val="32"/>
          <w:szCs w:val="32"/>
        </w:rPr>
        <w:t>自然资源海洋气象等</w:t>
      </w:r>
      <w:r>
        <w:rPr>
          <w:rStyle w:val="a7"/>
          <w:rFonts w:ascii="仿宋" w:eastAsia="仿宋" w:hAnsi="仿宋" w:hint="eastAsia"/>
          <w:bCs/>
          <w:sz w:val="32"/>
          <w:szCs w:val="32"/>
        </w:rPr>
        <w:t>（类）自然资源事务（款）</w:t>
      </w:r>
      <w:r w:rsidR="008926FB" w:rsidRPr="008926FB">
        <w:rPr>
          <w:rStyle w:val="a7"/>
          <w:rFonts w:ascii="仿宋" w:eastAsia="仿宋" w:hAnsi="仿宋" w:hint="eastAsia"/>
          <w:bCs/>
          <w:sz w:val="32"/>
          <w:szCs w:val="32"/>
        </w:rPr>
        <w:t>事业运行</w:t>
      </w:r>
      <w:r>
        <w:rPr>
          <w:rStyle w:val="a7"/>
          <w:rFonts w:ascii="仿宋" w:eastAsia="仿宋" w:hAnsi="仿宋" w:hint="eastAsia"/>
          <w:bCs/>
          <w:sz w:val="32"/>
          <w:szCs w:val="32"/>
        </w:rPr>
        <w:t>（项）</w:t>
      </w:r>
      <w:r>
        <w:rPr>
          <w:rStyle w:val="a7"/>
          <w:rFonts w:ascii="仿宋" w:eastAsia="仿宋" w:hAnsi="仿宋"/>
          <w:bCs/>
          <w:sz w:val="32"/>
          <w:szCs w:val="32"/>
        </w:rPr>
        <w:t>:</w:t>
      </w:r>
      <w:r>
        <w:rPr>
          <w:rStyle w:val="a7"/>
          <w:rFonts w:ascii="仿宋" w:eastAsia="仿宋" w:hAnsi="仿宋" w:hint="eastAsia"/>
          <w:b w:val="0"/>
          <w:bCs/>
          <w:sz w:val="32"/>
          <w:szCs w:val="32"/>
        </w:rPr>
        <w:t>支出决算为</w:t>
      </w:r>
      <w:r w:rsidR="008926FB" w:rsidRPr="008926FB">
        <w:rPr>
          <w:rStyle w:val="a7"/>
          <w:rFonts w:ascii="仿宋" w:eastAsia="仿宋" w:hAnsi="仿宋"/>
          <w:b w:val="0"/>
          <w:bCs/>
          <w:sz w:val="32"/>
          <w:szCs w:val="32"/>
        </w:rPr>
        <w:t>358.89</w:t>
      </w:r>
      <w:r>
        <w:rPr>
          <w:rStyle w:val="a7"/>
          <w:rFonts w:ascii="仿宋" w:eastAsia="仿宋" w:hAnsi="仿宋" w:hint="eastAsia"/>
          <w:b w:val="0"/>
          <w:bCs/>
          <w:sz w:val="32"/>
          <w:szCs w:val="32"/>
        </w:rPr>
        <w:t>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9E5D01" w:rsidRDefault="009E5D01" w:rsidP="009E5D01">
      <w:pPr>
        <w:pStyle w:val="a0"/>
        <w:spacing w:before="93"/>
        <w:ind w:firstLineChars="196" w:firstLine="630"/>
      </w:pPr>
      <w:r>
        <w:rPr>
          <w:rStyle w:val="a7"/>
          <w:rFonts w:ascii="仿宋" w:eastAsia="仿宋" w:hAnsi="仿宋" w:hint="eastAsia"/>
          <w:bCs/>
          <w:sz w:val="32"/>
          <w:szCs w:val="32"/>
        </w:rPr>
        <w:t>1</w:t>
      </w:r>
      <w:r w:rsidR="008926FB">
        <w:rPr>
          <w:rStyle w:val="a7"/>
          <w:rFonts w:ascii="仿宋" w:eastAsia="仿宋" w:hAnsi="仿宋" w:hint="eastAsia"/>
          <w:bCs/>
          <w:sz w:val="32"/>
          <w:szCs w:val="32"/>
        </w:rPr>
        <w:t>9</w:t>
      </w:r>
      <w:r>
        <w:rPr>
          <w:rStyle w:val="a7"/>
          <w:rFonts w:ascii="仿宋" w:eastAsia="仿宋" w:hAnsi="仿宋"/>
          <w:bCs/>
          <w:sz w:val="32"/>
          <w:szCs w:val="32"/>
        </w:rPr>
        <w:t>.</w:t>
      </w:r>
      <w:r w:rsidR="008926FB">
        <w:rPr>
          <w:rFonts w:ascii="仿宋" w:eastAsia="仿宋" w:hAnsi="仿宋" w:hint="eastAsia"/>
          <w:b/>
          <w:bCs/>
          <w:sz w:val="32"/>
          <w:szCs w:val="32"/>
        </w:rPr>
        <w:t>住房保障</w:t>
      </w:r>
      <w:r>
        <w:rPr>
          <w:rStyle w:val="a7"/>
          <w:rFonts w:ascii="仿宋" w:eastAsia="仿宋" w:hAnsi="仿宋" w:hint="eastAsia"/>
          <w:bCs/>
          <w:sz w:val="32"/>
          <w:szCs w:val="32"/>
        </w:rPr>
        <w:t>（类）</w:t>
      </w:r>
      <w:r w:rsidR="008926FB">
        <w:rPr>
          <w:rStyle w:val="a7"/>
          <w:rFonts w:ascii="仿宋" w:eastAsia="仿宋" w:hAnsi="仿宋" w:hint="eastAsia"/>
          <w:bCs/>
          <w:sz w:val="32"/>
          <w:szCs w:val="32"/>
        </w:rPr>
        <w:t>住房改革</w:t>
      </w:r>
      <w:r>
        <w:rPr>
          <w:rStyle w:val="a7"/>
          <w:rFonts w:ascii="仿宋" w:eastAsia="仿宋" w:hAnsi="仿宋" w:hint="eastAsia"/>
          <w:bCs/>
          <w:sz w:val="32"/>
          <w:szCs w:val="32"/>
        </w:rPr>
        <w:t>（款）</w:t>
      </w:r>
      <w:r w:rsidR="008926FB">
        <w:rPr>
          <w:rStyle w:val="a7"/>
          <w:rFonts w:ascii="仿宋" w:eastAsia="仿宋" w:hAnsi="仿宋" w:hint="eastAsia"/>
          <w:bCs/>
          <w:sz w:val="32"/>
          <w:szCs w:val="32"/>
        </w:rPr>
        <w:t>住房公积金</w:t>
      </w:r>
      <w:r>
        <w:rPr>
          <w:rStyle w:val="a7"/>
          <w:rFonts w:ascii="仿宋" w:eastAsia="仿宋" w:hAnsi="仿宋" w:hint="eastAsia"/>
          <w:bCs/>
          <w:sz w:val="32"/>
          <w:szCs w:val="32"/>
        </w:rPr>
        <w:t>（项）</w:t>
      </w:r>
      <w:r>
        <w:rPr>
          <w:rStyle w:val="a7"/>
          <w:rFonts w:ascii="仿宋" w:eastAsia="仿宋" w:hAnsi="仿宋"/>
          <w:bCs/>
          <w:sz w:val="32"/>
          <w:szCs w:val="32"/>
        </w:rPr>
        <w:t>:</w:t>
      </w:r>
      <w:r>
        <w:rPr>
          <w:rStyle w:val="a7"/>
          <w:rFonts w:ascii="仿宋" w:eastAsia="仿宋" w:hAnsi="仿宋" w:hint="eastAsia"/>
          <w:b w:val="0"/>
          <w:bCs/>
          <w:sz w:val="32"/>
          <w:szCs w:val="32"/>
        </w:rPr>
        <w:t>支出决算为</w:t>
      </w:r>
      <w:r w:rsidR="008926FB">
        <w:rPr>
          <w:rStyle w:val="a7"/>
          <w:rFonts w:ascii="仿宋" w:eastAsia="仿宋" w:hAnsi="仿宋" w:hint="eastAsia"/>
          <w:b w:val="0"/>
          <w:bCs/>
          <w:sz w:val="32"/>
          <w:szCs w:val="32"/>
        </w:rPr>
        <w:t>90.47</w:t>
      </w:r>
      <w:r>
        <w:rPr>
          <w:rStyle w:val="a7"/>
          <w:rFonts w:ascii="仿宋" w:eastAsia="仿宋" w:hAnsi="仿宋" w:hint="eastAsia"/>
          <w:b w:val="0"/>
          <w:bCs/>
          <w:sz w:val="32"/>
          <w:szCs w:val="32"/>
        </w:rPr>
        <w:t>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8926FB" w:rsidRDefault="008926FB" w:rsidP="008926FB">
      <w:pPr>
        <w:pStyle w:val="a0"/>
        <w:spacing w:before="93"/>
        <w:ind w:firstLineChars="196" w:firstLine="630"/>
      </w:pPr>
      <w:r>
        <w:rPr>
          <w:rStyle w:val="a7"/>
          <w:rFonts w:ascii="仿宋" w:eastAsia="仿宋" w:hAnsi="仿宋" w:hint="eastAsia"/>
          <w:bCs/>
          <w:sz w:val="32"/>
          <w:szCs w:val="32"/>
        </w:rPr>
        <w:t>20</w:t>
      </w:r>
      <w:r>
        <w:rPr>
          <w:rStyle w:val="a7"/>
          <w:rFonts w:ascii="仿宋" w:eastAsia="仿宋" w:hAnsi="仿宋"/>
          <w:bCs/>
          <w:sz w:val="32"/>
          <w:szCs w:val="32"/>
        </w:rPr>
        <w:t>.</w:t>
      </w:r>
      <w:r>
        <w:rPr>
          <w:rFonts w:ascii="仿宋" w:eastAsia="仿宋" w:hAnsi="仿宋" w:hint="eastAsia"/>
          <w:b/>
          <w:bCs/>
          <w:sz w:val="32"/>
          <w:szCs w:val="32"/>
        </w:rPr>
        <w:t>灾害防治及应急管理</w:t>
      </w:r>
      <w:r>
        <w:rPr>
          <w:rStyle w:val="a7"/>
          <w:rFonts w:ascii="仿宋" w:eastAsia="仿宋" w:hAnsi="仿宋" w:hint="eastAsia"/>
          <w:bCs/>
          <w:sz w:val="32"/>
          <w:szCs w:val="32"/>
        </w:rPr>
        <w:t>（类）自然灾害防治（款）地质灾害防治（项）</w:t>
      </w:r>
      <w:r>
        <w:rPr>
          <w:rStyle w:val="a7"/>
          <w:rFonts w:ascii="仿宋" w:eastAsia="仿宋" w:hAnsi="仿宋"/>
          <w:bCs/>
          <w:sz w:val="32"/>
          <w:szCs w:val="32"/>
        </w:rPr>
        <w:t>:</w:t>
      </w:r>
      <w:r>
        <w:rPr>
          <w:rStyle w:val="a7"/>
          <w:rFonts w:ascii="仿宋" w:eastAsia="仿宋" w:hAnsi="仿宋" w:hint="eastAsia"/>
          <w:b w:val="0"/>
          <w:bCs/>
          <w:sz w:val="32"/>
          <w:szCs w:val="32"/>
        </w:rPr>
        <w:t>支出决算为1714.80万元，完成预算100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8926FB" w:rsidRDefault="008926FB" w:rsidP="008926FB">
      <w:pPr>
        <w:pStyle w:val="a0"/>
        <w:spacing w:before="93"/>
        <w:ind w:firstLineChars="196" w:firstLine="630"/>
      </w:pPr>
      <w:r>
        <w:rPr>
          <w:rStyle w:val="a7"/>
          <w:rFonts w:ascii="仿宋" w:eastAsia="仿宋" w:hAnsi="仿宋" w:hint="eastAsia"/>
          <w:bCs/>
          <w:sz w:val="32"/>
          <w:szCs w:val="32"/>
        </w:rPr>
        <w:t>21</w:t>
      </w:r>
      <w:r>
        <w:rPr>
          <w:rStyle w:val="a7"/>
          <w:rFonts w:ascii="仿宋" w:eastAsia="仿宋" w:hAnsi="仿宋"/>
          <w:bCs/>
          <w:sz w:val="32"/>
          <w:szCs w:val="32"/>
        </w:rPr>
        <w:t>.</w:t>
      </w:r>
      <w:r>
        <w:rPr>
          <w:rFonts w:ascii="仿宋" w:eastAsia="仿宋" w:hAnsi="仿宋" w:hint="eastAsia"/>
          <w:b/>
          <w:bCs/>
          <w:sz w:val="32"/>
          <w:szCs w:val="32"/>
        </w:rPr>
        <w:t>其他支出</w:t>
      </w:r>
      <w:r>
        <w:rPr>
          <w:rStyle w:val="a7"/>
          <w:rFonts w:ascii="仿宋" w:eastAsia="仿宋" w:hAnsi="仿宋" w:hint="eastAsia"/>
          <w:bCs/>
          <w:sz w:val="32"/>
          <w:szCs w:val="32"/>
        </w:rPr>
        <w:t>（类）其他支出（款）其他支出（项）</w:t>
      </w:r>
      <w:r>
        <w:rPr>
          <w:rStyle w:val="a7"/>
          <w:rFonts w:ascii="仿宋" w:eastAsia="仿宋" w:hAnsi="仿宋"/>
          <w:bCs/>
          <w:sz w:val="32"/>
          <w:szCs w:val="32"/>
        </w:rPr>
        <w:t>:</w:t>
      </w:r>
      <w:r>
        <w:rPr>
          <w:rStyle w:val="a7"/>
          <w:rFonts w:ascii="仿宋" w:eastAsia="仿宋" w:hAnsi="仿宋" w:hint="eastAsia"/>
          <w:b w:val="0"/>
          <w:bCs/>
          <w:sz w:val="32"/>
          <w:szCs w:val="32"/>
        </w:rPr>
        <w:t>支出决算为12万元，完成预算100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457321" w:rsidRDefault="006572CB">
      <w:pPr>
        <w:tabs>
          <w:tab w:val="right" w:pos="8306"/>
        </w:tabs>
        <w:spacing w:line="600" w:lineRule="exact"/>
        <w:ind w:firstLine="640"/>
        <w:outlineLvl w:val="1"/>
        <w:rPr>
          <w:rStyle w:val="2Char"/>
        </w:rPr>
      </w:pPr>
      <w:bookmarkStart w:id="41" w:name="_Toc15396608"/>
      <w:bookmarkStart w:id="42" w:name="_Toc15377214"/>
      <w:r>
        <w:rPr>
          <w:rFonts w:ascii="黑体" w:eastAsia="黑体" w:hint="eastAsia"/>
          <w:sz w:val="32"/>
          <w:szCs w:val="32"/>
        </w:rPr>
        <w:lastRenderedPageBreak/>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41"/>
      <w:bookmarkEnd w:id="42"/>
      <w:r>
        <w:rPr>
          <w:rStyle w:val="2Char"/>
          <w:rFonts w:ascii="黑体" w:eastAsia="黑体" w:hAnsi="黑体"/>
          <w:b w:val="0"/>
        </w:rPr>
        <w:tab/>
      </w:r>
    </w:p>
    <w:p w:rsidR="00457321" w:rsidRDefault="006572CB">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21年一般公共预算财政拨款基本支出</w:t>
      </w:r>
      <w:r w:rsidR="00680E95">
        <w:rPr>
          <w:rFonts w:ascii="仿宋" w:eastAsia="仿宋" w:hAnsi="仿宋" w:hint="eastAsia"/>
          <w:sz w:val="32"/>
          <w:szCs w:val="32"/>
        </w:rPr>
        <w:t>1105.93</w:t>
      </w:r>
      <w:r>
        <w:rPr>
          <w:rFonts w:ascii="仿宋" w:eastAsia="仿宋" w:hAnsi="仿宋" w:hint="eastAsia"/>
          <w:sz w:val="32"/>
          <w:szCs w:val="32"/>
        </w:rPr>
        <w:t>万元，其中：</w:t>
      </w:r>
    </w:p>
    <w:p w:rsidR="00457321" w:rsidRDefault="006572CB">
      <w:pPr>
        <w:spacing w:line="600" w:lineRule="exact"/>
        <w:ind w:firstLine="645"/>
        <w:rPr>
          <w:rFonts w:ascii="仿宋" w:eastAsia="仿宋" w:hAnsi="仿宋"/>
          <w:sz w:val="32"/>
          <w:szCs w:val="32"/>
        </w:rPr>
      </w:pPr>
      <w:r>
        <w:rPr>
          <w:rFonts w:ascii="仿宋" w:eastAsia="仿宋" w:hAnsi="仿宋" w:hint="eastAsia"/>
          <w:sz w:val="32"/>
          <w:szCs w:val="32"/>
        </w:rPr>
        <w:t>人员经费</w:t>
      </w:r>
      <w:r w:rsidR="00680E95">
        <w:rPr>
          <w:rFonts w:ascii="仿宋" w:eastAsia="仿宋" w:hAnsi="仿宋" w:hint="eastAsia"/>
          <w:sz w:val="32"/>
          <w:szCs w:val="32"/>
        </w:rPr>
        <w:t>1027.28</w:t>
      </w:r>
      <w:r>
        <w:rPr>
          <w:rFonts w:ascii="仿宋" w:eastAsia="仿宋" w:hAnsi="仿宋" w:hint="eastAsia"/>
          <w:sz w:val="32"/>
          <w:szCs w:val="32"/>
        </w:rPr>
        <w:t>万元，主要包括：基本工资、津贴补贴、奖金、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sz w:val="32"/>
          <w:szCs w:val="32"/>
        </w:rPr>
        <w:br/>
      </w:r>
      <w:r>
        <w:rPr>
          <w:rFonts w:ascii="仿宋" w:eastAsia="仿宋" w:hAnsi="仿宋" w:hint="eastAsia"/>
          <w:sz w:val="32"/>
          <w:szCs w:val="32"/>
        </w:rPr>
        <w:t xml:space="preserve">　　公用经费</w:t>
      </w:r>
      <w:r w:rsidR="00680E95">
        <w:rPr>
          <w:rFonts w:ascii="仿宋" w:eastAsia="仿宋" w:hAnsi="仿宋" w:hint="eastAsia"/>
          <w:sz w:val="32"/>
          <w:szCs w:val="32"/>
        </w:rPr>
        <w:t>78.65</w:t>
      </w:r>
      <w:r>
        <w:rPr>
          <w:rFonts w:ascii="仿宋" w:eastAsia="仿宋" w:hAnsi="仿宋" w:hint="eastAsia"/>
          <w:sz w:val="32"/>
          <w:szCs w:val="32"/>
        </w:rPr>
        <w:t>万元，主要包括：办公费、印刷费、水费、电费、邮电费、差旅费、维修（护）费、会议费、培训费、公务接待费、劳务费、委托业务费、工会经费、福利费、公务用车运行维护费、其他交通费、其他商品和服务支出、办公设备购置、其他资本性支出等。</w:t>
      </w:r>
    </w:p>
    <w:p w:rsidR="00457321" w:rsidRPr="007C14C0" w:rsidRDefault="006572CB">
      <w:pPr>
        <w:spacing w:line="600" w:lineRule="exact"/>
        <w:ind w:firstLine="640"/>
        <w:outlineLvl w:val="1"/>
        <w:rPr>
          <w:rStyle w:val="2Char"/>
          <w:rFonts w:ascii="黑体" w:eastAsia="黑体" w:hAnsi="黑体"/>
          <w:b w:val="0"/>
        </w:rPr>
      </w:pPr>
      <w:bookmarkStart w:id="43" w:name="_Toc15377215"/>
      <w:bookmarkStart w:id="44" w:name="_Toc15396609"/>
      <w:r w:rsidRPr="007C14C0">
        <w:rPr>
          <w:rFonts w:ascii="黑体" w:eastAsia="黑体" w:hint="eastAsia"/>
          <w:sz w:val="32"/>
          <w:szCs w:val="32"/>
        </w:rPr>
        <w:t>七、</w:t>
      </w:r>
      <w:r w:rsidRPr="007C14C0">
        <w:rPr>
          <w:rStyle w:val="2Char"/>
          <w:rFonts w:ascii="黑体" w:eastAsia="黑体" w:hAnsi="黑体" w:hint="eastAsia"/>
        </w:rPr>
        <w:t>“</w:t>
      </w:r>
      <w:r w:rsidRPr="007C14C0">
        <w:rPr>
          <w:rStyle w:val="2Char"/>
          <w:rFonts w:ascii="黑体" w:eastAsia="黑体" w:hAnsi="黑体" w:hint="eastAsia"/>
          <w:b w:val="0"/>
        </w:rPr>
        <w:t>三公”经费财政拨款支出决算情况说明</w:t>
      </w:r>
      <w:bookmarkEnd w:id="43"/>
      <w:bookmarkEnd w:id="44"/>
    </w:p>
    <w:p w:rsidR="00457321" w:rsidRDefault="006572CB">
      <w:pPr>
        <w:spacing w:line="600" w:lineRule="exact"/>
        <w:ind w:firstLine="640"/>
        <w:outlineLvl w:val="2"/>
        <w:rPr>
          <w:rFonts w:ascii="仿宋" w:eastAsia="仿宋" w:hAnsi="仿宋"/>
          <w:b/>
          <w:sz w:val="32"/>
          <w:szCs w:val="32"/>
        </w:rPr>
      </w:pPr>
      <w:bookmarkStart w:id="45" w:name="_Toc15377216"/>
      <w:r>
        <w:rPr>
          <w:rFonts w:ascii="仿宋" w:eastAsia="仿宋" w:hAnsi="仿宋" w:hint="eastAsia"/>
          <w:b/>
          <w:sz w:val="32"/>
          <w:szCs w:val="32"/>
        </w:rPr>
        <w:t>（一）“三公”经费财政拨款支出决算总体情况说明</w:t>
      </w:r>
      <w:bookmarkEnd w:id="45"/>
    </w:p>
    <w:p w:rsidR="00457321" w:rsidRDefault="006572CB">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21年“三公”经费财政拨款支出决算为</w:t>
      </w:r>
      <w:r w:rsidR="007C14C0">
        <w:rPr>
          <w:rFonts w:ascii="仿宋" w:eastAsia="仿宋" w:hAnsi="仿宋" w:hint="eastAsia"/>
          <w:sz w:val="32"/>
          <w:szCs w:val="32"/>
        </w:rPr>
        <w:t>3.76</w:t>
      </w:r>
      <w:r>
        <w:rPr>
          <w:rFonts w:ascii="仿宋" w:eastAsia="仿宋" w:hAnsi="仿宋" w:hint="eastAsia"/>
          <w:sz w:val="32"/>
          <w:szCs w:val="32"/>
        </w:rPr>
        <w:t>万元，完成预算</w:t>
      </w:r>
      <w:r w:rsidR="007C14C0">
        <w:rPr>
          <w:rFonts w:ascii="仿宋" w:eastAsia="仿宋" w:hAnsi="仿宋" w:hint="eastAsia"/>
          <w:sz w:val="32"/>
          <w:szCs w:val="32"/>
        </w:rPr>
        <w:t>100</w:t>
      </w:r>
      <w:r>
        <w:rPr>
          <w:rFonts w:ascii="仿宋" w:eastAsia="仿宋" w:hAnsi="仿宋"/>
          <w:sz w:val="32"/>
          <w:szCs w:val="32"/>
        </w:rPr>
        <w:t>%</w:t>
      </w:r>
      <w:r>
        <w:rPr>
          <w:rFonts w:ascii="仿宋" w:eastAsia="仿宋" w:hAnsi="仿宋" w:hint="eastAsia"/>
          <w:sz w:val="32"/>
          <w:szCs w:val="32"/>
        </w:rPr>
        <w:t>。</w:t>
      </w:r>
    </w:p>
    <w:p w:rsidR="00457321" w:rsidRDefault="006572CB">
      <w:pPr>
        <w:spacing w:line="600" w:lineRule="exact"/>
        <w:ind w:firstLine="640"/>
        <w:outlineLvl w:val="2"/>
        <w:rPr>
          <w:rFonts w:ascii="仿宋" w:eastAsia="仿宋" w:hAnsi="仿宋"/>
          <w:b/>
          <w:sz w:val="32"/>
          <w:szCs w:val="32"/>
        </w:rPr>
      </w:pPr>
      <w:bookmarkStart w:id="46" w:name="_Toc15377217"/>
      <w:r>
        <w:rPr>
          <w:rFonts w:ascii="仿宋" w:eastAsia="仿宋" w:hAnsi="仿宋" w:hint="eastAsia"/>
          <w:b/>
          <w:sz w:val="32"/>
          <w:szCs w:val="32"/>
        </w:rPr>
        <w:t>（二）“三公”经费财政拨款支出决算具体情况说明</w:t>
      </w:r>
      <w:bookmarkEnd w:id="46"/>
    </w:p>
    <w:p w:rsidR="00457321" w:rsidRDefault="006572CB">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21年“三公”经费财政拨款支出决算中，因公出国（境）费支出决算</w:t>
      </w:r>
      <w:r w:rsidR="007C14C0">
        <w:rPr>
          <w:rFonts w:ascii="仿宋" w:eastAsia="仿宋" w:hAnsi="仿宋" w:hint="eastAsia"/>
          <w:sz w:val="32"/>
          <w:szCs w:val="32"/>
        </w:rPr>
        <w:t>0</w:t>
      </w:r>
      <w:r>
        <w:rPr>
          <w:rFonts w:ascii="仿宋" w:eastAsia="仿宋" w:hAnsi="仿宋" w:hint="eastAsia"/>
          <w:sz w:val="32"/>
          <w:szCs w:val="32"/>
        </w:rPr>
        <w:t>万元，占</w:t>
      </w:r>
      <w:r w:rsidR="007C14C0">
        <w:rPr>
          <w:rFonts w:ascii="仿宋" w:eastAsia="仿宋" w:hAnsi="仿宋" w:hint="eastAsia"/>
          <w:sz w:val="32"/>
          <w:szCs w:val="32"/>
        </w:rPr>
        <w:t>0</w:t>
      </w:r>
      <w:r>
        <w:rPr>
          <w:rFonts w:ascii="仿宋" w:eastAsia="仿宋" w:hAnsi="仿宋"/>
          <w:sz w:val="32"/>
          <w:szCs w:val="32"/>
        </w:rPr>
        <w:t>%</w:t>
      </w:r>
      <w:r>
        <w:rPr>
          <w:rFonts w:ascii="仿宋" w:eastAsia="仿宋" w:hAnsi="仿宋" w:hint="eastAsia"/>
          <w:sz w:val="32"/>
          <w:szCs w:val="32"/>
        </w:rPr>
        <w:t>；公务用车购置及运行维护费支出决算</w:t>
      </w:r>
      <w:r w:rsidR="007C14C0">
        <w:rPr>
          <w:rFonts w:ascii="仿宋" w:eastAsia="仿宋" w:hAnsi="仿宋" w:hint="eastAsia"/>
          <w:sz w:val="32"/>
          <w:szCs w:val="32"/>
        </w:rPr>
        <w:t>2.70</w:t>
      </w:r>
      <w:r>
        <w:rPr>
          <w:rFonts w:ascii="仿宋" w:eastAsia="仿宋" w:hAnsi="仿宋" w:hint="eastAsia"/>
          <w:sz w:val="32"/>
          <w:szCs w:val="32"/>
        </w:rPr>
        <w:t>万元，占</w:t>
      </w:r>
      <w:r w:rsidR="00BC025C">
        <w:rPr>
          <w:rFonts w:ascii="仿宋" w:eastAsia="仿宋" w:hAnsi="仿宋" w:hint="eastAsia"/>
          <w:sz w:val="32"/>
          <w:szCs w:val="32"/>
        </w:rPr>
        <w:t>71.81</w:t>
      </w:r>
      <w:r>
        <w:rPr>
          <w:rFonts w:ascii="仿宋" w:eastAsia="仿宋" w:hAnsi="仿宋"/>
          <w:sz w:val="32"/>
          <w:szCs w:val="32"/>
        </w:rPr>
        <w:t>%</w:t>
      </w:r>
      <w:r>
        <w:rPr>
          <w:rFonts w:ascii="仿宋" w:eastAsia="仿宋" w:hAnsi="仿宋" w:hint="eastAsia"/>
          <w:sz w:val="32"/>
          <w:szCs w:val="32"/>
        </w:rPr>
        <w:t>；公务接待费支出决算</w:t>
      </w:r>
      <w:r w:rsidR="007C14C0">
        <w:rPr>
          <w:rFonts w:ascii="仿宋" w:eastAsia="仿宋" w:hAnsi="仿宋" w:hint="eastAsia"/>
          <w:sz w:val="32"/>
          <w:szCs w:val="32"/>
        </w:rPr>
        <w:t>1.06</w:t>
      </w:r>
      <w:r>
        <w:rPr>
          <w:rFonts w:ascii="仿宋" w:eastAsia="仿宋" w:hAnsi="仿宋" w:hint="eastAsia"/>
          <w:sz w:val="32"/>
          <w:szCs w:val="32"/>
        </w:rPr>
        <w:t>万元，占</w:t>
      </w:r>
      <w:r w:rsidR="00BC025C">
        <w:rPr>
          <w:rFonts w:ascii="仿宋" w:eastAsia="仿宋" w:hAnsi="仿宋" w:hint="eastAsia"/>
          <w:sz w:val="32"/>
          <w:szCs w:val="32"/>
        </w:rPr>
        <w:t>28.19</w:t>
      </w:r>
      <w:r>
        <w:rPr>
          <w:rFonts w:ascii="仿宋" w:eastAsia="仿宋" w:hAnsi="仿宋"/>
          <w:sz w:val="32"/>
          <w:szCs w:val="32"/>
        </w:rPr>
        <w:t>%</w:t>
      </w:r>
      <w:r>
        <w:rPr>
          <w:rFonts w:ascii="仿宋" w:eastAsia="仿宋" w:hAnsi="仿宋" w:hint="eastAsia"/>
          <w:sz w:val="32"/>
          <w:szCs w:val="32"/>
        </w:rPr>
        <w:t>。具体情况如下：</w:t>
      </w:r>
    </w:p>
    <w:p w:rsidR="00BC025C" w:rsidRDefault="00BC025C">
      <w:pPr>
        <w:spacing w:line="600" w:lineRule="exact"/>
        <w:ind w:firstLine="640"/>
        <w:rPr>
          <w:rFonts w:ascii="仿宋" w:eastAsia="仿宋" w:hAnsi="仿宋"/>
          <w:sz w:val="32"/>
          <w:szCs w:val="32"/>
        </w:rPr>
      </w:pPr>
    </w:p>
    <w:p w:rsidR="00BC16E5" w:rsidRDefault="00BC16E5" w:rsidP="00BC16E5">
      <w:pPr>
        <w:pStyle w:val="a0"/>
        <w:spacing w:before="93"/>
      </w:pPr>
      <w:r>
        <w:rPr>
          <w:rFonts w:hint="eastAsia"/>
          <w:noProof/>
        </w:rPr>
        <w:lastRenderedPageBreak/>
        <w:drawing>
          <wp:inline distT="0" distB="0" distL="0" distR="0">
            <wp:extent cx="5274310" cy="3076575"/>
            <wp:effectExtent l="0" t="0" r="21590"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57321" w:rsidRDefault="006572CB">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w:t>
      </w:r>
    </w:p>
    <w:p w:rsidR="00BC025C" w:rsidRDefault="00BC025C">
      <w:pPr>
        <w:spacing w:line="600" w:lineRule="exact"/>
        <w:ind w:firstLine="640"/>
        <w:rPr>
          <w:rFonts w:ascii="仿宋_GB2312" w:eastAsia="仿宋_GB2312"/>
          <w:b/>
          <w:sz w:val="32"/>
          <w:szCs w:val="32"/>
        </w:rPr>
      </w:pPr>
    </w:p>
    <w:p w:rsidR="00457321" w:rsidRDefault="006572CB">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sidR="007C14C0">
        <w:rPr>
          <w:rFonts w:ascii="仿宋_GB2312" w:eastAsia="仿宋_GB2312" w:hint="eastAsia"/>
          <w:sz w:val="32"/>
          <w:szCs w:val="32"/>
        </w:rPr>
        <w:t>0</w:t>
      </w:r>
      <w:r>
        <w:rPr>
          <w:rFonts w:ascii="仿宋_GB2312" w:eastAsia="仿宋_GB2312" w:hint="eastAsia"/>
          <w:sz w:val="32"/>
          <w:szCs w:val="32"/>
        </w:rPr>
        <w:t>万元，</w:t>
      </w:r>
      <w:r>
        <w:rPr>
          <w:rStyle w:val="a7"/>
          <w:rFonts w:ascii="仿宋" w:eastAsia="仿宋" w:hAnsi="仿宋" w:hint="eastAsia"/>
          <w:b w:val="0"/>
          <w:bCs/>
          <w:sz w:val="32"/>
          <w:szCs w:val="32"/>
        </w:rPr>
        <w:t>完成预算</w:t>
      </w:r>
      <w:r w:rsidR="007C14C0">
        <w:rPr>
          <w:rStyle w:val="a7"/>
          <w:rFonts w:ascii="仿宋" w:eastAsia="仿宋" w:hAnsi="仿宋" w:hint="eastAsia"/>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w:t>
      </w:r>
    </w:p>
    <w:p w:rsidR="00457321" w:rsidRDefault="006572CB">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sidR="007C14C0">
        <w:rPr>
          <w:rFonts w:ascii="仿宋_GB2312" w:eastAsia="仿宋_GB2312" w:hint="eastAsia"/>
          <w:sz w:val="32"/>
          <w:szCs w:val="32"/>
        </w:rPr>
        <w:t>2.70</w:t>
      </w:r>
      <w:r>
        <w:rPr>
          <w:rFonts w:ascii="仿宋_GB2312" w:eastAsia="仿宋_GB2312" w:hint="eastAsia"/>
          <w:sz w:val="32"/>
          <w:szCs w:val="32"/>
        </w:rPr>
        <w:t>万元,</w:t>
      </w:r>
      <w:r>
        <w:rPr>
          <w:rStyle w:val="a7"/>
          <w:rFonts w:ascii="仿宋" w:eastAsia="仿宋" w:hAnsi="仿宋" w:hint="eastAsia"/>
          <w:b w:val="0"/>
          <w:bCs/>
          <w:sz w:val="32"/>
          <w:szCs w:val="32"/>
        </w:rPr>
        <w:t>完成预算</w:t>
      </w:r>
      <w:r w:rsidR="007C14C0">
        <w:rPr>
          <w:rStyle w:val="a7"/>
          <w:rFonts w:ascii="仿宋" w:eastAsia="仿宋" w:hAnsi="仿宋" w:hint="eastAsia"/>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20年增加</w:t>
      </w:r>
      <w:r w:rsidR="00BC025C">
        <w:rPr>
          <w:rFonts w:ascii="仿宋_GB2312" w:eastAsia="仿宋_GB2312" w:hint="eastAsia"/>
          <w:sz w:val="32"/>
          <w:szCs w:val="32"/>
        </w:rPr>
        <w:t>0.93</w:t>
      </w:r>
      <w:r>
        <w:rPr>
          <w:rFonts w:ascii="仿宋_GB2312" w:eastAsia="仿宋_GB2312" w:hint="eastAsia"/>
          <w:sz w:val="32"/>
          <w:szCs w:val="32"/>
        </w:rPr>
        <w:t>万元，增长</w:t>
      </w:r>
      <w:r w:rsidR="00BC025C">
        <w:rPr>
          <w:rFonts w:ascii="仿宋_GB2312" w:eastAsia="仿宋_GB2312" w:hint="eastAsia"/>
          <w:sz w:val="32"/>
          <w:szCs w:val="32"/>
        </w:rPr>
        <w:t>34.44</w:t>
      </w:r>
      <w:r>
        <w:rPr>
          <w:rFonts w:ascii="仿宋_GB2312" w:eastAsia="仿宋_GB2312"/>
          <w:sz w:val="32"/>
          <w:szCs w:val="32"/>
        </w:rPr>
        <w:t>%</w:t>
      </w:r>
      <w:r>
        <w:rPr>
          <w:rFonts w:ascii="仿宋_GB2312" w:eastAsia="仿宋_GB2312" w:hint="eastAsia"/>
          <w:sz w:val="32"/>
          <w:szCs w:val="32"/>
        </w:rPr>
        <w:t>。主要原因是</w:t>
      </w:r>
      <w:r w:rsidR="009311C6">
        <w:rPr>
          <w:rFonts w:ascii="仿宋_GB2312" w:eastAsia="仿宋_GB2312" w:hint="eastAsia"/>
          <w:sz w:val="32"/>
          <w:szCs w:val="32"/>
        </w:rPr>
        <w:t>当年需下乡的业务量增加，车辆保养维修量增加</w:t>
      </w:r>
      <w:r>
        <w:rPr>
          <w:rFonts w:ascii="仿宋_GB2312" w:eastAsia="仿宋_GB2312" w:hint="eastAsia"/>
          <w:sz w:val="32"/>
          <w:szCs w:val="32"/>
        </w:rPr>
        <w:t>。</w:t>
      </w:r>
    </w:p>
    <w:p w:rsidR="00457321" w:rsidRDefault="006572CB">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sidR="007C14C0">
        <w:rPr>
          <w:rFonts w:ascii="仿宋_GB2312" w:eastAsia="仿宋_GB2312" w:hint="eastAsia"/>
          <w:sz w:val="32"/>
          <w:szCs w:val="32"/>
        </w:rPr>
        <w:t>0</w:t>
      </w:r>
      <w:r>
        <w:rPr>
          <w:rFonts w:ascii="仿宋_GB2312" w:eastAsia="仿宋_GB2312" w:hint="eastAsia"/>
          <w:sz w:val="32"/>
          <w:szCs w:val="32"/>
        </w:rPr>
        <w:t>万元。截至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月底，单位共有公务用车</w:t>
      </w:r>
      <w:r w:rsidR="007C14C0">
        <w:rPr>
          <w:rFonts w:ascii="仿宋_GB2312" w:eastAsia="仿宋_GB2312" w:hint="eastAsia"/>
          <w:sz w:val="32"/>
          <w:szCs w:val="32"/>
        </w:rPr>
        <w:t>2</w:t>
      </w:r>
      <w:r>
        <w:rPr>
          <w:rFonts w:ascii="仿宋_GB2312" w:eastAsia="仿宋_GB2312" w:hint="eastAsia"/>
          <w:sz w:val="32"/>
          <w:szCs w:val="32"/>
        </w:rPr>
        <w:t>辆，</w:t>
      </w:r>
      <w:r w:rsidR="007C14C0">
        <w:rPr>
          <w:rFonts w:ascii="仿宋_GB2312" w:eastAsia="仿宋_GB2312" w:hint="eastAsia"/>
          <w:sz w:val="32"/>
          <w:szCs w:val="32"/>
        </w:rPr>
        <w:t>均为</w:t>
      </w:r>
      <w:r>
        <w:rPr>
          <w:rFonts w:ascii="仿宋_GB2312" w:eastAsia="仿宋_GB2312" w:hint="eastAsia"/>
          <w:sz w:val="32"/>
          <w:szCs w:val="32"/>
        </w:rPr>
        <w:t>越野车。</w:t>
      </w:r>
    </w:p>
    <w:p w:rsidR="00457321" w:rsidRDefault="006572CB">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sidR="007C14C0">
        <w:rPr>
          <w:rFonts w:ascii="仿宋_GB2312" w:eastAsia="仿宋_GB2312" w:hint="eastAsia"/>
          <w:sz w:val="32"/>
          <w:szCs w:val="32"/>
        </w:rPr>
        <w:t>2.70</w:t>
      </w:r>
      <w:r>
        <w:rPr>
          <w:rFonts w:ascii="仿宋_GB2312" w:eastAsia="仿宋_GB2312" w:hint="eastAsia"/>
          <w:sz w:val="32"/>
          <w:szCs w:val="32"/>
        </w:rPr>
        <w:t>万元。主要用于</w:t>
      </w:r>
      <w:r w:rsidR="007C14C0">
        <w:rPr>
          <w:rFonts w:ascii="仿宋_GB2312" w:eastAsia="仿宋_GB2312" w:hint="eastAsia"/>
          <w:sz w:val="32"/>
          <w:szCs w:val="32"/>
        </w:rPr>
        <w:t>地质灾害应急反应、项目工程督查、耕地保护、自然资源违法巡查处置</w:t>
      </w:r>
      <w:r>
        <w:rPr>
          <w:rFonts w:ascii="仿宋_GB2312" w:eastAsia="仿宋_GB2312" w:hint="eastAsia"/>
          <w:sz w:val="32"/>
          <w:szCs w:val="32"/>
        </w:rPr>
        <w:t>等所需的公务用车燃料费、维修费、过路过桥费、保险费等支出。</w:t>
      </w:r>
    </w:p>
    <w:p w:rsidR="00457321" w:rsidRDefault="006572CB">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sidR="007C14C0">
        <w:rPr>
          <w:rFonts w:ascii="仿宋_GB2312" w:eastAsia="仿宋_GB2312" w:hint="eastAsia"/>
          <w:sz w:val="32"/>
          <w:szCs w:val="32"/>
        </w:rPr>
        <w:t>1.06</w:t>
      </w:r>
      <w:r>
        <w:rPr>
          <w:rFonts w:ascii="仿宋_GB2312" w:eastAsia="仿宋_GB2312" w:hint="eastAsia"/>
          <w:sz w:val="32"/>
          <w:szCs w:val="32"/>
        </w:rPr>
        <w:t>万元，</w:t>
      </w:r>
      <w:r>
        <w:rPr>
          <w:rStyle w:val="a7"/>
          <w:rFonts w:ascii="仿宋" w:eastAsia="仿宋" w:hAnsi="仿宋" w:hint="eastAsia"/>
          <w:b w:val="0"/>
          <w:bCs/>
          <w:sz w:val="32"/>
          <w:szCs w:val="32"/>
        </w:rPr>
        <w:t>完成预算</w:t>
      </w:r>
      <w:r w:rsidR="007C14C0">
        <w:rPr>
          <w:rStyle w:val="a7"/>
          <w:rFonts w:ascii="仿宋" w:eastAsia="仿宋" w:hAnsi="仿宋" w:hint="eastAsia"/>
          <w:b w:val="0"/>
          <w:bCs/>
          <w:sz w:val="32"/>
          <w:szCs w:val="32"/>
        </w:rPr>
        <w:t>100</w:t>
      </w:r>
      <w:r>
        <w:rPr>
          <w:rStyle w:val="a7"/>
          <w:rFonts w:ascii="仿宋" w:eastAsia="仿宋" w:hAnsi="仿宋"/>
          <w:b w:val="0"/>
          <w:bCs/>
          <w:sz w:val="32"/>
          <w:szCs w:val="32"/>
        </w:rPr>
        <w:t>%</w:t>
      </w:r>
      <w:r>
        <w:rPr>
          <w:rStyle w:val="a7"/>
          <w:rFonts w:ascii="仿宋" w:eastAsia="仿宋" w:hAnsi="仿宋" w:hint="eastAsia"/>
          <w:b w:val="0"/>
          <w:bCs/>
          <w:sz w:val="32"/>
          <w:szCs w:val="32"/>
        </w:rPr>
        <w:t>。</w:t>
      </w:r>
      <w:r>
        <w:rPr>
          <w:rFonts w:ascii="仿宋_GB2312" w:eastAsia="仿宋_GB2312" w:hint="eastAsia"/>
          <w:sz w:val="32"/>
          <w:szCs w:val="32"/>
        </w:rPr>
        <w:t>公务接</w:t>
      </w:r>
      <w:r>
        <w:rPr>
          <w:rFonts w:ascii="仿宋_GB2312" w:eastAsia="仿宋_GB2312" w:hint="eastAsia"/>
          <w:sz w:val="32"/>
          <w:szCs w:val="32"/>
        </w:rPr>
        <w:lastRenderedPageBreak/>
        <w:t>待费支出决算比</w:t>
      </w:r>
      <w:r>
        <w:rPr>
          <w:rFonts w:ascii="仿宋_GB2312" w:eastAsia="仿宋_GB2312"/>
          <w:sz w:val="32"/>
          <w:szCs w:val="32"/>
        </w:rPr>
        <w:t>20</w:t>
      </w:r>
      <w:r>
        <w:rPr>
          <w:rFonts w:ascii="仿宋_GB2312" w:eastAsia="仿宋_GB2312" w:hint="eastAsia"/>
          <w:sz w:val="32"/>
          <w:szCs w:val="32"/>
        </w:rPr>
        <w:t>20年减少</w:t>
      </w:r>
      <w:r w:rsidR="009311C6">
        <w:rPr>
          <w:rFonts w:ascii="仿宋_GB2312" w:eastAsia="仿宋_GB2312" w:hint="eastAsia"/>
          <w:sz w:val="32"/>
          <w:szCs w:val="32"/>
        </w:rPr>
        <w:t>0.49</w:t>
      </w:r>
      <w:r>
        <w:rPr>
          <w:rFonts w:ascii="仿宋_GB2312" w:eastAsia="仿宋_GB2312" w:hint="eastAsia"/>
          <w:sz w:val="32"/>
          <w:szCs w:val="32"/>
        </w:rPr>
        <w:t>万元，下降</w:t>
      </w:r>
      <w:r w:rsidR="009311C6">
        <w:rPr>
          <w:rFonts w:ascii="仿宋_GB2312" w:eastAsia="仿宋_GB2312" w:hint="eastAsia"/>
          <w:sz w:val="32"/>
          <w:szCs w:val="32"/>
        </w:rPr>
        <w:t>46.23</w:t>
      </w:r>
      <w:r>
        <w:rPr>
          <w:rFonts w:ascii="仿宋_GB2312" w:eastAsia="仿宋_GB2312"/>
          <w:sz w:val="32"/>
          <w:szCs w:val="32"/>
        </w:rPr>
        <w:t>%</w:t>
      </w:r>
      <w:r>
        <w:rPr>
          <w:rFonts w:ascii="仿宋_GB2312" w:eastAsia="仿宋_GB2312" w:hint="eastAsia"/>
          <w:sz w:val="32"/>
          <w:szCs w:val="32"/>
        </w:rPr>
        <w:t>。主要原因是</w:t>
      </w:r>
      <w:r w:rsidR="00FE12FC">
        <w:rPr>
          <w:rFonts w:ascii="仿宋_GB2312" w:eastAsia="仿宋_GB2312" w:hint="eastAsia"/>
          <w:sz w:val="32"/>
          <w:szCs w:val="32"/>
        </w:rPr>
        <w:t>严格执行公务接待制度，合理调整公务接待安排，整合并联事项</w:t>
      </w:r>
      <w:r>
        <w:rPr>
          <w:rFonts w:ascii="仿宋_GB2312" w:eastAsia="仿宋_GB2312" w:hint="eastAsia"/>
          <w:sz w:val="32"/>
          <w:szCs w:val="32"/>
        </w:rPr>
        <w:t>。其中：</w:t>
      </w:r>
    </w:p>
    <w:p w:rsidR="00457321" w:rsidRDefault="006572CB">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sidR="007C14C0" w:rsidRPr="00BC16E5">
        <w:rPr>
          <w:rFonts w:ascii="仿宋_GB2312" w:eastAsia="仿宋_GB2312" w:hAnsi="仿宋" w:hint="eastAsia"/>
          <w:sz w:val="32"/>
          <w:szCs w:val="32"/>
        </w:rPr>
        <w:t>1.06</w:t>
      </w:r>
      <w:r w:rsidRPr="00BC16E5">
        <w:rPr>
          <w:rFonts w:ascii="仿宋_GB2312" w:eastAsia="仿宋_GB2312" w:hint="eastAsia"/>
          <w:sz w:val="32"/>
          <w:szCs w:val="32"/>
        </w:rPr>
        <w:t>万元</w:t>
      </w:r>
      <w:r>
        <w:rPr>
          <w:rFonts w:ascii="仿宋_GB2312" w:eastAsia="仿宋_GB2312" w:hint="eastAsia"/>
          <w:sz w:val="32"/>
          <w:szCs w:val="32"/>
        </w:rPr>
        <w:t>，主要用于</w:t>
      </w:r>
      <w:r w:rsidR="007C14C0">
        <w:rPr>
          <w:rFonts w:ascii="仿宋_GB2312" w:eastAsia="仿宋_GB2312" w:hint="eastAsia"/>
          <w:sz w:val="32"/>
          <w:szCs w:val="32"/>
        </w:rPr>
        <w:t>自然资源综合管理、保护，地质灾害综合防治等</w:t>
      </w:r>
      <w:r>
        <w:rPr>
          <w:rFonts w:ascii="仿宋_GB2312" w:eastAsia="仿宋_GB2312" w:hint="eastAsia"/>
          <w:sz w:val="32"/>
          <w:szCs w:val="32"/>
        </w:rPr>
        <w:t>执行公务、开展业务活动开支的住宿费、用餐费等。国内公务接待</w:t>
      </w:r>
      <w:r w:rsidR="007C14C0">
        <w:rPr>
          <w:rFonts w:ascii="仿宋_GB2312" w:eastAsia="仿宋_GB2312" w:hint="eastAsia"/>
          <w:sz w:val="32"/>
          <w:szCs w:val="32"/>
        </w:rPr>
        <w:t>17</w:t>
      </w:r>
      <w:r>
        <w:rPr>
          <w:rFonts w:ascii="仿宋_GB2312" w:eastAsia="仿宋_GB2312" w:hint="eastAsia"/>
          <w:sz w:val="32"/>
          <w:szCs w:val="32"/>
        </w:rPr>
        <w:t>批次，</w:t>
      </w:r>
      <w:r w:rsidR="007C14C0">
        <w:rPr>
          <w:rFonts w:ascii="仿宋_GB2312" w:eastAsia="仿宋_GB2312" w:hint="eastAsia"/>
          <w:sz w:val="32"/>
          <w:szCs w:val="32"/>
        </w:rPr>
        <w:t>135</w:t>
      </w:r>
      <w:r>
        <w:rPr>
          <w:rFonts w:ascii="仿宋_GB2312" w:eastAsia="仿宋_GB2312" w:hint="eastAsia"/>
          <w:sz w:val="32"/>
          <w:szCs w:val="32"/>
        </w:rPr>
        <w:t>人次。</w:t>
      </w:r>
    </w:p>
    <w:p w:rsidR="00457321" w:rsidRDefault="006572CB">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sidR="007C14C0" w:rsidRPr="00BC16E5">
        <w:rPr>
          <w:rFonts w:ascii="仿宋_GB2312" w:eastAsia="仿宋_GB2312" w:hAnsi="仿宋" w:hint="eastAsia"/>
          <w:sz w:val="32"/>
          <w:szCs w:val="32"/>
        </w:rPr>
        <w:t>0</w:t>
      </w:r>
      <w:r w:rsidRPr="00BC16E5">
        <w:rPr>
          <w:rFonts w:ascii="仿宋_GB2312" w:eastAsia="仿宋_GB2312" w:hint="eastAsia"/>
          <w:sz w:val="32"/>
          <w:szCs w:val="32"/>
        </w:rPr>
        <w:t>万元</w:t>
      </w:r>
      <w:r>
        <w:rPr>
          <w:rFonts w:ascii="仿宋_GB2312" w:eastAsia="仿宋_GB2312" w:hint="eastAsia"/>
          <w:sz w:val="32"/>
          <w:szCs w:val="32"/>
        </w:rPr>
        <w:t>，外事接待</w:t>
      </w:r>
      <w:r w:rsidR="007C14C0">
        <w:rPr>
          <w:rFonts w:ascii="仿宋_GB2312" w:eastAsia="仿宋_GB2312" w:hint="eastAsia"/>
          <w:sz w:val="32"/>
          <w:szCs w:val="32"/>
        </w:rPr>
        <w:t>0</w:t>
      </w:r>
      <w:r>
        <w:rPr>
          <w:rFonts w:ascii="仿宋_GB2312" w:eastAsia="仿宋_GB2312" w:hint="eastAsia"/>
          <w:sz w:val="32"/>
          <w:szCs w:val="32"/>
        </w:rPr>
        <w:t>批次，</w:t>
      </w:r>
      <w:r w:rsidR="007C14C0">
        <w:rPr>
          <w:rFonts w:ascii="仿宋_GB2312" w:eastAsia="仿宋_GB2312" w:hint="eastAsia"/>
          <w:sz w:val="32"/>
          <w:szCs w:val="32"/>
        </w:rPr>
        <w:t>0</w:t>
      </w:r>
      <w:r>
        <w:rPr>
          <w:rFonts w:ascii="仿宋_GB2312" w:eastAsia="仿宋_GB2312" w:hint="eastAsia"/>
          <w:sz w:val="32"/>
          <w:szCs w:val="32"/>
        </w:rPr>
        <w:t>人</w:t>
      </w:r>
      <w:r w:rsidR="007C14C0">
        <w:rPr>
          <w:rFonts w:ascii="仿宋_GB2312" w:eastAsia="仿宋_GB2312" w:hint="eastAsia"/>
          <w:sz w:val="32"/>
          <w:szCs w:val="32"/>
        </w:rPr>
        <w:t>。</w:t>
      </w:r>
    </w:p>
    <w:p w:rsidR="00457321" w:rsidRDefault="006572CB">
      <w:pPr>
        <w:spacing w:line="600" w:lineRule="exact"/>
        <w:ind w:firstLine="640"/>
        <w:outlineLvl w:val="1"/>
        <w:rPr>
          <w:rStyle w:val="2Char"/>
          <w:rFonts w:ascii="黑体" w:eastAsia="黑体" w:hAnsi="黑体"/>
        </w:rPr>
      </w:pPr>
      <w:bookmarkStart w:id="47" w:name="_Toc15377218"/>
      <w:bookmarkStart w:id="48" w:name="_Toc15396610"/>
      <w:r>
        <w:rPr>
          <w:rFonts w:ascii="黑体" w:eastAsia="黑体" w:hint="eastAsia"/>
          <w:sz w:val="32"/>
          <w:szCs w:val="32"/>
        </w:rPr>
        <w:t>八、</w:t>
      </w:r>
      <w:r>
        <w:rPr>
          <w:rStyle w:val="2Char"/>
          <w:rFonts w:ascii="黑体" w:eastAsia="黑体" w:hAnsi="黑体" w:hint="eastAsia"/>
          <w:b w:val="0"/>
        </w:rPr>
        <w:t>政府性基金预算支出决算情况说明</w:t>
      </w:r>
      <w:bookmarkEnd w:id="47"/>
      <w:bookmarkEnd w:id="48"/>
    </w:p>
    <w:p w:rsidR="00457321" w:rsidRDefault="006572CB">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21年政府性基金预算财政拨款支出</w:t>
      </w:r>
      <w:r w:rsidR="007C14C0">
        <w:rPr>
          <w:rFonts w:ascii="仿宋_GB2312" w:eastAsia="仿宋_GB2312" w:hint="eastAsia"/>
          <w:sz w:val="32"/>
          <w:szCs w:val="32"/>
        </w:rPr>
        <w:t>1886.20</w:t>
      </w:r>
      <w:r>
        <w:rPr>
          <w:rFonts w:ascii="仿宋_GB2312" w:eastAsia="仿宋_GB2312" w:hint="eastAsia"/>
          <w:sz w:val="32"/>
          <w:szCs w:val="32"/>
        </w:rPr>
        <w:t>万元。</w:t>
      </w:r>
    </w:p>
    <w:p w:rsidR="00457321" w:rsidRDefault="006572CB">
      <w:pPr>
        <w:numPr>
          <w:ilvl w:val="0"/>
          <w:numId w:val="3"/>
        </w:numPr>
        <w:spacing w:line="600" w:lineRule="exact"/>
        <w:ind w:firstLine="640"/>
        <w:outlineLvl w:val="1"/>
        <w:rPr>
          <w:rStyle w:val="2Char"/>
          <w:rFonts w:ascii="黑体" w:eastAsia="黑体" w:hAnsi="黑体"/>
          <w:b w:val="0"/>
        </w:rPr>
      </w:pPr>
      <w:bookmarkStart w:id="49" w:name="_Toc15377219"/>
      <w:bookmarkStart w:id="50" w:name="_Toc15396611"/>
      <w:r>
        <w:rPr>
          <w:rStyle w:val="2Char"/>
          <w:rFonts w:ascii="黑体" w:eastAsia="黑体" w:hAnsi="黑体" w:hint="eastAsia"/>
          <w:b w:val="0"/>
        </w:rPr>
        <w:t>国有资本经营预算支出决算情况说明</w:t>
      </w:r>
      <w:bookmarkEnd w:id="49"/>
      <w:bookmarkEnd w:id="50"/>
    </w:p>
    <w:p w:rsidR="00457321" w:rsidRPr="007C14C0" w:rsidRDefault="006572CB" w:rsidP="007C14C0">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21年国有资本经营预算财政拨款支出</w:t>
      </w:r>
      <w:r w:rsidR="007C14C0">
        <w:rPr>
          <w:rFonts w:ascii="仿宋_GB2312" w:eastAsia="仿宋_GB2312" w:hint="eastAsia"/>
          <w:sz w:val="32"/>
          <w:szCs w:val="32"/>
        </w:rPr>
        <w:t>0</w:t>
      </w:r>
      <w:r>
        <w:rPr>
          <w:rFonts w:ascii="仿宋_GB2312" w:eastAsia="仿宋_GB2312" w:hint="eastAsia"/>
          <w:sz w:val="32"/>
          <w:szCs w:val="32"/>
        </w:rPr>
        <w:t>万元。</w:t>
      </w:r>
    </w:p>
    <w:p w:rsidR="00457321" w:rsidRDefault="006572CB">
      <w:pPr>
        <w:numPr>
          <w:ilvl w:val="0"/>
          <w:numId w:val="3"/>
        </w:numPr>
        <w:spacing w:line="600" w:lineRule="exact"/>
        <w:ind w:firstLine="640"/>
        <w:outlineLvl w:val="1"/>
        <w:rPr>
          <w:rStyle w:val="2Char"/>
          <w:rFonts w:ascii="黑体" w:eastAsia="黑体" w:hAnsi="黑体"/>
          <w:b w:val="0"/>
        </w:rPr>
      </w:pPr>
      <w:bookmarkStart w:id="51" w:name="_Toc15377221"/>
      <w:bookmarkStart w:id="52" w:name="_Toc15396612"/>
      <w:r>
        <w:rPr>
          <w:rStyle w:val="2Char"/>
          <w:rFonts w:ascii="黑体" w:eastAsia="黑体" w:hAnsi="黑体" w:hint="eastAsia"/>
          <w:b w:val="0"/>
        </w:rPr>
        <w:t>其他重要事项的情况说明</w:t>
      </w:r>
      <w:bookmarkEnd w:id="51"/>
      <w:bookmarkEnd w:id="52"/>
    </w:p>
    <w:p w:rsidR="00457321" w:rsidRDefault="006572CB">
      <w:pPr>
        <w:spacing w:line="600" w:lineRule="exact"/>
        <w:ind w:firstLineChars="200" w:firstLine="643"/>
        <w:outlineLvl w:val="2"/>
        <w:rPr>
          <w:rFonts w:ascii="仿宋" w:eastAsia="仿宋" w:hAnsi="仿宋"/>
          <w:sz w:val="32"/>
          <w:szCs w:val="32"/>
        </w:rPr>
      </w:pPr>
      <w:bookmarkStart w:id="53" w:name="_Toc15377222"/>
      <w:r>
        <w:rPr>
          <w:rFonts w:ascii="仿宋" w:eastAsia="仿宋" w:hAnsi="仿宋" w:hint="eastAsia"/>
          <w:b/>
          <w:sz w:val="32"/>
          <w:szCs w:val="32"/>
        </w:rPr>
        <w:t>（一）机关运行经费支出情况</w:t>
      </w:r>
      <w:bookmarkEnd w:id="53"/>
    </w:p>
    <w:p w:rsidR="00457321" w:rsidRDefault="006572CB">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w:t>
      </w:r>
      <w:r w:rsidR="007C14C0">
        <w:rPr>
          <w:rFonts w:ascii="仿宋_GB2312" w:eastAsia="仿宋_GB2312" w:hint="eastAsia"/>
          <w:sz w:val="32"/>
          <w:szCs w:val="32"/>
        </w:rPr>
        <w:t>盐边县自然资源和规划局</w:t>
      </w:r>
      <w:r>
        <w:rPr>
          <w:rFonts w:ascii="仿宋_GB2312" w:eastAsia="仿宋_GB2312" w:hint="eastAsia"/>
          <w:sz w:val="32"/>
          <w:szCs w:val="32"/>
        </w:rPr>
        <w:t>机关运行经费支出</w:t>
      </w:r>
      <w:r w:rsidR="007C14C0">
        <w:rPr>
          <w:rFonts w:ascii="仿宋_GB2312" w:eastAsia="仿宋_GB2312" w:hint="eastAsia"/>
          <w:sz w:val="32"/>
          <w:szCs w:val="32"/>
        </w:rPr>
        <w:t>78.65</w:t>
      </w:r>
      <w:r>
        <w:rPr>
          <w:rFonts w:ascii="仿宋_GB2312" w:eastAsia="仿宋_GB2312" w:hint="eastAsia"/>
          <w:sz w:val="32"/>
          <w:szCs w:val="32"/>
        </w:rPr>
        <w:t>万元，比</w:t>
      </w:r>
      <w:r>
        <w:rPr>
          <w:rFonts w:ascii="仿宋_GB2312" w:eastAsia="仿宋_GB2312"/>
          <w:sz w:val="32"/>
          <w:szCs w:val="32"/>
        </w:rPr>
        <w:t>20</w:t>
      </w:r>
      <w:r>
        <w:rPr>
          <w:rFonts w:ascii="仿宋_GB2312" w:eastAsia="仿宋_GB2312" w:hint="eastAsia"/>
          <w:sz w:val="32"/>
          <w:szCs w:val="32"/>
        </w:rPr>
        <w:t>20年减少</w:t>
      </w:r>
      <w:r w:rsidR="00B61CAE">
        <w:rPr>
          <w:rFonts w:ascii="仿宋_GB2312" w:eastAsia="仿宋_GB2312" w:hint="eastAsia"/>
          <w:sz w:val="32"/>
          <w:szCs w:val="32"/>
        </w:rPr>
        <w:t>69.13</w:t>
      </w:r>
      <w:r>
        <w:rPr>
          <w:rFonts w:ascii="仿宋_GB2312" w:eastAsia="仿宋_GB2312" w:hint="eastAsia"/>
          <w:sz w:val="32"/>
          <w:szCs w:val="32"/>
        </w:rPr>
        <w:t>万元，下降</w:t>
      </w:r>
      <w:r w:rsidR="00B61CAE">
        <w:rPr>
          <w:rFonts w:ascii="仿宋_GB2312" w:eastAsia="仿宋_GB2312" w:hint="eastAsia"/>
          <w:sz w:val="32"/>
          <w:szCs w:val="32"/>
        </w:rPr>
        <w:t>87.89</w:t>
      </w:r>
      <w:r>
        <w:rPr>
          <w:rFonts w:ascii="仿宋_GB2312" w:eastAsia="仿宋_GB2312"/>
          <w:sz w:val="32"/>
          <w:szCs w:val="32"/>
        </w:rPr>
        <w:t>%</w:t>
      </w:r>
      <w:r>
        <w:rPr>
          <w:rFonts w:ascii="仿宋_GB2312" w:eastAsia="仿宋_GB2312" w:hint="eastAsia"/>
          <w:sz w:val="32"/>
          <w:szCs w:val="32"/>
        </w:rPr>
        <w:t>。主要原因是</w:t>
      </w:r>
      <w:r w:rsidR="00B61CAE" w:rsidRPr="00B61CAE">
        <w:rPr>
          <w:rFonts w:ascii="仿宋_GB2312" w:eastAsia="仿宋_GB2312" w:hint="eastAsia"/>
          <w:sz w:val="32"/>
          <w:szCs w:val="32"/>
        </w:rPr>
        <w:t>根据县编制委员会关于机构设置调整的通知，我局与县林业局进行了职能职责分离，对林业部分财政资金业务进行了调整。</w:t>
      </w:r>
    </w:p>
    <w:p w:rsidR="00457321" w:rsidRDefault="006572CB">
      <w:pPr>
        <w:autoSpaceDE w:val="0"/>
        <w:autoSpaceDN w:val="0"/>
        <w:adjustRightInd w:val="0"/>
        <w:spacing w:line="600" w:lineRule="exact"/>
        <w:ind w:firstLineChars="200" w:firstLine="643"/>
        <w:jc w:val="left"/>
        <w:outlineLvl w:val="2"/>
        <w:rPr>
          <w:rFonts w:ascii="仿宋" w:eastAsia="仿宋" w:hAnsi="仿宋"/>
          <w:b/>
          <w:sz w:val="32"/>
          <w:szCs w:val="32"/>
        </w:rPr>
      </w:pPr>
      <w:bookmarkStart w:id="54" w:name="_Toc15377223"/>
      <w:r>
        <w:rPr>
          <w:rFonts w:ascii="仿宋" w:eastAsia="仿宋" w:hAnsi="仿宋" w:hint="eastAsia"/>
          <w:b/>
          <w:sz w:val="32"/>
          <w:szCs w:val="32"/>
        </w:rPr>
        <w:t>（二）政府采购支出情况</w:t>
      </w:r>
      <w:bookmarkEnd w:id="54"/>
    </w:p>
    <w:p w:rsidR="00457321" w:rsidRDefault="006572CB">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w:t>
      </w:r>
      <w:r w:rsidR="00E41A95">
        <w:rPr>
          <w:rFonts w:ascii="仿宋_GB2312" w:eastAsia="仿宋_GB2312" w:hint="eastAsia"/>
          <w:sz w:val="32"/>
          <w:szCs w:val="32"/>
        </w:rPr>
        <w:t>盐边县自然资源和规划局</w:t>
      </w:r>
      <w:r>
        <w:rPr>
          <w:rFonts w:ascii="仿宋_GB2312" w:eastAsia="仿宋_GB2312" w:hint="eastAsia"/>
          <w:sz w:val="32"/>
          <w:szCs w:val="32"/>
        </w:rPr>
        <w:t>政府采购支出总额</w:t>
      </w:r>
      <w:r w:rsidR="00B61CAE">
        <w:rPr>
          <w:rFonts w:ascii="仿宋_GB2312" w:eastAsia="仿宋_GB2312" w:hint="eastAsia"/>
          <w:sz w:val="32"/>
          <w:szCs w:val="32"/>
        </w:rPr>
        <w:t>0</w:t>
      </w:r>
      <w:r>
        <w:rPr>
          <w:rFonts w:ascii="仿宋_GB2312" w:eastAsia="仿宋_GB2312" w:hint="eastAsia"/>
          <w:sz w:val="32"/>
          <w:szCs w:val="32"/>
        </w:rPr>
        <w:t>万元。</w:t>
      </w:r>
    </w:p>
    <w:p w:rsidR="00457321" w:rsidRDefault="006572CB">
      <w:pPr>
        <w:autoSpaceDE w:val="0"/>
        <w:autoSpaceDN w:val="0"/>
        <w:adjustRightInd w:val="0"/>
        <w:spacing w:line="600" w:lineRule="exact"/>
        <w:ind w:firstLineChars="200" w:firstLine="643"/>
        <w:jc w:val="left"/>
        <w:outlineLvl w:val="2"/>
        <w:rPr>
          <w:rFonts w:ascii="仿宋" w:eastAsia="仿宋" w:hAnsi="仿宋"/>
          <w:b/>
          <w:sz w:val="32"/>
          <w:szCs w:val="32"/>
        </w:rPr>
      </w:pPr>
      <w:bookmarkStart w:id="55" w:name="_Toc15377224"/>
      <w:r>
        <w:rPr>
          <w:rFonts w:ascii="仿宋" w:eastAsia="仿宋" w:hAnsi="仿宋" w:hint="eastAsia"/>
          <w:b/>
          <w:sz w:val="32"/>
          <w:szCs w:val="32"/>
        </w:rPr>
        <w:t>（三）国有资产占有使用情况</w:t>
      </w:r>
      <w:bookmarkEnd w:id="55"/>
    </w:p>
    <w:p w:rsidR="00457321" w:rsidRDefault="006572CB">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E41A95">
        <w:rPr>
          <w:rFonts w:ascii="仿宋_GB2312" w:eastAsia="仿宋_GB2312" w:hint="eastAsia"/>
          <w:sz w:val="32"/>
          <w:szCs w:val="32"/>
        </w:rPr>
        <w:t>盐边县自然资源和规划局</w:t>
      </w:r>
      <w:r>
        <w:rPr>
          <w:rFonts w:ascii="仿宋_GB2312" w:eastAsia="仿宋_GB2312" w:hint="eastAsia"/>
          <w:sz w:val="32"/>
          <w:szCs w:val="32"/>
        </w:rPr>
        <w:t>共有车</w:t>
      </w:r>
      <w:r>
        <w:rPr>
          <w:rFonts w:ascii="仿宋_GB2312" w:eastAsia="仿宋_GB2312" w:hint="eastAsia"/>
          <w:sz w:val="32"/>
          <w:szCs w:val="32"/>
        </w:rPr>
        <w:lastRenderedPageBreak/>
        <w:t>辆</w:t>
      </w:r>
      <w:r w:rsidR="00E41A95">
        <w:rPr>
          <w:rFonts w:ascii="仿宋_GB2312" w:eastAsia="仿宋_GB2312" w:hint="eastAsia"/>
          <w:sz w:val="32"/>
          <w:szCs w:val="32"/>
        </w:rPr>
        <w:t>2</w:t>
      </w:r>
      <w:r>
        <w:rPr>
          <w:rFonts w:ascii="仿宋_GB2312" w:eastAsia="仿宋_GB2312" w:hint="eastAsia"/>
          <w:sz w:val="32"/>
          <w:szCs w:val="32"/>
        </w:rPr>
        <w:t>辆，其中：主要领导干部用车</w:t>
      </w:r>
      <w:r w:rsidR="00E41A95">
        <w:rPr>
          <w:rFonts w:ascii="仿宋_GB2312" w:eastAsia="仿宋_GB2312" w:hint="eastAsia"/>
          <w:sz w:val="32"/>
          <w:szCs w:val="32"/>
        </w:rPr>
        <w:t>0</w:t>
      </w:r>
      <w:r>
        <w:rPr>
          <w:rFonts w:ascii="仿宋_GB2312" w:eastAsia="仿宋_GB2312" w:hint="eastAsia"/>
          <w:sz w:val="32"/>
          <w:szCs w:val="32"/>
        </w:rPr>
        <w:t>辆、机要通信用车</w:t>
      </w:r>
      <w:r w:rsidR="00E41A95">
        <w:rPr>
          <w:rFonts w:ascii="仿宋_GB2312" w:eastAsia="仿宋_GB2312" w:hint="eastAsia"/>
          <w:sz w:val="32"/>
          <w:szCs w:val="32"/>
        </w:rPr>
        <w:t>0</w:t>
      </w:r>
      <w:r>
        <w:rPr>
          <w:rFonts w:ascii="仿宋_GB2312" w:eastAsia="仿宋_GB2312" w:hint="eastAsia"/>
          <w:sz w:val="32"/>
          <w:szCs w:val="32"/>
        </w:rPr>
        <w:t>辆、应急保障用车</w:t>
      </w:r>
      <w:r w:rsidR="00E41A95">
        <w:rPr>
          <w:rFonts w:ascii="仿宋_GB2312" w:eastAsia="仿宋_GB2312" w:hint="eastAsia"/>
          <w:sz w:val="32"/>
          <w:szCs w:val="32"/>
        </w:rPr>
        <w:t>1</w:t>
      </w:r>
      <w:r>
        <w:rPr>
          <w:rFonts w:ascii="仿宋_GB2312" w:eastAsia="仿宋_GB2312" w:hint="eastAsia"/>
          <w:sz w:val="32"/>
          <w:szCs w:val="32"/>
        </w:rPr>
        <w:t>辆、其他用车</w:t>
      </w:r>
      <w:r w:rsidR="00E41A95">
        <w:rPr>
          <w:rFonts w:ascii="仿宋_GB2312" w:eastAsia="仿宋_GB2312" w:hint="eastAsia"/>
          <w:sz w:val="32"/>
          <w:szCs w:val="32"/>
        </w:rPr>
        <w:t>1</w:t>
      </w:r>
      <w:r>
        <w:rPr>
          <w:rFonts w:ascii="仿宋_GB2312" w:eastAsia="仿宋_GB2312" w:hint="eastAsia"/>
          <w:sz w:val="32"/>
          <w:szCs w:val="32"/>
        </w:rPr>
        <w:t>辆</w:t>
      </w:r>
      <w:r w:rsidR="00E41A95">
        <w:rPr>
          <w:rFonts w:ascii="仿宋_GB2312" w:eastAsia="仿宋_GB2312" w:hint="eastAsia"/>
          <w:sz w:val="32"/>
          <w:szCs w:val="32"/>
        </w:rPr>
        <w:t>。</w:t>
      </w:r>
      <w:r>
        <w:rPr>
          <w:rFonts w:ascii="仿宋_GB2312" w:eastAsia="仿宋_GB2312" w:hint="eastAsia"/>
          <w:sz w:val="32"/>
          <w:szCs w:val="32"/>
        </w:rPr>
        <w:t>其他用车主要是用于</w:t>
      </w:r>
      <w:r w:rsidR="00E43CB5">
        <w:rPr>
          <w:rFonts w:ascii="仿宋_GB2312" w:eastAsia="仿宋_GB2312" w:hint="eastAsia"/>
          <w:sz w:val="32"/>
          <w:szCs w:val="32"/>
        </w:rPr>
        <w:t>满足</w:t>
      </w:r>
      <w:r w:rsidR="00E41A95">
        <w:rPr>
          <w:rFonts w:ascii="仿宋_GB2312" w:eastAsia="仿宋_GB2312" w:hint="eastAsia"/>
          <w:sz w:val="32"/>
          <w:szCs w:val="32"/>
        </w:rPr>
        <w:t>自然资源监管日常业务需求。</w:t>
      </w:r>
      <w:r>
        <w:rPr>
          <w:rFonts w:ascii="仿宋_GB2312" w:eastAsia="仿宋_GB2312" w:hint="eastAsia"/>
          <w:sz w:val="32"/>
          <w:szCs w:val="32"/>
        </w:rPr>
        <w:t>单价</w:t>
      </w:r>
      <w:r>
        <w:rPr>
          <w:rFonts w:ascii="仿宋_GB2312" w:eastAsia="仿宋_GB2312"/>
          <w:sz w:val="32"/>
          <w:szCs w:val="32"/>
        </w:rPr>
        <w:t>50</w:t>
      </w:r>
      <w:r>
        <w:rPr>
          <w:rFonts w:ascii="仿宋_GB2312" w:eastAsia="仿宋_GB2312" w:hint="eastAsia"/>
          <w:sz w:val="32"/>
          <w:szCs w:val="32"/>
        </w:rPr>
        <w:t>万元以上通用设备</w:t>
      </w:r>
      <w:r w:rsidR="00E41A95">
        <w:rPr>
          <w:rFonts w:ascii="仿宋_GB2312" w:eastAsia="仿宋_GB2312" w:hint="eastAsia"/>
          <w:sz w:val="32"/>
          <w:szCs w:val="32"/>
        </w:rPr>
        <w:t>0</w:t>
      </w:r>
      <w:r>
        <w:rPr>
          <w:rFonts w:ascii="仿宋_GB2312" w:eastAsia="仿宋_GB2312" w:hint="eastAsia"/>
          <w:sz w:val="32"/>
          <w:szCs w:val="32"/>
        </w:rPr>
        <w:t>台（套），单价</w:t>
      </w:r>
      <w:r>
        <w:rPr>
          <w:rFonts w:ascii="仿宋_GB2312" w:eastAsia="仿宋_GB2312"/>
          <w:sz w:val="32"/>
          <w:szCs w:val="32"/>
        </w:rPr>
        <w:t>100</w:t>
      </w:r>
      <w:r>
        <w:rPr>
          <w:rFonts w:ascii="仿宋_GB2312" w:eastAsia="仿宋_GB2312" w:hint="eastAsia"/>
          <w:sz w:val="32"/>
          <w:szCs w:val="32"/>
        </w:rPr>
        <w:t>万元以上专用设备</w:t>
      </w:r>
      <w:r w:rsidR="00E41A95">
        <w:rPr>
          <w:rFonts w:ascii="仿宋_GB2312" w:eastAsia="仿宋_GB2312" w:hint="eastAsia"/>
          <w:sz w:val="32"/>
          <w:szCs w:val="32"/>
        </w:rPr>
        <w:t>0</w:t>
      </w:r>
      <w:r>
        <w:rPr>
          <w:rFonts w:ascii="仿宋_GB2312" w:eastAsia="仿宋_GB2312" w:hint="eastAsia"/>
          <w:sz w:val="32"/>
          <w:szCs w:val="32"/>
        </w:rPr>
        <w:t>台（套）。</w:t>
      </w:r>
    </w:p>
    <w:p w:rsidR="00457321" w:rsidRDefault="006572CB">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457321" w:rsidRDefault="006572CB">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根据预算绩效管理要求，本部门在2021年度预算编制阶段，组织对</w:t>
      </w:r>
      <w:r w:rsidR="00E43CB5">
        <w:rPr>
          <w:rFonts w:ascii="仿宋_GB2312" w:eastAsia="仿宋_GB2312" w:hAnsi="仿宋_GB2312" w:cs="仿宋_GB2312" w:hint="eastAsia"/>
          <w:sz w:val="32"/>
          <w:szCs w:val="32"/>
        </w:rPr>
        <w:t>2021年度第二批地质灾害防治项目、盐边县国土空间总体规划编制及信息系统建设</w:t>
      </w:r>
      <w:r>
        <w:rPr>
          <w:rFonts w:ascii="仿宋_GB2312" w:eastAsia="仿宋_GB2312" w:hAnsi="仿宋_GB2312" w:cs="仿宋_GB2312" w:hint="eastAsia"/>
          <w:sz w:val="32"/>
          <w:szCs w:val="32"/>
        </w:rPr>
        <w:t>项目等</w:t>
      </w:r>
      <w:r w:rsidR="00E43CB5">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个项目开展了预算事前绩效评估，对</w:t>
      </w:r>
      <w:r w:rsidR="00E43CB5">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个项目编制了绩效目标，预算执行过程中，</w:t>
      </w:r>
      <w:r w:rsidR="00E43CB5">
        <w:rPr>
          <w:rFonts w:ascii="仿宋_GB2312" w:eastAsia="仿宋_GB2312" w:hAnsi="仿宋_GB2312" w:cs="仿宋_GB2312" w:hint="eastAsia"/>
          <w:sz w:val="32"/>
          <w:szCs w:val="32"/>
        </w:rPr>
        <w:t>对所有</w:t>
      </w:r>
      <w:r>
        <w:rPr>
          <w:rFonts w:ascii="仿宋_GB2312" w:eastAsia="仿宋_GB2312" w:hAnsi="仿宋_GB2312" w:cs="仿宋_GB2312" w:hint="eastAsia"/>
          <w:sz w:val="32"/>
          <w:szCs w:val="32"/>
        </w:rPr>
        <w:t>项目开展绩效监控，年终执行完毕后，对</w:t>
      </w:r>
      <w:r w:rsidR="00E43CB5">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个项目开展了绩效自评。同时，本部门对2021年部门整体开展绩效自评，《2021年</w:t>
      </w:r>
      <w:r w:rsidR="00E43CB5">
        <w:rPr>
          <w:rFonts w:ascii="仿宋_GB2312" w:eastAsia="仿宋_GB2312" w:hAnsi="仿宋_GB2312" w:cs="仿宋_GB2312" w:hint="eastAsia"/>
          <w:sz w:val="32"/>
          <w:szCs w:val="32"/>
        </w:rPr>
        <w:t>盐边县自然资源和规划局</w:t>
      </w:r>
      <w:r>
        <w:rPr>
          <w:rFonts w:ascii="仿宋_GB2312" w:eastAsia="仿宋_GB2312" w:hAnsi="仿宋_GB2312" w:cs="仿宋_GB2312" w:hint="eastAsia"/>
          <w:sz w:val="32"/>
          <w:szCs w:val="32"/>
        </w:rPr>
        <w:t>部门整体绩效评价报告》见附件（第四部分）。</w:t>
      </w:r>
    </w:p>
    <w:p w:rsidR="00457321" w:rsidRDefault="006572CB">
      <w:pPr>
        <w:widowControl/>
        <w:jc w:val="left"/>
        <w:rPr>
          <w:rFonts w:ascii="仿宋_GB2312" w:eastAsia="仿宋_GB2312"/>
          <w:b/>
          <w:sz w:val="32"/>
          <w:szCs w:val="32"/>
        </w:rPr>
      </w:pPr>
      <w:r>
        <w:rPr>
          <w:rFonts w:ascii="仿宋_GB2312" w:eastAsia="仿宋_GB2312"/>
          <w:b/>
          <w:sz w:val="32"/>
          <w:szCs w:val="32"/>
        </w:rPr>
        <w:br w:type="page"/>
      </w:r>
    </w:p>
    <w:p w:rsidR="00457321" w:rsidRDefault="006572CB">
      <w:pPr>
        <w:numPr>
          <w:ilvl w:val="0"/>
          <w:numId w:val="4"/>
        </w:numPr>
        <w:spacing w:line="600" w:lineRule="exact"/>
        <w:ind w:firstLineChars="150" w:firstLine="660"/>
        <w:jc w:val="center"/>
        <w:outlineLvl w:val="0"/>
        <w:rPr>
          <w:rStyle w:val="1Char"/>
          <w:rFonts w:ascii="黑体" w:eastAsia="黑体" w:hAnsi="黑体"/>
          <w:b w:val="0"/>
        </w:rPr>
      </w:pPr>
      <w:bookmarkStart w:id="56" w:name="_Toc15377225"/>
      <w:bookmarkStart w:id="57" w:name="_Toc15396613"/>
      <w:r>
        <w:rPr>
          <w:rFonts w:ascii="黑体" w:eastAsia="黑体" w:hAnsi="黑体" w:hint="eastAsia"/>
          <w:sz w:val="44"/>
          <w:szCs w:val="44"/>
        </w:rPr>
        <w:lastRenderedPageBreak/>
        <w:t>名</w:t>
      </w:r>
      <w:r>
        <w:rPr>
          <w:rStyle w:val="1Char"/>
          <w:rFonts w:ascii="黑体" w:eastAsia="黑体" w:hAnsi="黑体" w:hint="eastAsia"/>
          <w:b w:val="0"/>
        </w:rPr>
        <w:t>词解释</w:t>
      </w:r>
      <w:bookmarkEnd w:id="56"/>
      <w:bookmarkEnd w:id="57"/>
    </w:p>
    <w:p w:rsidR="00457321" w:rsidRDefault="00457321">
      <w:pPr>
        <w:spacing w:line="600" w:lineRule="exact"/>
        <w:jc w:val="left"/>
        <w:rPr>
          <w:rFonts w:ascii="宋体"/>
          <w:b/>
          <w:sz w:val="44"/>
          <w:szCs w:val="44"/>
        </w:rPr>
      </w:pPr>
    </w:p>
    <w:p w:rsidR="00457321" w:rsidRDefault="006572CB">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457321" w:rsidRDefault="006572CB">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年初结转和结余：指以前年度尚未完成、结转到本年按有关规定继续使用的资金。</w:t>
      </w:r>
    </w:p>
    <w:p w:rsidR="00457321" w:rsidRDefault="00D4156E">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3</w:t>
      </w:r>
      <w:r w:rsidR="006572CB">
        <w:rPr>
          <w:rFonts w:ascii="仿宋_GB2312" w:eastAsia="仿宋_GB2312"/>
          <w:color w:val="auto"/>
          <w:sz w:val="32"/>
          <w:szCs w:val="32"/>
        </w:rPr>
        <w:t>.</w:t>
      </w:r>
      <w:r w:rsidR="006572CB">
        <w:rPr>
          <w:rFonts w:ascii="仿宋_GB2312" w:eastAsia="仿宋_GB2312" w:hint="eastAsia"/>
          <w:color w:val="auto"/>
          <w:sz w:val="32"/>
          <w:szCs w:val="32"/>
        </w:rPr>
        <w:t>年末结转和结余：指单位按有关规定结转到下年或以后年度继续使用的资金。</w:t>
      </w:r>
    </w:p>
    <w:p w:rsidR="00457321" w:rsidRDefault="006572CB">
      <w:pPr>
        <w:ind w:firstLineChars="200" w:firstLine="640"/>
        <w:rPr>
          <w:rFonts w:ascii="仿宋_GB2312" w:eastAsia="仿宋_GB2312"/>
          <w:sz w:val="32"/>
          <w:szCs w:val="32"/>
        </w:rPr>
      </w:pPr>
      <w:r>
        <w:rPr>
          <w:rFonts w:ascii="仿宋_GB2312" w:eastAsia="仿宋_GB2312"/>
          <w:sz w:val="32"/>
          <w:szCs w:val="32"/>
        </w:rPr>
        <w:t>9.</w:t>
      </w:r>
      <w:r w:rsidR="00FB3416" w:rsidRPr="00FB3416">
        <w:rPr>
          <w:rFonts w:ascii="仿宋_GB2312" w:eastAsia="仿宋_GB2312" w:hint="eastAsia"/>
          <w:sz w:val="32"/>
          <w:szCs w:val="32"/>
        </w:rPr>
        <w:t>社会保障和就业（类）行政事业单位养老支出（款）行政单位离退休（项）</w:t>
      </w:r>
      <w:r>
        <w:rPr>
          <w:rFonts w:ascii="仿宋_GB2312" w:eastAsia="仿宋_GB2312" w:hint="eastAsia"/>
          <w:sz w:val="32"/>
          <w:szCs w:val="32"/>
        </w:rPr>
        <w:t>：指</w:t>
      </w:r>
      <w:r w:rsidR="00341A78">
        <w:rPr>
          <w:rFonts w:ascii="仿宋_GB2312" w:eastAsia="仿宋_GB2312" w:hint="eastAsia"/>
          <w:sz w:val="32"/>
          <w:szCs w:val="32"/>
        </w:rPr>
        <w:t>行政单位（包括实行公务员管理的事业单位）开支的离退休经费</w:t>
      </w:r>
      <w:r>
        <w:rPr>
          <w:rFonts w:ascii="仿宋_GB2312" w:eastAsia="仿宋_GB2312" w:hint="eastAsia"/>
          <w:sz w:val="32"/>
          <w:szCs w:val="32"/>
        </w:rPr>
        <w:t>。</w:t>
      </w:r>
    </w:p>
    <w:p w:rsidR="00457321" w:rsidRDefault="006572CB">
      <w:pPr>
        <w:ind w:firstLineChars="200" w:firstLine="640"/>
        <w:rPr>
          <w:rFonts w:ascii="仿宋_GB2312" w:eastAsia="仿宋_GB2312"/>
          <w:sz w:val="32"/>
          <w:szCs w:val="32"/>
        </w:rPr>
      </w:pPr>
      <w:r>
        <w:rPr>
          <w:rFonts w:ascii="仿宋_GB2312" w:eastAsia="仿宋_GB2312"/>
          <w:sz w:val="32"/>
          <w:szCs w:val="32"/>
        </w:rPr>
        <w:t>10.</w:t>
      </w:r>
      <w:r w:rsidR="00FB3416" w:rsidRPr="00FB3416">
        <w:rPr>
          <w:rFonts w:ascii="仿宋_GB2312" w:eastAsia="仿宋_GB2312" w:hint="eastAsia"/>
          <w:sz w:val="32"/>
          <w:szCs w:val="32"/>
        </w:rPr>
        <w:t>社会保障和就业（类）行政事业单位养老支出（款）事业单位离退休（项）</w:t>
      </w:r>
      <w:r>
        <w:rPr>
          <w:rFonts w:ascii="仿宋_GB2312" w:eastAsia="仿宋_GB2312" w:hint="eastAsia"/>
          <w:sz w:val="32"/>
          <w:szCs w:val="32"/>
        </w:rPr>
        <w:t>：指</w:t>
      </w:r>
      <w:r w:rsidR="00341A78">
        <w:rPr>
          <w:rFonts w:ascii="仿宋_GB2312" w:eastAsia="仿宋_GB2312" w:hint="eastAsia"/>
          <w:sz w:val="32"/>
          <w:szCs w:val="32"/>
        </w:rPr>
        <w:t>事业单位开支的离退休经费</w:t>
      </w:r>
      <w:r>
        <w:rPr>
          <w:rFonts w:ascii="仿宋_GB2312" w:eastAsia="仿宋_GB2312" w:hint="eastAsia"/>
          <w:sz w:val="32"/>
          <w:szCs w:val="32"/>
        </w:rPr>
        <w:t>。</w:t>
      </w:r>
    </w:p>
    <w:p w:rsidR="00457321" w:rsidRDefault="006572CB">
      <w:pPr>
        <w:ind w:firstLineChars="200" w:firstLine="640"/>
        <w:rPr>
          <w:rFonts w:ascii="仿宋_GB2312" w:eastAsia="仿宋_GB2312"/>
          <w:sz w:val="32"/>
          <w:szCs w:val="32"/>
        </w:rPr>
      </w:pPr>
      <w:r>
        <w:rPr>
          <w:rFonts w:ascii="仿宋_GB2312" w:eastAsia="仿宋_GB2312"/>
          <w:sz w:val="32"/>
          <w:szCs w:val="32"/>
        </w:rPr>
        <w:t>11.</w:t>
      </w:r>
      <w:r w:rsidR="00FB3416" w:rsidRPr="00FB3416">
        <w:rPr>
          <w:rFonts w:ascii="仿宋_GB2312" w:eastAsia="仿宋_GB2312" w:hint="eastAsia"/>
          <w:sz w:val="32"/>
          <w:szCs w:val="32"/>
        </w:rPr>
        <w:t>社会保障和就业（类）行政事业单位养老支出（款）机关事业单位基本养老保险缴费支出（项）</w:t>
      </w:r>
      <w:r>
        <w:rPr>
          <w:rFonts w:ascii="仿宋_GB2312" w:eastAsia="仿宋_GB2312" w:hint="eastAsia"/>
          <w:sz w:val="32"/>
          <w:szCs w:val="32"/>
        </w:rPr>
        <w:t>：指</w:t>
      </w:r>
      <w:r w:rsidR="00341A78">
        <w:rPr>
          <w:rFonts w:ascii="仿宋_GB2312" w:eastAsia="仿宋_GB2312" w:hint="eastAsia"/>
          <w:sz w:val="32"/>
          <w:szCs w:val="32"/>
        </w:rPr>
        <w:t>机关事业单位实施养老保险制度由单位缴纳的基本养老保险费支出</w:t>
      </w:r>
      <w:r>
        <w:rPr>
          <w:rFonts w:ascii="仿宋_GB2312" w:eastAsia="仿宋_GB2312" w:hint="eastAsia"/>
          <w:sz w:val="32"/>
          <w:szCs w:val="32"/>
        </w:rPr>
        <w:t>。</w:t>
      </w:r>
    </w:p>
    <w:p w:rsidR="00457321" w:rsidRDefault="006572CB">
      <w:pPr>
        <w:ind w:firstLineChars="200" w:firstLine="640"/>
        <w:rPr>
          <w:rFonts w:ascii="仿宋_GB2312" w:eastAsia="仿宋_GB2312"/>
          <w:sz w:val="32"/>
          <w:szCs w:val="32"/>
        </w:rPr>
      </w:pPr>
      <w:r>
        <w:rPr>
          <w:rFonts w:ascii="仿宋_GB2312" w:eastAsia="仿宋_GB2312"/>
          <w:sz w:val="32"/>
          <w:szCs w:val="32"/>
        </w:rPr>
        <w:t>12.</w:t>
      </w:r>
      <w:r w:rsidR="00FB3416" w:rsidRPr="00FB3416">
        <w:rPr>
          <w:rFonts w:ascii="仿宋_GB2312" w:eastAsia="仿宋_GB2312" w:hint="eastAsia"/>
          <w:sz w:val="32"/>
          <w:szCs w:val="32"/>
        </w:rPr>
        <w:t>社会保障和就业（类）行政事业单位养老支出（款）机关事业单位职业年金缴费支出（项）</w:t>
      </w:r>
      <w:r>
        <w:rPr>
          <w:rFonts w:ascii="仿宋_GB2312" w:eastAsia="仿宋_GB2312" w:hint="eastAsia"/>
          <w:sz w:val="32"/>
          <w:szCs w:val="32"/>
        </w:rPr>
        <w:t>：指</w:t>
      </w:r>
      <w:r w:rsidR="00341A78">
        <w:rPr>
          <w:rFonts w:ascii="仿宋_GB2312" w:eastAsia="仿宋_GB2312" w:hint="eastAsia"/>
          <w:sz w:val="32"/>
          <w:szCs w:val="32"/>
        </w:rPr>
        <w:t>机关事业单位实施养老保险制度由单位缴纳的职业年金支出</w:t>
      </w:r>
      <w:r>
        <w:rPr>
          <w:rFonts w:ascii="仿宋_GB2312" w:eastAsia="仿宋_GB2312" w:hint="eastAsia"/>
          <w:sz w:val="32"/>
          <w:szCs w:val="32"/>
        </w:rPr>
        <w:t>。</w:t>
      </w:r>
    </w:p>
    <w:p w:rsidR="00457321" w:rsidRDefault="006572CB">
      <w:pPr>
        <w:ind w:firstLineChars="200" w:firstLine="640"/>
        <w:rPr>
          <w:rFonts w:ascii="仿宋_GB2312" w:eastAsia="仿宋_GB2312"/>
          <w:sz w:val="32"/>
          <w:szCs w:val="32"/>
        </w:rPr>
      </w:pPr>
      <w:r>
        <w:rPr>
          <w:rFonts w:ascii="仿宋_GB2312" w:eastAsia="仿宋_GB2312"/>
          <w:sz w:val="32"/>
          <w:szCs w:val="32"/>
        </w:rPr>
        <w:t>13.</w:t>
      </w:r>
      <w:r w:rsidR="00FB3416" w:rsidRPr="00FB3416">
        <w:rPr>
          <w:rFonts w:ascii="仿宋_GB2312" w:eastAsia="仿宋_GB2312" w:hint="eastAsia"/>
          <w:sz w:val="32"/>
          <w:szCs w:val="32"/>
        </w:rPr>
        <w:t>社会保障和就业（类）行政事业单位养老支出（款）伤残抚恤（项）</w:t>
      </w:r>
      <w:r>
        <w:rPr>
          <w:rFonts w:ascii="仿宋_GB2312" w:eastAsia="仿宋_GB2312" w:hint="eastAsia"/>
          <w:sz w:val="32"/>
          <w:szCs w:val="32"/>
        </w:rPr>
        <w:t>：指</w:t>
      </w:r>
      <w:r w:rsidR="00341A78">
        <w:rPr>
          <w:rFonts w:ascii="仿宋_GB2312" w:eastAsia="仿宋_GB2312" w:hint="eastAsia"/>
          <w:sz w:val="32"/>
          <w:szCs w:val="32"/>
        </w:rPr>
        <w:t>按规定用于伤残人员的抚恤金和按规定开支的各种伤残补助费</w:t>
      </w:r>
      <w:r>
        <w:rPr>
          <w:rFonts w:ascii="仿宋_GB2312" w:eastAsia="仿宋_GB2312" w:hint="eastAsia"/>
          <w:sz w:val="32"/>
          <w:szCs w:val="32"/>
        </w:rPr>
        <w:t>。</w:t>
      </w:r>
    </w:p>
    <w:p w:rsidR="00457321" w:rsidRDefault="006572CB">
      <w:pPr>
        <w:ind w:firstLineChars="200" w:firstLine="640"/>
        <w:rPr>
          <w:rFonts w:ascii="仿宋_GB2312" w:eastAsia="仿宋_GB2312"/>
          <w:sz w:val="32"/>
          <w:szCs w:val="32"/>
        </w:rPr>
      </w:pPr>
      <w:r>
        <w:rPr>
          <w:rFonts w:ascii="仿宋_GB2312" w:eastAsia="仿宋_GB2312"/>
          <w:sz w:val="32"/>
          <w:szCs w:val="32"/>
        </w:rPr>
        <w:t>14.</w:t>
      </w:r>
      <w:r w:rsidR="00FB3416" w:rsidRPr="00FB3416">
        <w:rPr>
          <w:rFonts w:ascii="仿宋_GB2312" w:eastAsia="仿宋_GB2312" w:hint="eastAsia"/>
          <w:sz w:val="32"/>
          <w:szCs w:val="32"/>
        </w:rPr>
        <w:t>卫生健康（类）行政事业单位医疗（款）行政单位</w:t>
      </w:r>
      <w:r w:rsidR="00FB3416" w:rsidRPr="00FB3416">
        <w:rPr>
          <w:rFonts w:ascii="仿宋_GB2312" w:eastAsia="仿宋_GB2312" w:hint="eastAsia"/>
          <w:sz w:val="32"/>
          <w:szCs w:val="32"/>
        </w:rPr>
        <w:lastRenderedPageBreak/>
        <w:t>医疗（项）</w:t>
      </w:r>
      <w:r>
        <w:rPr>
          <w:rFonts w:ascii="仿宋_GB2312" w:eastAsia="仿宋_GB2312" w:hint="eastAsia"/>
          <w:sz w:val="32"/>
          <w:szCs w:val="32"/>
        </w:rPr>
        <w:t>：指</w:t>
      </w:r>
      <w:r w:rsidR="00B90748">
        <w:rPr>
          <w:rFonts w:ascii="仿宋_GB2312" w:eastAsia="仿宋_GB2312" w:hint="eastAsia"/>
          <w:sz w:val="32"/>
          <w:szCs w:val="32"/>
        </w:rPr>
        <w:t>财政部门安排的行政单位（包括实行公务员管理的事业单位）基本医疗保险缴费经费，未参加医疗保险的行政单位的公费医疗经费，按国家规定享受离休人员、红军老战士待遇人员的医疗经费</w:t>
      </w:r>
      <w:r>
        <w:rPr>
          <w:rFonts w:ascii="仿宋_GB2312" w:eastAsia="仿宋_GB2312" w:hint="eastAsia"/>
          <w:sz w:val="32"/>
          <w:szCs w:val="32"/>
        </w:rPr>
        <w:t>。</w:t>
      </w:r>
    </w:p>
    <w:p w:rsidR="00457321" w:rsidRDefault="006572CB">
      <w:pPr>
        <w:ind w:firstLineChars="200" w:firstLine="640"/>
        <w:rPr>
          <w:rFonts w:ascii="仿宋_GB2312" w:eastAsia="仿宋_GB2312"/>
          <w:sz w:val="32"/>
          <w:szCs w:val="32"/>
        </w:rPr>
      </w:pPr>
      <w:r>
        <w:rPr>
          <w:rFonts w:ascii="仿宋_GB2312" w:eastAsia="仿宋_GB2312"/>
          <w:sz w:val="32"/>
          <w:szCs w:val="32"/>
        </w:rPr>
        <w:t>15.</w:t>
      </w:r>
      <w:r w:rsidR="00FB3416" w:rsidRPr="00FB3416">
        <w:rPr>
          <w:rFonts w:ascii="仿宋_GB2312" w:eastAsia="仿宋_GB2312" w:hint="eastAsia"/>
          <w:sz w:val="32"/>
          <w:szCs w:val="32"/>
        </w:rPr>
        <w:t>卫生健康（类）行政事业单位医疗（款）事业单位医疗（项）</w:t>
      </w:r>
      <w:r>
        <w:rPr>
          <w:rFonts w:ascii="仿宋_GB2312" w:eastAsia="仿宋_GB2312" w:hint="eastAsia"/>
          <w:sz w:val="32"/>
          <w:szCs w:val="32"/>
        </w:rPr>
        <w:t>：指</w:t>
      </w:r>
      <w:r w:rsidR="00540453">
        <w:rPr>
          <w:rFonts w:ascii="仿宋_GB2312" w:eastAsia="仿宋_GB2312" w:hint="eastAsia"/>
          <w:sz w:val="32"/>
          <w:szCs w:val="32"/>
        </w:rPr>
        <w:t>财政部门安排的事业单位基本医疗保险缴费经费，未参加医疗保险的事业单位的公费医疗经费，按国家规定享受离休人员待遇人员的医疗经费</w:t>
      </w:r>
      <w:r>
        <w:rPr>
          <w:rFonts w:ascii="仿宋_GB2312" w:eastAsia="仿宋_GB2312" w:hint="eastAsia"/>
          <w:sz w:val="32"/>
          <w:szCs w:val="32"/>
        </w:rPr>
        <w:t>。</w:t>
      </w:r>
    </w:p>
    <w:p w:rsidR="00457321" w:rsidRDefault="006572CB">
      <w:pPr>
        <w:ind w:firstLineChars="200" w:firstLine="640"/>
        <w:rPr>
          <w:rFonts w:ascii="仿宋_GB2312" w:eastAsia="仿宋_GB2312"/>
          <w:sz w:val="32"/>
          <w:szCs w:val="32"/>
        </w:rPr>
      </w:pPr>
      <w:r>
        <w:rPr>
          <w:rFonts w:ascii="仿宋_GB2312" w:eastAsia="仿宋_GB2312"/>
          <w:sz w:val="32"/>
          <w:szCs w:val="32"/>
        </w:rPr>
        <w:t>16.</w:t>
      </w:r>
      <w:r w:rsidR="00FB3416" w:rsidRPr="00FB3416">
        <w:rPr>
          <w:rFonts w:ascii="仿宋_GB2312" w:eastAsia="仿宋_GB2312" w:hint="eastAsia"/>
          <w:sz w:val="32"/>
          <w:szCs w:val="32"/>
        </w:rPr>
        <w:t>卫生健康（类）行政事业单位医疗（款）公务员医疗补助（项）</w:t>
      </w:r>
      <w:r>
        <w:rPr>
          <w:rFonts w:ascii="仿宋_GB2312" w:eastAsia="仿宋_GB2312" w:hint="eastAsia"/>
          <w:sz w:val="32"/>
          <w:szCs w:val="32"/>
        </w:rPr>
        <w:t>：指</w:t>
      </w:r>
      <w:r w:rsidR="00540453">
        <w:rPr>
          <w:rFonts w:ascii="仿宋_GB2312" w:eastAsia="仿宋_GB2312" w:hint="eastAsia"/>
          <w:sz w:val="32"/>
          <w:szCs w:val="32"/>
        </w:rPr>
        <w:t>财政部门安排的公务员医疗补助经费</w:t>
      </w:r>
      <w:r>
        <w:rPr>
          <w:rFonts w:ascii="仿宋_GB2312" w:eastAsia="仿宋_GB2312" w:hint="eastAsia"/>
          <w:sz w:val="32"/>
          <w:szCs w:val="32"/>
        </w:rPr>
        <w:t>。</w:t>
      </w:r>
    </w:p>
    <w:p w:rsidR="00457321" w:rsidRDefault="006572CB">
      <w:pPr>
        <w:ind w:firstLineChars="200" w:firstLine="640"/>
        <w:rPr>
          <w:rFonts w:ascii="仿宋_GB2312" w:eastAsia="仿宋_GB2312"/>
          <w:sz w:val="32"/>
          <w:szCs w:val="32"/>
        </w:rPr>
      </w:pPr>
      <w:r>
        <w:rPr>
          <w:rFonts w:ascii="仿宋_GB2312" w:eastAsia="仿宋_GB2312"/>
          <w:sz w:val="32"/>
          <w:szCs w:val="32"/>
        </w:rPr>
        <w:t>17.</w:t>
      </w:r>
      <w:r w:rsidR="00FB3416" w:rsidRPr="00FB3416">
        <w:rPr>
          <w:rFonts w:ascii="仿宋_GB2312" w:eastAsia="仿宋_GB2312" w:hint="eastAsia"/>
          <w:sz w:val="32"/>
          <w:szCs w:val="32"/>
        </w:rPr>
        <w:t>节能环保（类）自然生态保护（款）生态保护（项）</w:t>
      </w:r>
      <w:r>
        <w:rPr>
          <w:rFonts w:ascii="仿宋_GB2312" w:eastAsia="仿宋_GB2312" w:hint="eastAsia"/>
          <w:sz w:val="32"/>
          <w:szCs w:val="32"/>
        </w:rPr>
        <w:t>：指</w:t>
      </w:r>
      <w:r w:rsidR="00540453">
        <w:rPr>
          <w:rFonts w:ascii="仿宋_GB2312" w:eastAsia="仿宋_GB2312" w:hint="eastAsia"/>
          <w:sz w:val="32"/>
          <w:szCs w:val="32"/>
        </w:rPr>
        <w:t>用于生态功能区、生态示范区、生态省（市、县）管理及能力建设、日常管护、宣教、试点示范等支出，生态修复支出，资源开发生态监管支出，生态护林员的劳务报酬等支出</w:t>
      </w:r>
      <w:r>
        <w:rPr>
          <w:rFonts w:ascii="仿宋_GB2312" w:eastAsia="仿宋_GB2312" w:hint="eastAsia"/>
          <w:sz w:val="32"/>
          <w:szCs w:val="32"/>
        </w:rPr>
        <w:t>。</w:t>
      </w:r>
    </w:p>
    <w:p w:rsidR="00457321" w:rsidRDefault="006572CB">
      <w:pPr>
        <w:ind w:firstLineChars="200" w:firstLine="640"/>
        <w:rPr>
          <w:rFonts w:ascii="仿宋_GB2312" w:eastAsia="仿宋_GB2312"/>
          <w:sz w:val="32"/>
          <w:szCs w:val="32"/>
        </w:rPr>
      </w:pPr>
      <w:r>
        <w:rPr>
          <w:rFonts w:ascii="仿宋_GB2312" w:eastAsia="仿宋_GB2312"/>
          <w:sz w:val="32"/>
          <w:szCs w:val="32"/>
        </w:rPr>
        <w:t>18.</w:t>
      </w:r>
      <w:r w:rsidR="00FB3416" w:rsidRPr="00FB3416">
        <w:rPr>
          <w:rFonts w:ascii="仿宋_GB2312" w:eastAsia="仿宋_GB2312" w:hint="eastAsia"/>
          <w:sz w:val="32"/>
          <w:szCs w:val="32"/>
        </w:rPr>
        <w:t>城乡社区（类）城乡社区公共设施（款）其他城乡社区公共设施（项）</w:t>
      </w:r>
      <w:r>
        <w:rPr>
          <w:rFonts w:ascii="仿宋_GB2312" w:eastAsia="仿宋_GB2312" w:hint="eastAsia"/>
          <w:sz w:val="32"/>
          <w:szCs w:val="32"/>
        </w:rPr>
        <w:t>：指</w:t>
      </w:r>
      <w:r w:rsidR="0049172B">
        <w:rPr>
          <w:rFonts w:ascii="仿宋_GB2312" w:eastAsia="仿宋_GB2312" w:hint="eastAsia"/>
          <w:sz w:val="32"/>
          <w:szCs w:val="32"/>
        </w:rPr>
        <w:t>用于城乡社区方面的支出</w:t>
      </w:r>
      <w:r>
        <w:rPr>
          <w:rFonts w:ascii="仿宋_GB2312" w:eastAsia="仿宋_GB2312" w:hint="eastAsia"/>
          <w:sz w:val="32"/>
          <w:szCs w:val="32"/>
        </w:rPr>
        <w:t>。</w:t>
      </w:r>
    </w:p>
    <w:p w:rsidR="00457321" w:rsidRDefault="006572CB">
      <w:pPr>
        <w:ind w:firstLineChars="200" w:firstLine="640"/>
        <w:rPr>
          <w:rFonts w:ascii="仿宋_GB2312" w:eastAsia="仿宋_GB2312"/>
          <w:sz w:val="32"/>
          <w:szCs w:val="32"/>
        </w:rPr>
      </w:pPr>
      <w:r>
        <w:rPr>
          <w:rFonts w:ascii="仿宋_GB2312" w:eastAsia="仿宋_GB2312"/>
          <w:sz w:val="32"/>
          <w:szCs w:val="32"/>
        </w:rPr>
        <w:t>19.</w:t>
      </w:r>
      <w:r w:rsidR="00FB3416" w:rsidRPr="00FB3416">
        <w:rPr>
          <w:rFonts w:ascii="仿宋_GB2312" w:eastAsia="仿宋_GB2312" w:hint="eastAsia"/>
          <w:sz w:val="32"/>
          <w:szCs w:val="32"/>
        </w:rPr>
        <w:t>农林水（类）其他农林水（款）其他农林水（项）</w:t>
      </w:r>
      <w:r>
        <w:rPr>
          <w:rFonts w:ascii="仿宋_GB2312" w:eastAsia="仿宋_GB2312" w:hint="eastAsia"/>
          <w:sz w:val="32"/>
          <w:szCs w:val="32"/>
        </w:rPr>
        <w:t>：指</w:t>
      </w:r>
      <w:r w:rsidR="0049172B">
        <w:rPr>
          <w:rFonts w:ascii="仿宋_GB2312" w:eastAsia="仿宋_GB2312" w:hint="eastAsia"/>
          <w:sz w:val="32"/>
          <w:szCs w:val="32"/>
        </w:rPr>
        <w:t>除化解债务支出以外其他用于农林水方面的支出</w:t>
      </w:r>
      <w:r>
        <w:rPr>
          <w:rFonts w:ascii="仿宋_GB2312" w:eastAsia="仿宋_GB2312" w:hint="eastAsia"/>
          <w:sz w:val="32"/>
          <w:szCs w:val="32"/>
        </w:rPr>
        <w:t>。</w:t>
      </w:r>
    </w:p>
    <w:p w:rsidR="00457321" w:rsidRDefault="006572CB">
      <w:pPr>
        <w:ind w:firstLineChars="200" w:firstLine="640"/>
        <w:rPr>
          <w:rFonts w:ascii="仿宋_GB2312" w:eastAsia="仿宋_GB2312"/>
          <w:sz w:val="32"/>
          <w:szCs w:val="32"/>
        </w:rPr>
      </w:pPr>
      <w:r>
        <w:rPr>
          <w:rFonts w:ascii="仿宋_GB2312" w:eastAsia="仿宋_GB2312"/>
          <w:sz w:val="32"/>
          <w:szCs w:val="32"/>
        </w:rPr>
        <w:t>20.</w:t>
      </w:r>
      <w:r w:rsidR="00FB3416" w:rsidRPr="00FB3416">
        <w:rPr>
          <w:rFonts w:ascii="仿宋_GB2312" w:eastAsia="仿宋_GB2312" w:hint="eastAsia"/>
          <w:sz w:val="32"/>
          <w:szCs w:val="32"/>
        </w:rPr>
        <w:t>自然资源海洋气象等（类）自然资源事务（款）行政运行（项）</w:t>
      </w:r>
      <w:r>
        <w:rPr>
          <w:rFonts w:ascii="仿宋_GB2312" w:eastAsia="仿宋_GB2312" w:hint="eastAsia"/>
          <w:sz w:val="32"/>
          <w:szCs w:val="32"/>
        </w:rPr>
        <w:t>：指</w:t>
      </w:r>
      <w:r w:rsidR="0049172B">
        <w:rPr>
          <w:rFonts w:ascii="仿宋_GB2312" w:eastAsia="仿宋_GB2312" w:hint="eastAsia"/>
          <w:sz w:val="32"/>
          <w:szCs w:val="32"/>
        </w:rPr>
        <w:t>行政单位（包括实行公务员管理的事业单位）的基本支出</w:t>
      </w:r>
      <w:r>
        <w:rPr>
          <w:rFonts w:ascii="仿宋_GB2312" w:eastAsia="仿宋_GB2312" w:hint="eastAsia"/>
          <w:sz w:val="32"/>
          <w:szCs w:val="32"/>
        </w:rPr>
        <w:t>。</w:t>
      </w:r>
    </w:p>
    <w:p w:rsidR="00457321" w:rsidRPr="0072466D" w:rsidRDefault="006572CB">
      <w:pPr>
        <w:ind w:firstLineChars="200" w:firstLine="640"/>
        <w:rPr>
          <w:rFonts w:ascii="仿宋_GB2312" w:eastAsia="仿宋_GB2312"/>
          <w:sz w:val="32"/>
          <w:szCs w:val="32"/>
        </w:rPr>
      </w:pPr>
      <w:r>
        <w:rPr>
          <w:rFonts w:ascii="仿宋_GB2312" w:eastAsia="仿宋_GB2312"/>
          <w:sz w:val="32"/>
          <w:szCs w:val="32"/>
        </w:rPr>
        <w:t>21.</w:t>
      </w:r>
      <w:r w:rsidR="00FB3416" w:rsidRPr="00FB3416">
        <w:rPr>
          <w:rFonts w:ascii="仿宋_GB2312" w:eastAsia="仿宋_GB2312" w:hint="eastAsia"/>
          <w:sz w:val="32"/>
          <w:szCs w:val="32"/>
        </w:rPr>
        <w:t>自然资源海洋气象等（类）自然资源事务（款）一</w:t>
      </w:r>
      <w:r w:rsidR="00FB3416" w:rsidRPr="00FB3416">
        <w:rPr>
          <w:rFonts w:ascii="仿宋_GB2312" w:eastAsia="仿宋_GB2312" w:hint="eastAsia"/>
          <w:sz w:val="32"/>
          <w:szCs w:val="32"/>
        </w:rPr>
        <w:lastRenderedPageBreak/>
        <w:t>般</w:t>
      </w:r>
      <w:r w:rsidR="00FB3416" w:rsidRPr="0072466D">
        <w:rPr>
          <w:rFonts w:ascii="仿宋_GB2312" w:eastAsia="仿宋_GB2312" w:hint="eastAsia"/>
          <w:sz w:val="32"/>
          <w:szCs w:val="32"/>
        </w:rPr>
        <w:t>行政管理事务（项）</w:t>
      </w:r>
      <w:r w:rsidRPr="0072466D">
        <w:rPr>
          <w:rFonts w:ascii="仿宋_GB2312" w:eastAsia="仿宋_GB2312" w:hint="eastAsia"/>
          <w:sz w:val="32"/>
          <w:szCs w:val="32"/>
        </w:rPr>
        <w:t>：指</w:t>
      </w:r>
      <w:r w:rsidR="0049172B" w:rsidRPr="0072466D">
        <w:rPr>
          <w:rFonts w:ascii="仿宋_GB2312" w:eastAsia="仿宋_GB2312" w:hint="eastAsia"/>
          <w:sz w:val="32"/>
          <w:szCs w:val="32"/>
        </w:rPr>
        <w:t>行政单位（包括实行公务员管理的事业单位）未单独设置项科目的其他项目支出</w:t>
      </w:r>
      <w:r w:rsidRPr="0072466D">
        <w:rPr>
          <w:rFonts w:ascii="仿宋_GB2312" w:eastAsia="仿宋_GB2312" w:hint="eastAsia"/>
          <w:sz w:val="32"/>
          <w:szCs w:val="32"/>
        </w:rPr>
        <w:t>。</w:t>
      </w:r>
    </w:p>
    <w:p w:rsidR="00457321" w:rsidRPr="0072466D" w:rsidRDefault="006572CB">
      <w:pPr>
        <w:ind w:firstLineChars="200" w:firstLine="640"/>
        <w:rPr>
          <w:rFonts w:ascii="仿宋_GB2312" w:eastAsia="仿宋_GB2312"/>
          <w:sz w:val="32"/>
          <w:szCs w:val="32"/>
        </w:rPr>
      </w:pPr>
      <w:r w:rsidRPr="0072466D">
        <w:rPr>
          <w:rFonts w:ascii="仿宋_GB2312" w:eastAsia="仿宋_GB2312"/>
          <w:sz w:val="32"/>
          <w:szCs w:val="32"/>
        </w:rPr>
        <w:t>22.</w:t>
      </w:r>
      <w:r w:rsidR="00FB3416" w:rsidRPr="0072466D">
        <w:rPr>
          <w:rFonts w:ascii="仿宋_GB2312" w:eastAsia="仿宋_GB2312" w:hint="eastAsia"/>
          <w:sz w:val="32"/>
          <w:szCs w:val="32"/>
        </w:rPr>
        <w:t>自然资源海洋气象等（类）自然资源事务（款）自然资源规划及管理（项）</w:t>
      </w:r>
      <w:r w:rsidRPr="0072466D">
        <w:rPr>
          <w:rFonts w:ascii="仿宋_GB2312" w:eastAsia="仿宋_GB2312" w:hint="eastAsia"/>
          <w:sz w:val="32"/>
          <w:szCs w:val="32"/>
        </w:rPr>
        <w:t>：指</w:t>
      </w:r>
      <w:r w:rsidR="00516435" w:rsidRPr="0072466D">
        <w:rPr>
          <w:rFonts w:ascii="仿宋_GB2312" w:eastAsia="仿宋_GB2312" w:hint="eastAsia"/>
          <w:sz w:val="32"/>
          <w:szCs w:val="32"/>
        </w:rPr>
        <w:t>用于国土空间规划、国土空间开发适宜性评价等方面的支出</w:t>
      </w:r>
      <w:r w:rsidRPr="0072466D">
        <w:rPr>
          <w:rFonts w:ascii="仿宋_GB2312" w:eastAsia="仿宋_GB2312" w:hint="eastAsia"/>
          <w:sz w:val="32"/>
          <w:szCs w:val="32"/>
        </w:rPr>
        <w:t>。</w:t>
      </w:r>
    </w:p>
    <w:p w:rsidR="00457321" w:rsidRDefault="006572CB">
      <w:pPr>
        <w:ind w:firstLineChars="200" w:firstLine="640"/>
        <w:rPr>
          <w:rFonts w:ascii="仿宋_GB2312" w:eastAsia="仿宋_GB2312"/>
          <w:sz w:val="32"/>
          <w:szCs w:val="32"/>
        </w:rPr>
      </w:pPr>
      <w:r>
        <w:rPr>
          <w:rFonts w:ascii="仿宋_GB2312" w:eastAsia="仿宋_GB2312"/>
          <w:sz w:val="32"/>
          <w:szCs w:val="32"/>
        </w:rPr>
        <w:t>23.</w:t>
      </w:r>
      <w:r w:rsidR="00FB3416" w:rsidRPr="00FB3416">
        <w:rPr>
          <w:rFonts w:ascii="仿宋_GB2312" w:eastAsia="仿宋_GB2312" w:hint="eastAsia"/>
          <w:sz w:val="32"/>
          <w:szCs w:val="32"/>
        </w:rPr>
        <w:t>自然资源海洋气象等（类）自然资源事务（款）自然资源利用与保护（项）</w:t>
      </w:r>
      <w:r>
        <w:rPr>
          <w:rFonts w:ascii="仿宋_GB2312" w:eastAsia="仿宋_GB2312" w:hint="eastAsia"/>
          <w:sz w:val="32"/>
          <w:szCs w:val="32"/>
        </w:rPr>
        <w:t>：指</w:t>
      </w:r>
      <w:r w:rsidR="00516435">
        <w:rPr>
          <w:rFonts w:ascii="仿宋_GB2312" w:eastAsia="仿宋_GB2312" w:hint="eastAsia"/>
          <w:sz w:val="32"/>
          <w:szCs w:val="32"/>
        </w:rPr>
        <w:t>用于自然资源有偿使用与合理开发利用，国土空间生态修复，国土整治，耕地保护等方面的支出</w:t>
      </w:r>
      <w:r>
        <w:rPr>
          <w:rFonts w:ascii="仿宋_GB2312" w:eastAsia="仿宋_GB2312" w:hint="eastAsia"/>
          <w:sz w:val="32"/>
          <w:szCs w:val="32"/>
        </w:rPr>
        <w:t>。</w:t>
      </w:r>
    </w:p>
    <w:p w:rsidR="00457321" w:rsidRDefault="006572CB">
      <w:pPr>
        <w:ind w:firstLineChars="200" w:firstLine="640"/>
        <w:rPr>
          <w:rFonts w:ascii="仿宋_GB2312" w:eastAsia="仿宋_GB2312"/>
          <w:sz w:val="32"/>
          <w:szCs w:val="32"/>
        </w:rPr>
      </w:pPr>
      <w:r>
        <w:rPr>
          <w:rFonts w:ascii="仿宋_GB2312" w:eastAsia="仿宋_GB2312"/>
          <w:sz w:val="32"/>
          <w:szCs w:val="32"/>
        </w:rPr>
        <w:t>24.</w:t>
      </w:r>
      <w:r w:rsidR="00FB3416" w:rsidRPr="00FB3416">
        <w:rPr>
          <w:rFonts w:ascii="仿宋_GB2312" w:eastAsia="仿宋_GB2312" w:hint="eastAsia"/>
          <w:sz w:val="32"/>
          <w:szCs w:val="32"/>
        </w:rPr>
        <w:t>自然资源海洋气象等（类）自然资源事务（款）自然资源调查与确权登记（项）</w:t>
      </w:r>
      <w:r>
        <w:rPr>
          <w:rFonts w:ascii="仿宋_GB2312" w:eastAsia="仿宋_GB2312" w:hint="eastAsia"/>
          <w:sz w:val="32"/>
          <w:szCs w:val="32"/>
        </w:rPr>
        <w:t>：指</w:t>
      </w:r>
      <w:r w:rsidR="000368F9">
        <w:rPr>
          <w:rFonts w:ascii="仿宋_GB2312" w:eastAsia="仿宋_GB2312" w:hint="eastAsia"/>
          <w:sz w:val="32"/>
          <w:szCs w:val="32"/>
        </w:rPr>
        <w:t>自然资源部门用于自然资源调查监测评价，自然资源统一确权登记等方面的支出</w:t>
      </w:r>
      <w:r>
        <w:rPr>
          <w:rFonts w:ascii="仿宋_GB2312" w:eastAsia="仿宋_GB2312" w:hint="eastAsia"/>
          <w:sz w:val="32"/>
          <w:szCs w:val="32"/>
        </w:rPr>
        <w:t>。</w:t>
      </w:r>
    </w:p>
    <w:p w:rsidR="00457321" w:rsidRDefault="006572CB">
      <w:pPr>
        <w:ind w:firstLineChars="200" w:firstLine="640"/>
        <w:rPr>
          <w:rFonts w:ascii="仿宋_GB2312" w:eastAsia="仿宋_GB2312"/>
          <w:sz w:val="32"/>
          <w:szCs w:val="32"/>
        </w:rPr>
      </w:pPr>
      <w:r>
        <w:rPr>
          <w:rFonts w:ascii="仿宋_GB2312" w:eastAsia="仿宋_GB2312"/>
          <w:sz w:val="32"/>
          <w:szCs w:val="32"/>
        </w:rPr>
        <w:t>25.</w:t>
      </w:r>
      <w:r w:rsidR="00FB3416" w:rsidRPr="00FB3416">
        <w:rPr>
          <w:rFonts w:ascii="仿宋_GB2312" w:eastAsia="仿宋_GB2312" w:hint="eastAsia"/>
          <w:sz w:val="32"/>
          <w:szCs w:val="32"/>
        </w:rPr>
        <w:t>自然资源海洋气象等（类）自然资源事务（款）地质勘查与矿产资源管理（项）</w:t>
      </w:r>
      <w:r>
        <w:rPr>
          <w:rFonts w:ascii="仿宋_GB2312" w:eastAsia="仿宋_GB2312" w:hint="eastAsia"/>
          <w:sz w:val="32"/>
          <w:szCs w:val="32"/>
        </w:rPr>
        <w:t>：指</w:t>
      </w:r>
      <w:r w:rsidR="00AD1881">
        <w:rPr>
          <w:rFonts w:ascii="仿宋_GB2312" w:eastAsia="仿宋_GB2312" w:hint="eastAsia"/>
          <w:sz w:val="32"/>
          <w:szCs w:val="32"/>
        </w:rPr>
        <w:t>地质勘查行业和地质工作管理，矿业权管理，矿产资源合理利用和保护等方面的支出</w:t>
      </w:r>
      <w:r>
        <w:rPr>
          <w:rFonts w:ascii="仿宋_GB2312" w:eastAsia="仿宋_GB2312" w:hint="eastAsia"/>
          <w:sz w:val="32"/>
          <w:szCs w:val="32"/>
        </w:rPr>
        <w:t>。</w:t>
      </w:r>
    </w:p>
    <w:p w:rsidR="00457321" w:rsidRDefault="006572CB">
      <w:pPr>
        <w:ind w:firstLineChars="200" w:firstLine="640"/>
        <w:rPr>
          <w:rFonts w:ascii="仿宋_GB2312" w:eastAsia="仿宋_GB2312"/>
          <w:sz w:val="32"/>
          <w:szCs w:val="32"/>
        </w:rPr>
      </w:pPr>
      <w:r>
        <w:rPr>
          <w:rFonts w:ascii="仿宋_GB2312" w:eastAsia="仿宋_GB2312"/>
          <w:sz w:val="32"/>
          <w:szCs w:val="32"/>
        </w:rPr>
        <w:t>26.</w:t>
      </w:r>
      <w:r w:rsidR="00FB3416" w:rsidRPr="00FB3416">
        <w:rPr>
          <w:rFonts w:ascii="仿宋_GB2312" w:eastAsia="仿宋_GB2312" w:hint="eastAsia"/>
          <w:sz w:val="32"/>
          <w:szCs w:val="32"/>
        </w:rPr>
        <w:t>自然资源海洋气象等（类）自然资源事务（款）事业运行（项）</w:t>
      </w:r>
      <w:r>
        <w:rPr>
          <w:rFonts w:ascii="仿宋_GB2312" w:eastAsia="仿宋_GB2312" w:hint="eastAsia"/>
          <w:sz w:val="32"/>
          <w:szCs w:val="32"/>
        </w:rPr>
        <w:t>：指</w:t>
      </w:r>
      <w:r w:rsidR="0072466D">
        <w:rPr>
          <w:rFonts w:ascii="仿宋_GB2312" w:eastAsia="仿宋_GB2312" w:hint="eastAsia"/>
          <w:sz w:val="32"/>
          <w:szCs w:val="32"/>
        </w:rPr>
        <w:t>事业单位的基本支出</w:t>
      </w:r>
      <w:r>
        <w:rPr>
          <w:rFonts w:ascii="仿宋_GB2312" w:eastAsia="仿宋_GB2312" w:hint="eastAsia"/>
          <w:sz w:val="32"/>
          <w:szCs w:val="32"/>
        </w:rPr>
        <w:t>。</w:t>
      </w:r>
    </w:p>
    <w:p w:rsidR="00FB3416" w:rsidRDefault="00FB3416" w:rsidP="00FB3416">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7</w:t>
      </w:r>
      <w:r>
        <w:rPr>
          <w:rFonts w:ascii="仿宋_GB2312" w:eastAsia="仿宋_GB2312"/>
          <w:sz w:val="32"/>
          <w:szCs w:val="32"/>
        </w:rPr>
        <w:t>.</w:t>
      </w:r>
      <w:r w:rsidRPr="00FB3416">
        <w:rPr>
          <w:rFonts w:ascii="仿宋_GB2312" w:eastAsia="仿宋_GB2312" w:hint="eastAsia"/>
          <w:sz w:val="32"/>
          <w:szCs w:val="32"/>
        </w:rPr>
        <w:t>住房保障（类）住房改革（款）住房公积金（项）</w:t>
      </w:r>
      <w:r>
        <w:rPr>
          <w:rFonts w:ascii="仿宋_GB2312" w:eastAsia="仿宋_GB2312" w:hint="eastAsia"/>
          <w:sz w:val="32"/>
          <w:szCs w:val="32"/>
        </w:rPr>
        <w:t>：指</w:t>
      </w:r>
      <w:r w:rsidR="0072466D">
        <w:rPr>
          <w:rFonts w:ascii="仿宋_GB2312" w:eastAsia="仿宋_GB2312" w:hint="eastAsia"/>
          <w:sz w:val="32"/>
          <w:szCs w:val="32"/>
        </w:rPr>
        <w:t>行政事业单位按人力资源和社会保障部、财政部规定的基本工资和津贴补贴以及规定比例为职工缴纳的住房公积金</w:t>
      </w:r>
      <w:r>
        <w:rPr>
          <w:rFonts w:ascii="仿宋_GB2312" w:eastAsia="仿宋_GB2312" w:hint="eastAsia"/>
          <w:sz w:val="32"/>
          <w:szCs w:val="32"/>
        </w:rPr>
        <w:t>。</w:t>
      </w:r>
    </w:p>
    <w:p w:rsidR="00FB3416" w:rsidRDefault="00FB3416" w:rsidP="00FB3416">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8</w:t>
      </w:r>
      <w:r>
        <w:rPr>
          <w:rFonts w:ascii="仿宋_GB2312" w:eastAsia="仿宋_GB2312"/>
          <w:sz w:val="32"/>
          <w:szCs w:val="32"/>
        </w:rPr>
        <w:t>.</w:t>
      </w:r>
      <w:r w:rsidRPr="00FB3416">
        <w:rPr>
          <w:rFonts w:ascii="仿宋_GB2312" w:eastAsia="仿宋_GB2312" w:hint="eastAsia"/>
          <w:sz w:val="32"/>
          <w:szCs w:val="32"/>
        </w:rPr>
        <w:t>灾害防治及应急管理（类）自然灾害防治（款）地质灾害防治（项）</w:t>
      </w:r>
      <w:r>
        <w:rPr>
          <w:rFonts w:ascii="仿宋_GB2312" w:eastAsia="仿宋_GB2312" w:hint="eastAsia"/>
          <w:sz w:val="32"/>
          <w:szCs w:val="32"/>
        </w:rPr>
        <w:t>：指</w:t>
      </w:r>
      <w:r w:rsidR="0072466D">
        <w:rPr>
          <w:rFonts w:ascii="仿宋_GB2312" w:eastAsia="仿宋_GB2312" w:hint="eastAsia"/>
          <w:sz w:val="32"/>
          <w:szCs w:val="32"/>
        </w:rPr>
        <w:t>防治地质灾害方面的支出</w:t>
      </w:r>
      <w:r>
        <w:rPr>
          <w:rFonts w:ascii="仿宋_GB2312" w:eastAsia="仿宋_GB2312" w:hint="eastAsia"/>
          <w:sz w:val="32"/>
          <w:szCs w:val="32"/>
        </w:rPr>
        <w:t>。</w:t>
      </w:r>
    </w:p>
    <w:p w:rsidR="00457321" w:rsidRDefault="00FB3416" w:rsidP="0072466D">
      <w:pPr>
        <w:ind w:firstLineChars="200" w:firstLine="640"/>
        <w:rPr>
          <w:rFonts w:ascii="仿宋_GB2312" w:eastAsia="仿宋_GB2312"/>
          <w:sz w:val="32"/>
          <w:szCs w:val="32"/>
        </w:rPr>
      </w:pPr>
      <w:r>
        <w:rPr>
          <w:rFonts w:ascii="仿宋_GB2312" w:eastAsia="仿宋_GB2312"/>
          <w:sz w:val="32"/>
          <w:szCs w:val="32"/>
        </w:rPr>
        <w:lastRenderedPageBreak/>
        <w:t>2</w:t>
      </w:r>
      <w:r>
        <w:rPr>
          <w:rFonts w:ascii="仿宋_GB2312" w:eastAsia="仿宋_GB2312" w:hint="eastAsia"/>
          <w:sz w:val="32"/>
          <w:szCs w:val="32"/>
        </w:rPr>
        <w:t>9</w:t>
      </w:r>
      <w:r>
        <w:rPr>
          <w:rFonts w:ascii="仿宋_GB2312" w:eastAsia="仿宋_GB2312"/>
          <w:sz w:val="32"/>
          <w:szCs w:val="32"/>
        </w:rPr>
        <w:t>.</w:t>
      </w:r>
      <w:r w:rsidRPr="00FB3416">
        <w:rPr>
          <w:rFonts w:ascii="仿宋_GB2312" w:eastAsia="仿宋_GB2312" w:hint="eastAsia"/>
          <w:sz w:val="32"/>
          <w:szCs w:val="32"/>
        </w:rPr>
        <w:t>其他支出（类）其他支出（款）其他支出（项）</w:t>
      </w:r>
      <w:r>
        <w:rPr>
          <w:rFonts w:ascii="仿宋_GB2312" w:eastAsia="仿宋_GB2312" w:hint="eastAsia"/>
          <w:sz w:val="32"/>
          <w:szCs w:val="32"/>
        </w:rPr>
        <w:t>：指</w:t>
      </w:r>
      <w:r w:rsidR="0072466D">
        <w:rPr>
          <w:rFonts w:ascii="仿宋_GB2312" w:eastAsia="仿宋_GB2312" w:hint="eastAsia"/>
          <w:sz w:val="32"/>
          <w:szCs w:val="32"/>
        </w:rPr>
        <w:t>其他不能划分到具体功能科目中的支出项目</w:t>
      </w:r>
      <w:r>
        <w:rPr>
          <w:rFonts w:ascii="仿宋_GB2312" w:eastAsia="仿宋_GB2312" w:hint="eastAsia"/>
          <w:sz w:val="32"/>
          <w:szCs w:val="32"/>
        </w:rPr>
        <w:t>。</w:t>
      </w:r>
    </w:p>
    <w:p w:rsidR="00457321" w:rsidRDefault="0072466D">
      <w:pPr>
        <w:ind w:firstLineChars="200" w:firstLine="640"/>
        <w:rPr>
          <w:rFonts w:ascii="仿宋_GB2312" w:eastAsia="仿宋_GB2312"/>
          <w:sz w:val="32"/>
          <w:szCs w:val="32"/>
        </w:rPr>
      </w:pPr>
      <w:r>
        <w:rPr>
          <w:rFonts w:ascii="仿宋_GB2312" w:eastAsia="仿宋_GB2312" w:hint="eastAsia"/>
          <w:sz w:val="32"/>
          <w:szCs w:val="32"/>
        </w:rPr>
        <w:t>30</w:t>
      </w:r>
      <w:r w:rsidR="006572CB">
        <w:rPr>
          <w:rFonts w:ascii="仿宋_GB2312" w:eastAsia="仿宋_GB2312"/>
          <w:sz w:val="32"/>
          <w:szCs w:val="32"/>
        </w:rPr>
        <w:t>.</w:t>
      </w:r>
      <w:r w:rsidR="006572CB">
        <w:rPr>
          <w:rFonts w:ascii="仿宋_GB2312" w:eastAsia="仿宋_GB2312" w:hint="eastAsia"/>
          <w:sz w:val="32"/>
          <w:szCs w:val="32"/>
        </w:rPr>
        <w:t>基本支出：指为保障机构正常运转、完成日常工作任务而发生的人员支出和公用支出。</w:t>
      </w:r>
    </w:p>
    <w:p w:rsidR="00457321" w:rsidRDefault="0072466D">
      <w:pPr>
        <w:ind w:firstLineChars="200" w:firstLine="640"/>
        <w:rPr>
          <w:rFonts w:ascii="仿宋_GB2312" w:eastAsia="仿宋_GB2312"/>
          <w:sz w:val="32"/>
          <w:szCs w:val="32"/>
        </w:rPr>
      </w:pPr>
      <w:r>
        <w:rPr>
          <w:rFonts w:ascii="仿宋_GB2312" w:eastAsia="仿宋_GB2312" w:hint="eastAsia"/>
          <w:sz w:val="32"/>
          <w:szCs w:val="32"/>
        </w:rPr>
        <w:t>31</w:t>
      </w:r>
      <w:r w:rsidR="006572CB">
        <w:rPr>
          <w:rFonts w:ascii="仿宋_GB2312" w:eastAsia="仿宋_GB2312"/>
          <w:sz w:val="32"/>
          <w:szCs w:val="32"/>
        </w:rPr>
        <w:t>.</w:t>
      </w:r>
      <w:r w:rsidR="006572CB">
        <w:rPr>
          <w:rFonts w:ascii="仿宋_GB2312" w:eastAsia="仿宋_GB2312" w:hint="eastAsia"/>
          <w:sz w:val="32"/>
          <w:szCs w:val="32"/>
        </w:rPr>
        <w:t>项目支出：指在基本支出之外为完成特定行政任务和事业发展目标所发生的支出。</w:t>
      </w:r>
    </w:p>
    <w:p w:rsidR="00457321" w:rsidRDefault="0072466D">
      <w:pPr>
        <w:ind w:firstLineChars="200" w:firstLine="640"/>
        <w:rPr>
          <w:rFonts w:ascii="仿宋_GB2312" w:eastAsia="仿宋_GB2312"/>
          <w:sz w:val="32"/>
          <w:szCs w:val="32"/>
        </w:rPr>
      </w:pPr>
      <w:r>
        <w:rPr>
          <w:rFonts w:ascii="仿宋_GB2312" w:eastAsia="仿宋_GB2312" w:hint="eastAsia"/>
          <w:sz w:val="32"/>
          <w:szCs w:val="32"/>
        </w:rPr>
        <w:t>32</w:t>
      </w:r>
      <w:r w:rsidR="006572CB">
        <w:rPr>
          <w:rFonts w:ascii="仿宋_GB2312" w:eastAsia="仿宋_GB2312"/>
          <w:sz w:val="32"/>
          <w:szCs w:val="32"/>
        </w:rPr>
        <w:t>.</w:t>
      </w:r>
      <w:r w:rsidR="006572CB">
        <w:rPr>
          <w:rFonts w:ascii="仿宋_GB2312" w:eastAsia="仿宋_GB2312" w:hint="eastAsia"/>
          <w:sz w:val="32"/>
          <w:szCs w:val="32"/>
        </w:rPr>
        <w:t>经营支出：指事业单位在专业业务活动及其辅助活动之外开展非独立核算经营活动发生的支出。</w:t>
      </w:r>
    </w:p>
    <w:p w:rsidR="00457321" w:rsidRDefault="006572CB">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sidR="0072466D">
        <w:rPr>
          <w:rFonts w:ascii="仿宋_GB2312" w:eastAsia="仿宋_GB2312" w:hint="eastAsia"/>
          <w:color w:val="auto"/>
          <w:sz w:val="32"/>
          <w:szCs w:val="32"/>
        </w:rPr>
        <w:t>3</w:t>
      </w:r>
      <w:r>
        <w:rPr>
          <w:rFonts w:ascii="仿宋_GB2312" w:eastAsia="仿宋_GB2312"/>
          <w:color w:val="auto"/>
          <w:sz w:val="32"/>
          <w:szCs w:val="32"/>
        </w:rPr>
        <w:t>.</w:t>
      </w:r>
      <w:r>
        <w:rPr>
          <w:rFonts w:ascii="仿宋_GB2312" w:eastAsia="仿宋_GB2312" w:hint="eastAsia"/>
          <w:color w:val="auto"/>
          <w:sz w:val="32"/>
          <w:szCs w:val="32"/>
        </w:rPr>
        <w:t>“三公”经费：指部门用财政拨款安排的因公出国（境）费、公务用车购置及运行费和公务接待费。其中，因公出国（境）</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单位公务出国（境）的国际旅费、国外城市间交通费、住宿费、伙食费、培训费、公杂费等支出；公务用车购置及运行</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单位公务用车车辆购置支出（</w:t>
      </w:r>
      <w:proofErr w:type="gramStart"/>
      <w:r>
        <w:rPr>
          <w:rFonts w:ascii="仿宋_GB2312" w:eastAsia="仿宋_GB2312" w:hint="eastAsia"/>
          <w:color w:val="auto"/>
          <w:sz w:val="32"/>
          <w:szCs w:val="32"/>
        </w:rPr>
        <w:t>含车辆</w:t>
      </w:r>
      <w:proofErr w:type="gramEnd"/>
      <w:r>
        <w:rPr>
          <w:rFonts w:ascii="仿宋_GB2312" w:eastAsia="仿宋_GB2312" w:hint="eastAsia"/>
          <w:color w:val="auto"/>
          <w:sz w:val="32"/>
          <w:szCs w:val="32"/>
        </w:rPr>
        <w:t>购置税）及租用费、燃料费、维修费、过路过桥费、保险费等支出；公务接待</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单位按规定开支的各类公务接待（含外宾接待）支出。</w:t>
      </w:r>
    </w:p>
    <w:p w:rsidR="00457321" w:rsidRDefault="006572CB">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sidR="0072466D">
        <w:rPr>
          <w:rFonts w:ascii="仿宋_GB2312" w:eastAsia="仿宋_GB2312" w:hint="eastAsia"/>
          <w:color w:val="auto"/>
          <w:sz w:val="32"/>
          <w:szCs w:val="32"/>
        </w:rPr>
        <w:t>4</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57321" w:rsidRDefault="006572CB">
      <w:pPr>
        <w:spacing w:line="600" w:lineRule="exact"/>
        <w:jc w:val="center"/>
        <w:outlineLvl w:val="0"/>
        <w:rPr>
          <w:rStyle w:val="1Char"/>
          <w:rFonts w:ascii="黑体" w:eastAsia="黑体" w:hAnsi="黑体"/>
          <w:b w:val="0"/>
        </w:rPr>
      </w:pPr>
      <w:bookmarkStart w:id="58" w:name="_Toc15377226"/>
      <w:r>
        <w:rPr>
          <w:rFonts w:ascii="宋体"/>
          <w:b/>
          <w:sz w:val="44"/>
          <w:szCs w:val="44"/>
        </w:rPr>
        <w:br w:type="page"/>
      </w:r>
      <w:bookmarkStart w:id="59" w:name="_Toc15396614"/>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59"/>
    </w:p>
    <w:p w:rsidR="00457321" w:rsidRDefault="006572CB">
      <w:pPr>
        <w:spacing w:line="572" w:lineRule="exact"/>
        <w:jc w:val="left"/>
        <w:outlineLvl w:val="0"/>
        <w:rPr>
          <w:rFonts w:ascii="方正小标宋简体" w:eastAsia="方正小标宋简体" w:hAnsi="方正小标宋简体" w:cs="方正小标宋简体"/>
          <w:sz w:val="44"/>
          <w:szCs w:val="44"/>
        </w:rPr>
      </w:pPr>
      <w:r>
        <w:rPr>
          <w:rFonts w:ascii="黑体" w:eastAsia="黑体" w:hAnsi="黑体" w:cs="黑体" w:hint="eastAsia"/>
          <w:sz w:val="32"/>
          <w:szCs w:val="32"/>
        </w:rPr>
        <w:t>附件</w:t>
      </w:r>
    </w:p>
    <w:p w:rsidR="00457321" w:rsidRDefault="006572CB">
      <w:pPr>
        <w:spacing w:line="572" w:lineRule="exact"/>
        <w:jc w:val="center"/>
        <w:rPr>
          <w:rFonts w:ascii="方正小标宋简体" w:eastAsia="方正小标宋简体" w:hAnsi="宋体"/>
          <w:kern w:val="0"/>
          <w:sz w:val="40"/>
          <w:szCs w:val="44"/>
          <w:lang w:val="zh-CN"/>
        </w:rPr>
      </w:pPr>
      <w:r>
        <w:rPr>
          <w:rFonts w:ascii="方正小标宋简体" w:eastAsia="方正小标宋简体" w:hAnsi="宋体" w:hint="eastAsia"/>
          <w:kern w:val="0"/>
          <w:sz w:val="40"/>
          <w:szCs w:val="44"/>
        </w:rPr>
        <w:t>2021年</w:t>
      </w:r>
      <w:r w:rsidR="00A6194C">
        <w:rPr>
          <w:rFonts w:ascii="方正小标宋简体" w:eastAsia="方正小标宋简体" w:hAnsi="宋体" w:hint="eastAsia"/>
          <w:kern w:val="0"/>
          <w:sz w:val="40"/>
          <w:szCs w:val="44"/>
        </w:rPr>
        <w:t>盐边县自然资源和规划局</w:t>
      </w:r>
      <w:r>
        <w:rPr>
          <w:rFonts w:ascii="方正小标宋简体" w:eastAsia="方正小标宋简体" w:hAnsi="宋体" w:hint="eastAsia"/>
          <w:kern w:val="0"/>
          <w:sz w:val="40"/>
          <w:szCs w:val="44"/>
        </w:rPr>
        <w:t>部</w:t>
      </w:r>
      <w:proofErr w:type="gramStart"/>
      <w:r>
        <w:rPr>
          <w:rFonts w:ascii="方正小标宋简体" w:eastAsia="方正小标宋简体" w:hAnsi="宋体" w:hint="eastAsia"/>
          <w:kern w:val="0"/>
          <w:sz w:val="40"/>
          <w:szCs w:val="44"/>
        </w:rPr>
        <w:t>门整体</w:t>
      </w:r>
      <w:proofErr w:type="gramEnd"/>
      <w:r>
        <w:rPr>
          <w:rFonts w:ascii="方正小标宋简体" w:eastAsia="方正小标宋简体" w:hAnsi="宋体" w:hint="eastAsia"/>
          <w:kern w:val="0"/>
          <w:sz w:val="40"/>
          <w:szCs w:val="44"/>
        </w:rPr>
        <w:t>绩效评价报告</w:t>
      </w:r>
    </w:p>
    <w:p w:rsidR="00457321" w:rsidRDefault="00457321">
      <w:pPr>
        <w:widowControl/>
        <w:adjustRightInd w:val="0"/>
        <w:snapToGrid w:val="0"/>
        <w:spacing w:line="572" w:lineRule="exact"/>
        <w:ind w:firstLineChars="200" w:firstLine="480"/>
        <w:contextualSpacing/>
        <w:jc w:val="left"/>
        <w:rPr>
          <w:rFonts w:ascii="黑体" w:eastAsia="黑体" w:hAnsi="宋体" w:cs="宋体"/>
          <w:kern w:val="0"/>
          <w:sz w:val="24"/>
          <w:szCs w:val="32"/>
          <w:shd w:val="clear" w:color="auto" w:fill="FFFFFF"/>
        </w:rPr>
      </w:pPr>
    </w:p>
    <w:p w:rsidR="00457321" w:rsidRDefault="006572CB">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lang w:val="zh-CN"/>
        </w:rPr>
      </w:pPr>
      <w:r>
        <w:rPr>
          <w:rFonts w:ascii="黑体" w:eastAsia="黑体" w:hAnsi="宋体" w:cs="宋体" w:hint="eastAsia"/>
          <w:kern w:val="0"/>
          <w:sz w:val="32"/>
          <w:szCs w:val="32"/>
          <w:shd w:val="clear" w:color="auto" w:fill="FFFFFF"/>
        </w:rPr>
        <w:t>一、</w:t>
      </w:r>
      <w:r>
        <w:rPr>
          <w:rFonts w:ascii="黑体" w:eastAsia="黑体" w:hAnsi="宋体" w:cs="宋体" w:hint="eastAsia"/>
          <w:kern w:val="0"/>
          <w:sz w:val="32"/>
          <w:szCs w:val="32"/>
          <w:shd w:val="clear" w:color="auto" w:fill="FFFFFF"/>
          <w:lang w:val="zh-CN"/>
        </w:rPr>
        <w:t>部门（单位）概况</w:t>
      </w:r>
    </w:p>
    <w:p w:rsidR="00457321" w:rsidRPr="00A6194C" w:rsidRDefault="006572CB">
      <w:pPr>
        <w:widowControl/>
        <w:adjustRightInd w:val="0"/>
        <w:snapToGrid w:val="0"/>
        <w:spacing w:line="572" w:lineRule="exact"/>
        <w:ind w:firstLineChars="200" w:firstLine="640"/>
        <w:contextualSpacing/>
        <w:jc w:val="left"/>
        <w:rPr>
          <w:rFonts w:ascii="楷体" w:eastAsia="楷体" w:hAnsi="楷体" w:cs="宋体"/>
          <w:kern w:val="0"/>
          <w:sz w:val="32"/>
          <w:szCs w:val="32"/>
          <w:shd w:val="clear" w:color="auto" w:fill="FFFFFF"/>
          <w:lang w:val="zh-CN"/>
        </w:rPr>
      </w:pPr>
      <w:r w:rsidRPr="00A6194C">
        <w:rPr>
          <w:rFonts w:ascii="楷体" w:eastAsia="楷体" w:hAnsi="楷体" w:cs="宋体" w:hint="eastAsia"/>
          <w:kern w:val="0"/>
          <w:sz w:val="32"/>
          <w:szCs w:val="32"/>
          <w:shd w:val="clear" w:color="auto" w:fill="FFFFFF"/>
          <w:lang w:val="zh-CN"/>
        </w:rPr>
        <w:t>（一）机构组成。</w:t>
      </w:r>
    </w:p>
    <w:p w:rsidR="00A6194C" w:rsidRPr="00A6194C" w:rsidRDefault="00A6194C" w:rsidP="00A6194C">
      <w:pPr>
        <w:pStyle w:val="a0"/>
        <w:spacing w:before="93"/>
        <w:ind w:firstLineChars="200" w:firstLine="640"/>
        <w:rPr>
          <w:lang w:val="zh-CN"/>
        </w:rPr>
      </w:pPr>
      <w:r w:rsidRPr="00431B8A">
        <w:rPr>
          <w:rFonts w:ascii="Times New Roman"/>
          <w:sz w:val="32"/>
          <w:szCs w:val="32"/>
        </w:rPr>
        <w:t>盐边县自然资源和规划局下属事业单位</w:t>
      </w:r>
      <w:r w:rsidRPr="00431B8A">
        <w:rPr>
          <w:rFonts w:ascii="Times New Roman"/>
          <w:sz w:val="32"/>
          <w:szCs w:val="32"/>
        </w:rPr>
        <w:t>12</w:t>
      </w:r>
      <w:r w:rsidRPr="00431B8A">
        <w:rPr>
          <w:rFonts w:ascii="Times New Roman"/>
          <w:sz w:val="32"/>
          <w:szCs w:val="32"/>
        </w:rPr>
        <w:t>个，参照公务员法管理的事业单位</w:t>
      </w:r>
      <w:r w:rsidRPr="00431B8A">
        <w:rPr>
          <w:rFonts w:ascii="Times New Roman"/>
          <w:sz w:val="32"/>
          <w:szCs w:val="32"/>
        </w:rPr>
        <w:t>1</w:t>
      </w:r>
      <w:r w:rsidRPr="00431B8A">
        <w:rPr>
          <w:rFonts w:ascii="Times New Roman"/>
          <w:sz w:val="32"/>
          <w:szCs w:val="32"/>
        </w:rPr>
        <w:t>个。</w:t>
      </w:r>
      <w:r w:rsidRPr="00431B8A">
        <w:rPr>
          <w:rFonts w:ascii="Times New Roman"/>
          <w:sz w:val="32"/>
          <w:szCs w:val="32"/>
        </w:rPr>
        <w:t>12</w:t>
      </w:r>
      <w:r w:rsidRPr="00431B8A">
        <w:rPr>
          <w:rFonts w:ascii="Times New Roman"/>
          <w:sz w:val="32"/>
          <w:szCs w:val="32"/>
        </w:rPr>
        <w:t>个事业单位分别是盐边县土地矿产储备开发中心、盐边县不动产登记中心、盐边县土地征收协调办公室、盐边县城乡规划编制研究中心、盐边县桐子林国土资源所、盐边县红格国土资源所、盐边县红果国土资源所、盐边</w:t>
      </w:r>
      <w:proofErr w:type="gramStart"/>
      <w:r w:rsidRPr="00431B8A">
        <w:rPr>
          <w:rFonts w:ascii="Times New Roman"/>
          <w:sz w:val="32"/>
          <w:szCs w:val="32"/>
        </w:rPr>
        <w:t>县渔门国土</w:t>
      </w:r>
      <w:proofErr w:type="gramEnd"/>
      <w:r w:rsidRPr="00431B8A">
        <w:rPr>
          <w:rFonts w:ascii="Times New Roman"/>
          <w:sz w:val="32"/>
          <w:szCs w:val="32"/>
        </w:rPr>
        <w:t>资源所、盐边县国胜国土资源所、盐边县永兴国土资源所、</w:t>
      </w:r>
      <w:proofErr w:type="gramStart"/>
      <w:r w:rsidRPr="00431B8A">
        <w:rPr>
          <w:rFonts w:ascii="Times New Roman"/>
          <w:sz w:val="32"/>
          <w:szCs w:val="32"/>
        </w:rPr>
        <w:t>盐边县格萨拉</w:t>
      </w:r>
      <w:proofErr w:type="gramEnd"/>
      <w:r w:rsidRPr="00431B8A">
        <w:rPr>
          <w:rFonts w:ascii="Times New Roman"/>
          <w:sz w:val="32"/>
          <w:szCs w:val="32"/>
        </w:rPr>
        <w:t>国土资源所、盐边县共和国土资源所；</w:t>
      </w:r>
      <w:proofErr w:type="gramStart"/>
      <w:r w:rsidRPr="00431B8A">
        <w:rPr>
          <w:rFonts w:ascii="Times New Roman"/>
          <w:sz w:val="32"/>
          <w:szCs w:val="32"/>
        </w:rPr>
        <w:t>1</w:t>
      </w:r>
      <w:r w:rsidRPr="00431B8A">
        <w:rPr>
          <w:rFonts w:ascii="Times New Roman"/>
          <w:sz w:val="32"/>
          <w:szCs w:val="32"/>
        </w:rPr>
        <w:t>个参公事业单位</w:t>
      </w:r>
      <w:proofErr w:type="gramEnd"/>
      <w:r w:rsidRPr="00431B8A">
        <w:rPr>
          <w:rFonts w:ascii="Times New Roman"/>
          <w:sz w:val="32"/>
          <w:szCs w:val="32"/>
        </w:rPr>
        <w:t>是盐边县国土资源执法监察大队。</w:t>
      </w:r>
    </w:p>
    <w:p w:rsidR="00457321" w:rsidRPr="00A6194C" w:rsidRDefault="006572CB">
      <w:pPr>
        <w:widowControl/>
        <w:adjustRightInd w:val="0"/>
        <w:snapToGrid w:val="0"/>
        <w:spacing w:line="572" w:lineRule="exact"/>
        <w:ind w:firstLineChars="200" w:firstLine="640"/>
        <w:contextualSpacing/>
        <w:jc w:val="left"/>
        <w:rPr>
          <w:rFonts w:ascii="楷体" w:eastAsia="楷体" w:hAnsi="楷体" w:cs="宋体"/>
          <w:kern w:val="0"/>
          <w:sz w:val="32"/>
          <w:szCs w:val="32"/>
          <w:shd w:val="clear" w:color="auto" w:fill="FFFFFF"/>
          <w:lang w:val="zh-CN"/>
        </w:rPr>
      </w:pPr>
      <w:r w:rsidRPr="00A6194C">
        <w:rPr>
          <w:rFonts w:ascii="楷体" w:eastAsia="楷体" w:hAnsi="楷体" w:cs="宋体" w:hint="eastAsia"/>
          <w:kern w:val="0"/>
          <w:sz w:val="32"/>
          <w:szCs w:val="32"/>
          <w:shd w:val="clear" w:color="auto" w:fill="FFFFFF"/>
          <w:lang w:val="zh-CN"/>
        </w:rPr>
        <w:t>（二）机构职能。</w:t>
      </w:r>
    </w:p>
    <w:p w:rsidR="00A6194C" w:rsidRPr="00A6194C" w:rsidRDefault="00A6194C" w:rsidP="00A6194C">
      <w:pPr>
        <w:pStyle w:val="a0"/>
        <w:spacing w:before="93"/>
        <w:rPr>
          <w:lang w:val="zh-CN"/>
        </w:rPr>
      </w:pPr>
      <w:r>
        <w:rPr>
          <w:rFonts w:hint="eastAsia"/>
          <w:lang w:val="zh-CN"/>
        </w:rPr>
        <w:t xml:space="preserve">    </w:t>
      </w:r>
      <w:r w:rsidRPr="00431B8A">
        <w:rPr>
          <w:rFonts w:ascii="Times New Roman"/>
          <w:sz w:val="32"/>
          <w:szCs w:val="32"/>
        </w:rPr>
        <w:t>盐边县自然资源和规划局主要职责是按照规定权限，履行全民所有土地、矿产、水等自然资源资产所有者职责和所有国土空间用途管制职责。贯彻执行国家、省、市有关自然资源和国土空间规划及测绘等方面的法律、法规、规章，制定有关政策措施并组织实施等各种涉及自然资源的工作。负</w:t>
      </w:r>
      <w:r w:rsidRPr="00431B8A">
        <w:rPr>
          <w:rFonts w:ascii="Times New Roman"/>
          <w:sz w:val="32"/>
          <w:szCs w:val="32"/>
        </w:rPr>
        <w:lastRenderedPageBreak/>
        <w:t>责县政府机关的上情下达，下情上报及上级机关交办的其他工作。</w:t>
      </w:r>
    </w:p>
    <w:p w:rsidR="00457321" w:rsidRPr="00A6194C" w:rsidRDefault="006572CB">
      <w:pPr>
        <w:widowControl/>
        <w:adjustRightInd w:val="0"/>
        <w:snapToGrid w:val="0"/>
        <w:spacing w:line="572" w:lineRule="exact"/>
        <w:ind w:firstLineChars="200" w:firstLine="640"/>
        <w:contextualSpacing/>
        <w:jc w:val="left"/>
        <w:rPr>
          <w:rFonts w:ascii="楷体" w:eastAsia="楷体" w:hAnsi="楷体" w:cs="宋体"/>
          <w:kern w:val="0"/>
          <w:sz w:val="32"/>
          <w:szCs w:val="32"/>
          <w:shd w:val="clear" w:color="auto" w:fill="FFFFFF"/>
          <w:lang w:val="zh-CN"/>
        </w:rPr>
      </w:pPr>
      <w:r w:rsidRPr="00A6194C">
        <w:rPr>
          <w:rFonts w:ascii="楷体" w:eastAsia="楷体" w:hAnsi="楷体" w:cs="宋体" w:hint="eastAsia"/>
          <w:kern w:val="0"/>
          <w:sz w:val="32"/>
          <w:szCs w:val="32"/>
          <w:shd w:val="clear" w:color="auto" w:fill="FFFFFF"/>
          <w:lang w:val="zh-CN"/>
        </w:rPr>
        <w:t>（三）人员概况。</w:t>
      </w:r>
    </w:p>
    <w:p w:rsidR="00A6194C" w:rsidRPr="00431B8A" w:rsidRDefault="00A6194C" w:rsidP="00A6194C">
      <w:pPr>
        <w:widowControl/>
        <w:adjustRightInd w:val="0"/>
        <w:snapToGrid w:val="0"/>
        <w:spacing w:line="600" w:lineRule="exact"/>
        <w:ind w:firstLineChars="200" w:firstLine="420"/>
        <w:contextualSpacing/>
        <w:jc w:val="left"/>
        <w:rPr>
          <w:rFonts w:eastAsia="仿宋_GB2312"/>
          <w:sz w:val="32"/>
          <w:szCs w:val="32"/>
        </w:rPr>
      </w:pPr>
      <w:r>
        <w:rPr>
          <w:rFonts w:hint="eastAsia"/>
          <w:lang w:val="zh-CN"/>
        </w:rPr>
        <w:t xml:space="preserve">    </w:t>
      </w:r>
      <w:r w:rsidRPr="00431B8A">
        <w:rPr>
          <w:rFonts w:eastAsia="仿宋_GB2312"/>
          <w:sz w:val="32"/>
          <w:szCs w:val="32"/>
        </w:rPr>
        <w:t>盐边县自然资源和规划局机关及下属事业单位核定编制</w:t>
      </w:r>
      <w:r w:rsidRPr="00431B8A">
        <w:rPr>
          <w:rFonts w:eastAsia="仿宋_GB2312"/>
          <w:sz w:val="32"/>
          <w:szCs w:val="32"/>
        </w:rPr>
        <w:t>70</w:t>
      </w:r>
      <w:r w:rsidRPr="00431B8A">
        <w:rPr>
          <w:rFonts w:eastAsia="仿宋_GB2312"/>
          <w:sz w:val="32"/>
          <w:szCs w:val="32"/>
        </w:rPr>
        <w:t>人，其中公务员编制</w:t>
      </w:r>
      <w:r w:rsidRPr="00431B8A">
        <w:rPr>
          <w:rFonts w:eastAsia="仿宋_GB2312"/>
          <w:sz w:val="32"/>
          <w:szCs w:val="32"/>
        </w:rPr>
        <w:t>10</w:t>
      </w:r>
      <w:r w:rsidRPr="00431B8A">
        <w:rPr>
          <w:rFonts w:eastAsia="仿宋_GB2312"/>
          <w:sz w:val="32"/>
          <w:szCs w:val="32"/>
        </w:rPr>
        <w:t>人、参照公务员管理编制</w:t>
      </w:r>
      <w:r w:rsidRPr="00431B8A">
        <w:rPr>
          <w:rFonts w:eastAsia="仿宋_GB2312"/>
          <w:sz w:val="32"/>
          <w:szCs w:val="32"/>
        </w:rPr>
        <w:t>22</w:t>
      </w:r>
      <w:r w:rsidRPr="00431B8A">
        <w:rPr>
          <w:rFonts w:eastAsia="仿宋_GB2312"/>
          <w:sz w:val="32"/>
          <w:szCs w:val="32"/>
        </w:rPr>
        <w:t>人、事业编制</w:t>
      </w:r>
      <w:r w:rsidRPr="00431B8A">
        <w:rPr>
          <w:rFonts w:eastAsia="仿宋_GB2312"/>
          <w:sz w:val="32"/>
          <w:szCs w:val="32"/>
        </w:rPr>
        <w:t>37</w:t>
      </w:r>
      <w:r w:rsidRPr="00431B8A">
        <w:rPr>
          <w:rFonts w:eastAsia="仿宋_GB2312"/>
          <w:sz w:val="32"/>
          <w:szCs w:val="32"/>
        </w:rPr>
        <w:t>人、行政工勤编制</w:t>
      </w:r>
      <w:r w:rsidRPr="00431B8A">
        <w:rPr>
          <w:rFonts w:eastAsia="仿宋_GB2312"/>
          <w:sz w:val="32"/>
          <w:szCs w:val="32"/>
        </w:rPr>
        <w:t>1</w:t>
      </w:r>
      <w:r w:rsidRPr="00431B8A">
        <w:rPr>
          <w:rFonts w:eastAsia="仿宋_GB2312"/>
          <w:sz w:val="32"/>
          <w:szCs w:val="32"/>
        </w:rPr>
        <w:t>人。截至</w:t>
      </w:r>
      <w:r w:rsidRPr="00431B8A">
        <w:rPr>
          <w:rFonts w:eastAsia="仿宋_GB2312"/>
          <w:sz w:val="32"/>
          <w:szCs w:val="32"/>
        </w:rPr>
        <w:t>2021</w:t>
      </w:r>
      <w:r w:rsidRPr="00431B8A">
        <w:rPr>
          <w:rFonts w:eastAsia="仿宋_GB2312"/>
          <w:sz w:val="32"/>
          <w:szCs w:val="32"/>
        </w:rPr>
        <w:t>年</w:t>
      </w:r>
      <w:r w:rsidRPr="00431B8A">
        <w:rPr>
          <w:rFonts w:eastAsia="仿宋_GB2312"/>
          <w:sz w:val="32"/>
          <w:szCs w:val="32"/>
        </w:rPr>
        <w:t>12</w:t>
      </w:r>
      <w:r w:rsidRPr="00431B8A">
        <w:rPr>
          <w:rFonts w:eastAsia="仿宋_GB2312"/>
          <w:sz w:val="32"/>
          <w:szCs w:val="32"/>
        </w:rPr>
        <w:t>月</w:t>
      </w:r>
      <w:r w:rsidRPr="00431B8A">
        <w:rPr>
          <w:rFonts w:eastAsia="仿宋_GB2312"/>
          <w:sz w:val="32"/>
          <w:szCs w:val="32"/>
        </w:rPr>
        <w:t>31</w:t>
      </w:r>
      <w:r w:rsidRPr="00431B8A">
        <w:rPr>
          <w:rFonts w:eastAsia="仿宋_GB2312"/>
          <w:sz w:val="32"/>
          <w:szCs w:val="32"/>
        </w:rPr>
        <w:t>日，在编在岗</w:t>
      </w:r>
      <w:r w:rsidRPr="00431B8A">
        <w:rPr>
          <w:rFonts w:eastAsia="仿宋_GB2312"/>
          <w:sz w:val="32"/>
          <w:szCs w:val="32"/>
        </w:rPr>
        <w:t>50</w:t>
      </w:r>
      <w:r w:rsidRPr="00431B8A">
        <w:rPr>
          <w:rFonts w:eastAsia="仿宋_GB2312"/>
          <w:sz w:val="32"/>
          <w:szCs w:val="32"/>
        </w:rPr>
        <w:t>人，其中公务员</w:t>
      </w:r>
      <w:r w:rsidRPr="00431B8A">
        <w:rPr>
          <w:rFonts w:eastAsia="仿宋_GB2312"/>
          <w:sz w:val="32"/>
          <w:szCs w:val="32"/>
        </w:rPr>
        <w:t>9</w:t>
      </w:r>
      <w:r w:rsidRPr="00431B8A">
        <w:rPr>
          <w:rFonts w:eastAsia="仿宋_GB2312"/>
          <w:sz w:val="32"/>
          <w:szCs w:val="32"/>
        </w:rPr>
        <w:t>人、参照公务员管理人员</w:t>
      </w:r>
      <w:r w:rsidRPr="00431B8A">
        <w:rPr>
          <w:rFonts w:eastAsia="仿宋_GB2312"/>
          <w:sz w:val="32"/>
          <w:szCs w:val="32"/>
        </w:rPr>
        <w:t>5</w:t>
      </w:r>
      <w:r w:rsidRPr="00431B8A">
        <w:rPr>
          <w:rFonts w:eastAsia="仿宋_GB2312"/>
          <w:sz w:val="32"/>
          <w:szCs w:val="32"/>
        </w:rPr>
        <w:t>人、事业人员</w:t>
      </w:r>
      <w:r w:rsidRPr="00431B8A">
        <w:rPr>
          <w:rFonts w:eastAsia="仿宋_GB2312"/>
          <w:sz w:val="32"/>
          <w:szCs w:val="32"/>
        </w:rPr>
        <w:t>27</w:t>
      </w:r>
      <w:r w:rsidRPr="00431B8A">
        <w:rPr>
          <w:rFonts w:eastAsia="仿宋_GB2312"/>
          <w:sz w:val="32"/>
          <w:szCs w:val="32"/>
        </w:rPr>
        <w:t>人、行政工勤人员</w:t>
      </w:r>
      <w:r w:rsidRPr="00431B8A">
        <w:rPr>
          <w:rFonts w:eastAsia="仿宋_GB2312"/>
          <w:sz w:val="32"/>
          <w:szCs w:val="32"/>
        </w:rPr>
        <w:t>9</w:t>
      </w:r>
      <w:r w:rsidRPr="00431B8A">
        <w:rPr>
          <w:rFonts w:eastAsia="仿宋_GB2312"/>
          <w:sz w:val="32"/>
          <w:szCs w:val="32"/>
        </w:rPr>
        <w:t>人。</w:t>
      </w:r>
    </w:p>
    <w:p w:rsidR="00A6194C" w:rsidRPr="00A6194C" w:rsidRDefault="00A6194C" w:rsidP="00A6194C">
      <w:pPr>
        <w:pStyle w:val="a0"/>
        <w:spacing w:before="93"/>
        <w:rPr>
          <w:lang w:val="zh-CN"/>
        </w:rPr>
      </w:pPr>
      <w:r w:rsidRPr="00431B8A">
        <w:rPr>
          <w:rFonts w:ascii="Times New Roman"/>
          <w:sz w:val="32"/>
          <w:szCs w:val="32"/>
        </w:rPr>
        <w:t>因为机构改革等原因，我局仍存在部分编制超编情况，计划在以后年度加强与编制管理部门沟通，结合新人招录、老人退休等工作，逐步消化超编情况，规范单位编制管理。</w:t>
      </w:r>
    </w:p>
    <w:p w:rsidR="00457321" w:rsidRDefault="006572CB">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二、部门财政资金收支情况</w:t>
      </w:r>
    </w:p>
    <w:p w:rsidR="00457321" w:rsidRPr="0061711A" w:rsidRDefault="006572CB">
      <w:pPr>
        <w:widowControl/>
        <w:adjustRightInd w:val="0"/>
        <w:snapToGrid w:val="0"/>
        <w:spacing w:line="572" w:lineRule="exact"/>
        <w:ind w:firstLineChars="200" w:firstLine="640"/>
        <w:contextualSpacing/>
        <w:jc w:val="left"/>
        <w:rPr>
          <w:rFonts w:ascii="楷体" w:eastAsia="楷体" w:hAnsi="楷体" w:cs="宋体"/>
          <w:kern w:val="0"/>
          <w:sz w:val="32"/>
          <w:szCs w:val="32"/>
          <w:shd w:val="clear" w:color="auto" w:fill="FFFFFF"/>
          <w:lang w:val="zh-CN"/>
        </w:rPr>
      </w:pPr>
      <w:r w:rsidRPr="0061711A">
        <w:rPr>
          <w:rFonts w:ascii="楷体" w:eastAsia="楷体" w:hAnsi="楷体" w:cs="宋体" w:hint="eastAsia"/>
          <w:kern w:val="0"/>
          <w:sz w:val="32"/>
          <w:szCs w:val="32"/>
          <w:shd w:val="clear" w:color="auto" w:fill="FFFFFF"/>
          <w:lang w:val="zh-CN"/>
        </w:rPr>
        <w:t>（一）部门财政资金收入情况。</w:t>
      </w:r>
    </w:p>
    <w:p w:rsidR="0061711A" w:rsidRPr="0061711A" w:rsidRDefault="0061711A" w:rsidP="0061711A">
      <w:pPr>
        <w:pStyle w:val="a0"/>
        <w:spacing w:before="93"/>
        <w:rPr>
          <w:lang w:val="zh-CN"/>
        </w:rPr>
      </w:pPr>
      <w:r>
        <w:rPr>
          <w:rFonts w:hint="eastAsia"/>
          <w:lang w:val="zh-CN"/>
        </w:rPr>
        <w:t xml:space="preserve">    </w:t>
      </w:r>
      <w:r w:rsidRPr="00431B8A">
        <w:rPr>
          <w:rFonts w:ascii="Times New Roman"/>
          <w:sz w:val="32"/>
          <w:szCs w:val="32"/>
        </w:rPr>
        <w:t>2021</w:t>
      </w:r>
      <w:r w:rsidRPr="00431B8A">
        <w:rPr>
          <w:rFonts w:ascii="Times New Roman"/>
          <w:sz w:val="32"/>
          <w:szCs w:val="32"/>
        </w:rPr>
        <w:t>年盐边县自然资源和规划</w:t>
      </w:r>
      <w:proofErr w:type="gramStart"/>
      <w:r w:rsidRPr="00431B8A">
        <w:rPr>
          <w:rFonts w:ascii="Times New Roman"/>
          <w:sz w:val="32"/>
          <w:szCs w:val="32"/>
        </w:rPr>
        <w:t>局收入</w:t>
      </w:r>
      <w:proofErr w:type="gramEnd"/>
      <w:r w:rsidRPr="00431B8A">
        <w:rPr>
          <w:rFonts w:ascii="Times New Roman"/>
          <w:sz w:val="32"/>
          <w:szCs w:val="32"/>
        </w:rPr>
        <w:t>预算</w:t>
      </w:r>
      <w:r w:rsidRPr="00431B8A">
        <w:rPr>
          <w:rFonts w:ascii="Times New Roman"/>
          <w:sz w:val="32"/>
          <w:szCs w:val="32"/>
        </w:rPr>
        <w:t>5731.99</w:t>
      </w:r>
      <w:r w:rsidRPr="00431B8A">
        <w:rPr>
          <w:rFonts w:ascii="Times New Roman"/>
          <w:sz w:val="32"/>
          <w:szCs w:val="32"/>
        </w:rPr>
        <w:t>万元，其中一般公共预算财政拨款收入安排预算</w:t>
      </w:r>
      <w:r w:rsidRPr="00431B8A">
        <w:rPr>
          <w:rFonts w:ascii="Times New Roman"/>
          <w:sz w:val="32"/>
          <w:szCs w:val="32"/>
        </w:rPr>
        <w:t>2087.95</w:t>
      </w:r>
      <w:r w:rsidRPr="00431B8A">
        <w:rPr>
          <w:rFonts w:ascii="Times New Roman"/>
          <w:sz w:val="32"/>
          <w:szCs w:val="32"/>
        </w:rPr>
        <w:t>万元，占比</w:t>
      </w:r>
      <w:r w:rsidRPr="00431B8A">
        <w:rPr>
          <w:rFonts w:ascii="Times New Roman"/>
          <w:sz w:val="32"/>
          <w:szCs w:val="32"/>
        </w:rPr>
        <w:t>36.43%</w:t>
      </w:r>
      <w:r w:rsidRPr="00431B8A">
        <w:rPr>
          <w:rFonts w:ascii="Times New Roman"/>
          <w:sz w:val="32"/>
          <w:szCs w:val="32"/>
        </w:rPr>
        <w:t>、政府性基金预算财政拨款收入安排预算</w:t>
      </w:r>
      <w:r w:rsidRPr="00431B8A">
        <w:rPr>
          <w:rFonts w:ascii="Times New Roman"/>
          <w:sz w:val="32"/>
          <w:szCs w:val="32"/>
        </w:rPr>
        <w:t>1633.33</w:t>
      </w:r>
      <w:r w:rsidRPr="00431B8A">
        <w:rPr>
          <w:rFonts w:ascii="Times New Roman"/>
          <w:sz w:val="32"/>
          <w:szCs w:val="32"/>
        </w:rPr>
        <w:t>万元，占比</w:t>
      </w:r>
      <w:r w:rsidRPr="00431B8A">
        <w:rPr>
          <w:rFonts w:ascii="Times New Roman"/>
          <w:sz w:val="32"/>
          <w:szCs w:val="32"/>
        </w:rPr>
        <w:t>28.49%</w:t>
      </w:r>
      <w:r w:rsidRPr="00431B8A">
        <w:rPr>
          <w:rFonts w:ascii="Times New Roman"/>
          <w:sz w:val="32"/>
          <w:szCs w:val="32"/>
        </w:rPr>
        <w:t>、年初结转收入</w:t>
      </w:r>
      <w:r w:rsidRPr="00431B8A">
        <w:rPr>
          <w:rFonts w:ascii="Times New Roman"/>
          <w:sz w:val="32"/>
          <w:szCs w:val="32"/>
        </w:rPr>
        <w:t>2010.71</w:t>
      </w:r>
      <w:r w:rsidRPr="00431B8A">
        <w:rPr>
          <w:rFonts w:ascii="Times New Roman"/>
          <w:sz w:val="32"/>
          <w:szCs w:val="32"/>
        </w:rPr>
        <w:t>万元，占比</w:t>
      </w:r>
      <w:r w:rsidRPr="00431B8A">
        <w:rPr>
          <w:rFonts w:ascii="Times New Roman"/>
          <w:sz w:val="32"/>
          <w:szCs w:val="32"/>
        </w:rPr>
        <w:t>35.08%</w:t>
      </w:r>
      <w:r w:rsidRPr="00431B8A">
        <w:rPr>
          <w:rFonts w:ascii="Times New Roman"/>
          <w:sz w:val="32"/>
          <w:szCs w:val="32"/>
        </w:rPr>
        <w:t>。较上年收入预算减少</w:t>
      </w:r>
      <w:r w:rsidRPr="00431B8A">
        <w:rPr>
          <w:rFonts w:ascii="Times New Roman"/>
          <w:sz w:val="32"/>
          <w:szCs w:val="32"/>
        </w:rPr>
        <w:t>19515.88</w:t>
      </w:r>
      <w:r w:rsidRPr="00431B8A">
        <w:rPr>
          <w:rFonts w:ascii="Times New Roman"/>
          <w:sz w:val="32"/>
          <w:szCs w:val="32"/>
        </w:rPr>
        <w:t>万元，同比下降</w:t>
      </w:r>
      <w:r w:rsidRPr="00431B8A">
        <w:rPr>
          <w:rFonts w:ascii="Times New Roman"/>
          <w:sz w:val="32"/>
          <w:szCs w:val="32"/>
        </w:rPr>
        <w:t>340.47%</w:t>
      </w:r>
      <w:r w:rsidRPr="00431B8A">
        <w:rPr>
          <w:rFonts w:ascii="Times New Roman"/>
          <w:sz w:val="32"/>
          <w:szCs w:val="32"/>
        </w:rPr>
        <w:t>。无预算外其他收入。</w:t>
      </w:r>
    </w:p>
    <w:p w:rsidR="00457321" w:rsidRPr="0061711A" w:rsidRDefault="006572CB">
      <w:pPr>
        <w:widowControl/>
        <w:adjustRightInd w:val="0"/>
        <w:snapToGrid w:val="0"/>
        <w:spacing w:line="572" w:lineRule="exact"/>
        <w:ind w:firstLineChars="200" w:firstLine="640"/>
        <w:contextualSpacing/>
        <w:jc w:val="left"/>
        <w:rPr>
          <w:rFonts w:ascii="楷体" w:eastAsia="楷体" w:hAnsi="楷体" w:cs="宋体"/>
          <w:kern w:val="0"/>
          <w:sz w:val="32"/>
          <w:szCs w:val="32"/>
          <w:shd w:val="clear" w:color="auto" w:fill="FFFFFF"/>
          <w:lang w:val="zh-CN"/>
        </w:rPr>
      </w:pPr>
      <w:r w:rsidRPr="0061711A">
        <w:rPr>
          <w:rFonts w:ascii="楷体" w:eastAsia="楷体" w:hAnsi="楷体" w:cs="宋体" w:hint="eastAsia"/>
          <w:kern w:val="0"/>
          <w:sz w:val="32"/>
          <w:szCs w:val="32"/>
          <w:shd w:val="clear" w:color="auto" w:fill="FFFFFF"/>
          <w:lang w:val="zh-CN"/>
        </w:rPr>
        <w:t>（二）部门财政资金支出情况。</w:t>
      </w:r>
    </w:p>
    <w:p w:rsidR="0061711A" w:rsidRPr="0061711A" w:rsidRDefault="0061711A" w:rsidP="0061711A">
      <w:pPr>
        <w:pStyle w:val="a0"/>
        <w:spacing w:before="93"/>
        <w:rPr>
          <w:lang w:val="zh-CN"/>
        </w:rPr>
      </w:pPr>
      <w:r>
        <w:rPr>
          <w:rFonts w:hint="eastAsia"/>
          <w:lang w:val="zh-CN"/>
        </w:rPr>
        <w:t xml:space="preserve">    </w:t>
      </w:r>
      <w:r w:rsidRPr="00431B8A">
        <w:rPr>
          <w:rFonts w:ascii="Times New Roman"/>
          <w:sz w:val="32"/>
          <w:szCs w:val="32"/>
        </w:rPr>
        <w:t>2021</w:t>
      </w:r>
      <w:r w:rsidRPr="00431B8A">
        <w:rPr>
          <w:rFonts w:ascii="Times New Roman"/>
          <w:sz w:val="32"/>
          <w:szCs w:val="32"/>
        </w:rPr>
        <w:t>年度盐边县自然资源和规划局财政拨款支出</w:t>
      </w:r>
      <w:r w:rsidRPr="00431B8A">
        <w:rPr>
          <w:rFonts w:ascii="Times New Roman"/>
          <w:sz w:val="32"/>
          <w:szCs w:val="32"/>
        </w:rPr>
        <w:t>5731.99</w:t>
      </w:r>
      <w:r w:rsidRPr="00431B8A">
        <w:rPr>
          <w:rFonts w:ascii="Times New Roman"/>
          <w:sz w:val="32"/>
          <w:szCs w:val="32"/>
        </w:rPr>
        <w:t>万元，其中基本支出</w:t>
      </w:r>
      <w:r w:rsidRPr="00431B8A">
        <w:rPr>
          <w:rFonts w:ascii="Times New Roman"/>
          <w:sz w:val="32"/>
          <w:szCs w:val="32"/>
        </w:rPr>
        <w:t>1105.93</w:t>
      </w:r>
      <w:r w:rsidRPr="00431B8A">
        <w:rPr>
          <w:rFonts w:ascii="Times New Roman"/>
          <w:sz w:val="32"/>
          <w:szCs w:val="32"/>
        </w:rPr>
        <w:t>万元，项目支出</w:t>
      </w:r>
      <w:r w:rsidRPr="00431B8A">
        <w:rPr>
          <w:rFonts w:ascii="Times New Roman"/>
          <w:sz w:val="32"/>
          <w:szCs w:val="32"/>
        </w:rPr>
        <w:t>4626.06</w:t>
      </w:r>
      <w:r w:rsidRPr="00431B8A">
        <w:rPr>
          <w:rFonts w:ascii="Times New Roman"/>
          <w:sz w:val="32"/>
          <w:szCs w:val="32"/>
        </w:rPr>
        <w:lastRenderedPageBreak/>
        <w:t>万元。用于社会保障和就业支出</w:t>
      </w:r>
      <w:r w:rsidRPr="00431B8A">
        <w:rPr>
          <w:rFonts w:ascii="Times New Roman"/>
          <w:sz w:val="32"/>
          <w:szCs w:val="32"/>
        </w:rPr>
        <w:t>153</w:t>
      </w:r>
      <w:r w:rsidRPr="00431B8A">
        <w:rPr>
          <w:rFonts w:ascii="Times New Roman"/>
          <w:sz w:val="32"/>
          <w:szCs w:val="32"/>
        </w:rPr>
        <w:t>万元，占比</w:t>
      </w:r>
      <w:r w:rsidRPr="00431B8A">
        <w:rPr>
          <w:rFonts w:ascii="Times New Roman"/>
          <w:sz w:val="32"/>
          <w:szCs w:val="32"/>
        </w:rPr>
        <w:t>2.67%</w:t>
      </w:r>
      <w:r w:rsidRPr="00431B8A">
        <w:rPr>
          <w:rFonts w:ascii="Times New Roman"/>
          <w:sz w:val="32"/>
          <w:szCs w:val="32"/>
        </w:rPr>
        <w:t>、卫生健康支出</w:t>
      </w:r>
      <w:r w:rsidRPr="00431B8A">
        <w:rPr>
          <w:rFonts w:ascii="Times New Roman"/>
          <w:sz w:val="32"/>
          <w:szCs w:val="32"/>
        </w:rPr>
        <w:t>56.17</w:t>
      </w:r>
      <w:r w:rsidRPr="00431B8A">
        <w:rPr>
          <w:rFonts w:ascii="Times New Roman"/>
          <w:sz w:val="32"/>
          <w:szCs w:val="32"/>
        </w:rPr>
        <w:t>万元，占比</w:t>
      </w:r>
      <w:r w:rsidRPr="00431B8A">
        <w:rPr>
          <w:rFonts w:ascii="Times New Roman"/>
          <w:sz w:val="32"/>
          <w:szCs w:val="32"/>
        </w:rPr>
        <w:t>0.98%</w:t>
      </w:r>
      <w:r w:rsidRPr="00431B8A">
        <w:rPr>
          <w:rFonts w:ascii="Times New Roman"/>
          <w:sz w:val="32"/>
          <w:szCs w:val="32"/>
        </w:rPr>
        <w:t>、节能环保支出</w:t>
      </w:r>
      <w:r w:rsidRPr="00431B8A">
        <w:rPr>
          <w:rFonts w:ascii="Times New Roman"/>
          <w:sz w:val="32"/>
          <w:szCs w:val="32"/>
        </w:rPr>
        <w:t>5.08</w:t>
      </w:r>
      <w:r w:rsidRPr="00431B8A">
        <w:rPr>
          <w:rFonts w:ascii="Times New Roman"/>
          <w:sz w:val="32"/>
          <w:szCs w:val="32"/>
        </w:rPr>
        <w:t>万元，占比</w:t>
      </w:r>
      <w:r w:rsidRPr="00431B8A">
        <w:rPr>
          <w:rFonts w:ascii="Times New Roman"/>
          <w:sz w:val="32"/>
          <w:szCs w:val="32"/>
        </w:rPr>
        <w:t>0.09%</w:t>
      </w:r>
      <w:r w:rsidRPr="00431B8A">
        <w:rPr>
          <w:rFonts w:ascii="Times New Roman"/>
          <w:sz w:val="32"/>
          <w:szCs w:val="32"/>
        </w:rPr>
        <w:t>、城乡社区支出</w:t>
      </w:r>
      <w:r w:rsidRPr="00431B8A">
        <w:rPr>
          <w:rFonts w:ascii="Times New Roman"/>
          <w:sz w:val="32"/>
          <w:szCs w:val="32"/>
        </w:rPr>
        <w:t>2166.35</w:t>
      </w:r>
      <w:r w:rsidRPr="00431B8A">
        <w:rPr>
          <w:rFonts w:ascii="Times New Roman"/>
          <w:sz w:val="32"/>
          <w:szCs w:val="32"/>
        </w:rPr>
        <w:t>万元，占比</w:t>
      </w:r>
      <w:r w:rsidRPr="00431B8A">
        <w:rPr>
          <w:rFonts w:ascii="Times New Roman"/>
          <w:sz w:val="32"/>
          <w:szCs w:val="32"/>
        </w:rPr>
        <w:t>37.79%</w:t>
      </w:r>
      <w:r w:rsidRPr="00431B8A">
        <w:rPr>
          <w:rFonts w:ascii="Times New Roman"/>
          <w:sz w:val="32"/>
          <w:szCs w:val="32"/>
        </w:rPr>
        <w:t>、农林水支出</w:t>
      </w:r>
      <w:r w:rsidRPr="00431B8A">
        <w:rPr>
          <w:rFonts w:ascii="Times New Roman"/>
          <w:sz w:val="32"/>
          <w:szCs w:val="32"/>
        </w:rPr>
        <w:t>396.95</w:t>
      </w:r>
      <w:r w:rsidRPr="00431B8A">
        <w:rPr>
          <w:rFonts w:ascii="Times New Roman"/>
          <w:sz w:val="32"/>
          <w:szCs w:val="32"/>
        </w:rPr>
        <w:t>万元，占比</w:t>
      </w:r>
      <w:r w:rsidRPr="00431B8A">
        <w:rPr>
          <w:rFonts w:ascii="Times New Roman"/>
          <w:sz w:val="32"/>
          <w:szCs w:val="32"/>
        </w:rPr>
        <w:t>6.93%</w:t>
      </w:r>
      <w:r w:rsidRPr="00431B8A">
        <w:rPr>
          <w:rFonts w:ascii="Times New Roman"/>
          <w:sz w:val="32"/>
          <w:szCs w:val="32"/>
        </w:rPr>
        <w:t>、自然资源海洋气象等支出</w:t>
      </w:r>
      <w:r w:rsidRPr="00431B8A">
        <w:rPr>
          <w:rFonts w:ascii="Times New Roman"/>
          <w:sz w:val="32"/>
          <w:szCs w:val="32"/>
        </w:rPr>
        <w:t>1137.15</w:t>
      </w:r>
      <w:r w:rsidRPr="00431B8A">
        <w:rPr>
          <w:rFonts w:ascii="Times New Roman"/>
          <w:sz w:val="32"/>
          <w:szCs w:val="32"/>
        </w:rPr>
        <w:t>万元，占比</w:t>
      </w:r>
      <w:r w:rsidRPr="00431B8A">
        <w:rPr>
          <w:rFonts w:ascii="Times New Roman"/>
          <w:sz w:val="32"/>
          <w:szCs w:val="32"/>
        </w:rPr>
        <w:t>19.84%</w:t>
      </w:r>
      <w:r w:rsidRPr="00431B8A">
        <w:rPr>
          <w:rFonts w:ascii="Times New Roman"/>
          <w:sz w:val="32"/>
          <w:szCs w:val="32"/>
        </w:rPr>
        <w:t>、住房保障支出</w:t>
      </w:r>
      <w:r w:rsidRPr="00431B8A">
        <w:rPr>
          <w:rFonts w:ascii="Times New Roman"/>
          <w:sz w:val="32"/>
          <w:szCs w:val="32"/>
        </w:rPr>
        <w:t>90.47</w:t>
      </w:r>
      <w:r w:rsidRPr="00431B8A">
        <w:rPr>
          <w:rFonts w:ascii="Times New Roman"/>
          <w:sz w:val="32"/>
          <w:szCs w:val="32"/>
        </w:rPr>
        <w:t>万元，占比</w:t>
      </w:r>
      <w:r w:rsidRPr="00431B8A">
        <w:rPr>
          <w:rFonts w:ascii="Times New Roman"/>
          <w:sz w:val="32"/>
          <w:szCs w:val="32"/>
        </w:rPr>
        <w:t>1.58%</w:t>
      </w:r>
      <w:r w:rsidRPr="00431B8A">
        <w:rPr>
          <w:rFonts w:ascii="Times New Roman"/>
          <w:sz w:val="32"/>
          <w:szCs w:val="32"/>
        </w:rPr>
        <w:t>、灾害防治及应急管理支出</w:t>
      </w:r>
      <w:r w:rsidRPr="00431B8A">
        <w:rPr>
          <w:rFonts w:ascii="Times New Roman"/>
          <w:sz w:val="32"/>
          <w:szCs w:val="32"/>
        </w:rPr>
        <w:t>1714.80</w:t>
      </w:r>
      <w:r w:rsidRPr="00431B8A">
        <w:rPr>
          <w:rFonts w:ascii="Times New Roman"/>
          <w:sz w:val="32"/>
          <w:szCs w:val="32"/>
        </w:rPr>
        <w:t>万元，占比</w:t>
      </w:r>
      <w:r w:rsidRPr="00431B8A">
        <w:rPr>
          <w:rFonts w:ascii="Times New Roman"/>
          <w:sz w:val="32"/>
          <w:szCs w:val="32"/>
        </w:rPr>
        <w:t>29.92%</w:t>
      </w:r>
      <w:r w:rsidRPr="00431B8A">
        <w:rPr>
          <w:rFonts w:ascii="Times New Roman"/>
          <w:sz w:val="32"/>
          <w:szCs w:val="32"/>
        </w:rPr>
        <w:t>、其他支出</w:t>
      </w:r>
      <w:r w:rsidRPr="00431B8A">
        <w:rPr>
          <w:rFonts w:ascii="Times New Roman"/>
          <w:sz w:val="32"/>
          <w:szCs w:val="32"/>
        </w:rPr>
        <w:t>12</w:t>
      </w:r>
      <w:r w:rsidRPr="00431B8A">
        <w:rPr>
          <w:rFonts w:ascii="Times New Roman"/>
          <w:sz w:val="32"/>
          <w:szCs w:val="32"/>
        </w:rPr>
        <w:t>万元，占比</w:t>
      </w:r>
      <w:r w:rsidRPr="00431B8A">
        <w:rPr>
          <w:rFonts w:ascii="Times New Roman"/>
          <w:sz w:val="32"/>
          <w:szCs w:val="32"/>
        </w:rPr>
        <w:t>0.21%</w:t>
      </w:r>
      <w:r w:rsidRPr="00431B8A">
        <w:rPr>
          <w:rFonts w:ascii="Times New Roman"/>
          <w:sz w:val="32"/>
          <w:szCs w:val="32"/>
        </w:rPr>
        <w:t>。较上年减少</w:t>
      </w:r>
      <w:r w:rsidRPr="00431B8A">
        <w:rPr>
          <w:rFonts w:ascii="Times New Roman"/>
          <w:sz w:val="32"/>
          <w:szCs w:val="32"/>
        </w:rPr>
        <w:t>7667.64</w:t>
      </w:r>
      <w:r w:rsidRPr="00431B8A">
        <w:rPr>
          <w:rFonts w:ascii="Times New Roman"/>
          <w:sz w:val="32"/>
          <w:szCs w:val="32"/>
        </w:rPr>
        <w:t>万元，同比下降</w:t>
      </w:r>
      <w:r w:rsidRPr="00431B8A">
        <w:rPr>
          <w:rFonts w:ascii="Times New Roman"/>
          <w:sz w:val="32"/>
          <w:szCs w:val="32"/>
        </w:rPr>
        <w:t>133.77%</w:t>
      </w:r>
      <w:r w:rsidRPr="00431B8A">
        <w:rPr>
          <w:rFonts w:ascii="Times New Roman"/>
          <w:sz w:val="32"/>
          <w:szCs w:val="32"/>
        </w:rPr>
        <w:t>。</w:t>
      </w:r>
    </w:p>
    <w:p w:rsidR="00457321" w:rsidRDefault="006572CB">
      <w:pPr>
        <w:widowControl/>
        <w:adjustRightInd w:val="0"/>
        <w:snapToGrid w:val="0"/>
        <w:spacing w:line="572"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三、部门整体预算绩效管理情况</w:t>
      </w:r>
    </w:p>
    <w:p w:rsidR="00457321" w:rsidRPr="0061711A" w:rsidRDefault="006572CB">
      <w:pPr>
        <w:widowControl/>
        <w:adjustRightInd w:val="0"/>
        <w:snapToGrid w:val="0"/>
        <w:spacing w:line="572" w:lineRule="exact"/>
        <w:ind w:firstLineChars="200" w:firstLine="640"/>
        <w:contextualSpacing/>
        <w:jc w:val="left"/>
        <w:rPr>
          <w:rFonts w:ascii="楷体" w:eastAsia="楷体" w:hAnsi="楷体" w:cs="宋体"/>
          <w:kern w:val="0"/>
          <w:sz w:val="32"/>
          <w:szCs w:val="32"/>
          <w:shd w:val="clear" w:color="auto" w:fill="FFFFFF"/>
          <w:lang w:val="zh-CN"/>
        </w:rPr>
      </w:pPr>
      <w:r w:rsidRPr="0061711A">
        <w:rPr>
          <w:rFonts w:ascii="楷体" w:eastAsia="楷体" w:hAnsi="楷体" w:cs="宋体" w:hint="eastAsia"/>
          <w:kern w:val="0"/>
          <w:sz w:val="32"/>
          <w:szCs w:val="32"/>
          <w:shd w:val="clear" w:color="auto" w:fill="FFFFFF"/>
          <w:lang w:val="zh-CN"/>
        </w:rPr>
        <w:t>（一）部门预算项目绩效管理。</w:t>
      </w:r>
    </w:p>
    <w:p w:rsidR="0061711A" w:rsidRPr="0061711A" w:rsidRDefault="0061711A" w:rsidP="0061711A">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sidRPr="0061711A">
        <w:rPr>
          <w:rFonts w:ascii="仿宋_GB2312" w:eastAsia="仿宋_GB2312" w:hAnsi="宋体" w:cs="宋体" w:hint="eastAsia"/>
          <w:kern w:val="0"/>
          <w:sz w:val="32"/>
          <w:szCs w:val="32"/>
          <w:shd w:val="clear" w:color="auto" w:fill="FFFFFF"/>
          <w:lang w:val="zh-CN"/>
        </w:rPr>
        <w:t>根据部门预算绩效管理各级文件要求，我局认真领会绩效管理工作精神，强化责任意识，不断思考完善预算绩效管理工作，全面加强绩效目标管理，于年初制定了部门绩效目标，主要是优化规划引领，实施全域争先进位；落实耕地保护，实施全方位执法监管；助</w:t>
      </w:r>
      <w:proofErr w:type="gramStart"/>
      <w:r w:rsidRPr="0061711A">
        <w:rPr>
          <w:rFonts w:ascii="仿宋_GB2312" w:eastAsia="仿宋_GB2312" w:hAnsi="宋体" w:cs="宋体" w:hint="eastAsia"/>
          <w:kern w:val="0"/>
          <w:sz w:val="32"/>
          <w:szCs w:val="32"/>
          <w:shd w:val="clear" w:color="auto" w:fill="FFFFFF"/>
          <w:lang w:val="zh-CN"/>
        </w:rPr>
        <w:t>推项目</w:t>
      </w:r>
      <w:proofErr w:type="gramEnd"/>
      <w:r w:rsidRPr="0061711A">
        <w:rPr>
          <w:rFonts w:ascii="仿宋_GB2312" w:eastAsia="仿宋_GB2312" w:hAnsi="宋体" w:cs="宋体" w:hint="eastAsia"/>
          <w:kern w:val="0"/>
          <w:sz w:val="32"/>
          <w:szCs w:val="32"/>
          <w:shd w:val="clear" w:color="auto" w:fill="FFFFFF"/>
          <w:lang w:val="zh-CN"/>
        </w:rPr>
        <w:t>建设，实施全链条要素保障；优化资源管理，实施全过程整治修复；高效服务民生，实施全系统提速增效等。</w:t>
      </w:r>
    </w:p>
    <w:p w:rsidR="0061711A" w:rsidRPr="0061711A" w:rsidRDefault="0061711A" w:rsidP="0061711A">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sidRPr="0061711A">
        <w:rPr>
          <w:rFonts w:ascii="仿宋_GB2312" w:eastAsia="仿宋_GB2312" w:hAnsi="宋体" w:cs="宋体" w:hint="eastAsia"/>
          <w:kern w:val="0"/>
          <w:sz w:val="32"/>
          <w:szCs w:val="32"/>
          <w:shd w:val="clear" w:color="auto" w:fill="FFFFFF"/>
          <w:lang w:val="zh-CN"/>
        </w:rPr>
        <w:t>我局对全部财政拨款收入均按要求实行绩效目标管理。主要目标的实现：2021年人员类支出1027.28万元，主要用于人员的工资福利及对个人和家庭的补助支出，基本保障了在职人员和退休人员的正常工资性收入。运转类支出78.65万元，主要是用于机关日常运转支出，包含办公耗材、维修维护、用电用水、通讯网络等日常开支，有效保障了我局各</w:t>
      </w:r>
      <w:r w:rsidRPr="0061711A">
        <w:rPr>
          <w:rFonts w:ascii="仿宋_GB2312" w:eastAsia="仿宋_GB2312" w:hAnsi="宋体" w:cs="宋体" w:hint="eastAsia"/>
          <w:kern w:val="0"/>
          <w:sz w:val="32"/>
          <w:szCs w:val="32"/>
          <w:shd w:val="clear" w:color="auto" w:fill="FFFFFF"/>
          <w:lang w:val="zh-CN"/>
        </w:rPr>
        <w:lastRenderedPageBreak/>
        <w:t>项事务性工作的正常开展。特定目标类项目支出4626.06万元，主要用于征地搬迁补偿、国土空间规划管理、自然资源综合管理及执法、土地整理项目建设及地质灾害综合防治等业务支出及其他上级要求的专项工作支出，顺利完成年度目标任务，推进各项业务工作落实。</w:t>
      </w:r>
    </w:p>
    <w:p w:rsidR="00457321" w:rsidRDefault="0061711A" w:rsidP="0061711A">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sidRPr="0061711A">
        <w:rPr>
          <w:rFonts w:ascii="仿宋_GB2312" w:eastAsia="仿宋_GB2312" w:hAnsi="宋体" w:cs="宋体" w:hint="eastAsia"/>
          <w:kern w:val="0"/>
          <w:sz w:val="32"/>
          <w:szCs w:val="32"/>
          <w:shd w:val="clear" w:color="auto" w:fill="FFFFFF"/>
          <w:lang w:val="zh-CN"/>
        </w:rPr>
        <w:t>所有财政资金都按照相关管理规定规范使用，提高使用效率，落实厉行节约，截止2021年12月31日，支出执行数为5731.99万元，执行率为100%，无资金结转结余情况，较好地完成了年初制定的目标任务，各项工作平稳推进，全面提升绩效目标完成进度，无其他违纪违规记录。</w:t>
      </w:r>
    </w:p>
    <w:p w:rsidR="00457321" w:rsidRPr="0061711A" w:rsidRDefault="006572CB">
      <w:pPr>
        <w:widowControl/>
        <w:adjustRightInd w:val="0"/>
        <w:snapToGrid w:val="0"/>
        <w:spacing w:line="572" w:lineRule="exact"/>
        <w:ind w:firstLineChars="200" w:firstLine="640"/>
        <w:contextualSpacing/>
        <w:jc w:val="left"/>
        <w:rPr>
          <w:rFonts w:ascii="楷体" w:eastAsia="楷体" w:hAnsi="楷体" w:cs="宋体"/>
          <w:kern w:val="0"/>
          <w:sz w:val="32"/>
          <w:szCs w:val="32"/>
          <w:shd w:val="clear" w:color="auto" w:fill="FFFFFF"/>
          <w:lang w:val="zh-CN"/>
        </w:rPr>
      </w:pPr>
      <w:r w:rsidRPr="0061711A">
        <w:rPr>
          <w:rFonts w:ascii="楷体" w:eastAsia="楷体" w:hAnsi="楷体" w:cs="宋体" w:hint="eastAsia"/>
          <w:kern w:val="0"/>
          <w:sz w:val="32"/>
          <w:szCs w:val="32"/>
          <w:shd w:val="clear" w:color="auto" w:fill="FFFFFF"/>
          <w:lang w:val="zh-CN"/>
        </w:rPr>
        <w:t>（二）结果应用情况。</w:t>
      </w:r>
    </w:p>
    <w:p w:rsidR="00457321" w:rsidRDefault="0061711A" w:rsidP="0061711A">
      <w:pPr>
        <w:widowControl/>
        <w:adjustRightInd w:val="0"/>
        <w:snapToGrid w:val="0"/>
        <w:spacing w:line="572" w:lineRule="exact"/>
        <w:ind w:firstLineChars="200" w:firstLine="640"/>
        <w:contextualSpacing/>
        <w:jc w:val="left"/>
        <w:rPr>
          <w:rFonts w:ascii="仿宋_GB2312" w:eastAsia="仿宋_GB2312" w:hAnsi="宋体" w:cs="宋体"/>
          <w:kern w:val="0"/>
          <w:sz w:val="32"/>
          <w:szCs w:val="32"/>
          <w:shd w:val="clear" w:color="auto" w:fill="FFFFFF"/>
          <w:lang w:val="zh-CN"/>
        </w:rPr>
      </w:pPr>
      <w:r w:rsidRPr="0061711A">
        <w:rPr>
          <w:rFonts w:ascii="仿宋_GB2312" w:eastAsia="仿宋_GB2312" w:hAnsi="宋体" w:cs="宋体" w:hint="eastAsia"/>
          <w:kern w:val="0"/>
          <w:sz w:val="32"/>
          <w:szCs w:val="32"/>
          <w:shd w:val="clear" w:color="auto" w:fill="FFFFFF"/>
          <w:lang w:val="zh-CN"/>
        </w:rPr>
        <w:t>根据《盐边县财政局关于开展2021年度部门预算整体级项目支出绩效自评工作的通知》（</w:t>
      </w:r>
      <w:proofErr w:type="gramStart"/>
      <w:r w:rsidRPr="0061711A">
        <w:rPr>
          <w:rFonts w:ascii="仿宋_GB2312" w:eastAsia="仿宋_GB2312" w:hAnsi="宋体" w:cs="宋体" w:hint="eastAsia"/>
          <w:kern w:val="0"/>
          <w:sz w:val="32"/>
          <w:szCs w:val="32"/>
          <w:shd w:val="clear" w:color="auto" w:fill="FFFFFF"/>
          <w:lang w:val="zh-CN"/>
        </w:rPr>
        <w:t>盐边财绩〔2022〕</w:t>
      </w:r>
      <w:proofErr w:type="gramEnd"/>
      <w:r w:rsidRPr="0061711A">
        <w:rPr>
          <w:rFonts w:ascii="仿宋_GB2312" w:eastAsia="仿宋_GB2312" w:hAnsi="宋体" w:cs="宋体" w:hint="eastAsia"/>
          <w:kern w:val="0"/>
          <w:sz w:val="32"/>
          <w:szCs w:val="32"/>
          <w:shd w:val="clear" w:color="auto" w:fill="FFFFFF"/>
          <w:lang w:val="zh-CN"/>
        </w:rPr>
        <w:t>3号）文件要求，我局对2021年度部门支出绩效进行了自评，自评等级为良好。做到严格按照法律、法规管理和使用资金，遵守财经纪律，认真履行职能职责，对照资金的执行和使用情况，认真分析查找自身存在的问题，及时研究对策，不断调整，提高绩效管理。同时根据工作安排，规定时限内在盐边</w:t>
      </w:r>
      <w:proofErr w:type="gramStart"/>
      <w:r w:rsidRPr="0061711A">
        <w:rPr>
          <w:rFonts w:ascii="仿宋_GB2312" w:eastAsia="仿宋_GB2312" w:hAnsi="宋体" w:cs="宋体" w:hint="eastAsia"/>
          <w:kern w:val="0"/>
          <w:sz w:val="32"/>
          <w:szCs w:val="32"/>
          <w:shd w:val="clear" w:color="auto" w:fill="FFFFFF"/>
          <w:lang w:val="zh-CN"/>
        </w:rPr>
        <w:t>县公众</w:t>
      </w:r>
      <w:proofErr w:type="gramEnd"/>
      <w:r w:rsidRPr="0061711A">
        <w:rPr>
          <w:rFonts w:ascii="仿宋_GB2312" w:eastAsia="仿宋_GB2312" w:hAnsi="宋体" w:cs="宋体" w:hint="eastAsia"/>
          <w:kern w:val="0"/>
          <w:sz w:val="32"/>
          <w:szCs w:val="32"/>
          <w:shd w:val="clear" w:color="auto" w:fill="FFFFFF"/>
          <w:lang w:val="zh-CN"/>
        </w:rPr>
        <w:t>信息网“财政信息”栏中进行公开公示。</w:t>
      </w:r>
    </w:p>
    <w:p w:rsidR="00457321" w:rsidRDefault="006572CB">
      <w:pPr>
        <w:widowControl/>
        <w:adjustRightInd w:val="0"/>
        <w:snapToGrid w:val="0"/>
        <w:spacing w:line="576" w:lineRule="exact"/>
        <w:ind w:firstLineChars="200" w:firstLine="640"/>
        <w:contextualSpacing/>
        <w:jc w:val="left"/>
        <w:rPr>
          <w:rFonts w:ascii="黑体" w:eastAsia="黑体" w:hAnsi="宋体" w:cs="宋体"/>
          <w:kern w:val="0"/>
          <w:sz w:val="32"/>
          <w:szCs w:val="32"/>
          <w:shd w:val="clear" w:color="auto" w:fill="FFFFFF"/>
        </w:rPr>
      </w:pPr>
      <w:r>
        <w:rPr>
          <w:rFonts w:ascii="黑体" w:eastAsia="黑体" w:hAnsi="宋体" w:cs="宋体" w:hint="eastAsia"/>
          <w:kern w:val="0"/>
          <w:sz w:val="32"/>
          <w:szCs w:val="32"/>
          <w:shd w:val="clear" w:color="auto" w:fill="FFFFFF"/>
        </w:rPr>
        <w:t>四、评价结论及建议</w:t>
      </w:r>
    </w:p>
    <w:p w:rsidR="00457321" w:rsidRPr="0061711A" w:rsidRDefault="006572CB">
      <w:pPr>
        <w:widowControl/>
        <w:adjustRightInd w:val="0"/>
        <w:snapToGrid w:val="0"/>
        <w:spacing w:line="576" w:lineRule="exact"/>
        <w:ind w:firstLineChars="200" w:firstLine="640"/>
        <w:contextualSpacing/>
        <w:jc w:val="left"/>
        <w:rPr>
          <w:rFonts w:ascii="楷体" w:eastAsia="楷体" w:hAnsi="楷体" w:cs="宋体"/>
          <w:kern w:val="0"/>
          <w:sz w:val="32"/>
          <w:szCs w:val="32"/>
          <w:shd w:val="clear" w:color="auto" w:fill="FFFFFF"/>
          <w:lang w:val="zh-CN"/>
        </w:rPr>
      </w:pPr>
      <w:r w:rsidRPr="0061711A">
        <w:rPr>
          <w:rFonts w:ascii="楷体" w:eastAsia="楷体" w:hAnsi="楷体" w:cs="宋体" w:hint="eastAsia"/>
          <w:kern w:val="0"/>
          <w:sz w:val="32"/>
          <w:szCs w:val="32"/>
          <w:shd w:val="clear" w:color="auto" w:fill="FFFFFF"/>
          <w:lang w:val="zh-CN"/>
        </w:rPr>
        <w:t>（一）评价结论。</w:t>
      </w:r>
    </w:p>
    <w:p w:rsidR="0061711A" w:rsidRPr="0061711A" w:rsidRDefault="0061711A" w:rsidP="0061711A">
      <w:pPr>
        <w:pStyle w:val="a0"/>
        <w:spacing w:before="93"/>
        <w:rPr>
          <w:lang w:val="zh-CN"/>
        </w:rPr>
      </w:pPr>
      <w:r>
        <w:rPr>
          <w:rFonts w:hint="eastAsia"/>
          <w:lang w:val="zh-CN"/>
        </w:rPr>
        <w:t xml:space="preserve">    </w:t>
      </w:r>
      <w:r w:rsidRPr="00431B8A">
        <w:rPr>
          <w:rFonts w:ascii="Times New Roman"/>
          <w:color w:val="000000"/>
          <w:sz w:val="32"/>
          <w:szCs w:val="32"/>
        </w:rPr>
        <w:t>2021</w:t>
      </w:r>
      <w:r w:rsidRPr="00431B8A">
        <w:rPr>
          <w:rFonts w:ascii="Times New Roman"/>
          <w:color w:val="000000"/>
          <w:sz w:val="32"/>
          <w:szCs w:val="32"/>
        </w:rPr>
        <w:t>年我局全部收入和支出均列入财政预算、决算，按照年度预算批复严格控制预算执行，无随意调整和变更等行为。认真落实厉行节约各项政策，强化资金统筹，优化资金</w:t>
      </w:r>
      <w:r w:rsidRPr="00431B8A">
        <w:rPr>
          <w:rFonts w:ascii="Times New Roman"/>
          <w:color w:val="000000"/>
          <w:sz w:val="32"/>
          <w:szCs w:val="32"/>
        </w:rPr>
        <w:lastRenderedPageBreak/>
        <w:t>结构，明确开支范围，确保了各项资金及时、规范支付，确保预期绩效目标的实现，总体较为满意。</w:t>
      </w:r>
    </w:p>
    <w:p w:rsidR="00457321" w:rsidRPr="0061711A" w:rsidRDefault="006572CB">
      <w:pPr>
        <w:widowControl/>
        <w:adjustRightInd w:val="0"/>
        <w:snapToGrid w:val="0"/>
        <w:spacing w:line="576" w:lineRule="exact"/>
        <w:ind w:firstLineChars="200" w:firstLine="640"/>
        <w:contextualSpacing/>
        <w:jc w:val="left"/>
        <w:rPr>
          <w:rFonts w:ascii="楷体" w:eastAsia="楷体" w:hAnsi="楷体" w:cs="宋体"/>
          <w:kern w:val="0"/>
          <w:sz w:val="32"/>
          <w:szCs w:val="32"/>
          <w:shd w:val="clear" w:color="auto" w:fill="FFFFFF"/>
          <w:lang w:val="zh-CN"/>
        </w:rPr>
      </w:pPr>
      <w:r w:rsidRPr="0061711A">
        <w:rPr>
          <w:rFonts w:ascii="楷体" w:eastAsia="楷体" w:hAnsi="楷体" w:cs="宋体" w:hint="eastAsia"/>
          <w:kern w:val="0"/>
          <w:sz w:val="32"/>
          <w:szCs w:val="32"/>
          <w:shd w:val="clear" w:color="auto" w:fill="FFFFFF"/>
          <w:lang w:val="zh-CN"/>
        </w:rPr>
        <w:t>（二）存在问题。</w:t>
      </w:r>
    </w:p>
    <w:p w:rsidR="0061711A" w:rsidRPr="00431B8A" w:rsidRDefault="0061711A" w:rsidP="0061711A">
      <w:pPr>
        <w:widowControl/>
        <w:adjustRightInd w:val="0"/>
        <w:snapToGrid w:val="0"/>
        <w:spacing w:line="600" w:lineRule="exact"/>
        <w:ind w:firstLineChars="200" w:firstLine="640"/>
        <w:contextualSpacing/>
        <w:jc w:val="left"/>
        <w:rPr>
          <w:rFonts w:eastAsia="仿宋_GB2312"/>
          <w:color w:val="000000"/>
          <w:sz w:val="32"/>
          <w:szCs w:val="32"/>
        </w:rPr>
      </w:pPr>
      <w:r w:rsidRPr="00431B8A">
        <w:rPr>
          <w:rFonts w:eastAsia="仿宋_GB2312"/>
          <w:color w:val="000000"/>
          <w:sz w:val="32"/>
          <w:szCs w:val="32"/>
        </w:rPr>
        <w:t>1.</w:t>
      </w:r>
      <w:r w:rsidRPr="00431B8A">
        <w:rPr>
          <w:rFonts w:eastAsia="仿宋_GB2312"/>
          <w:color w:val="000000"/>
          <w:sz w:val="32"/>
          <w:szCs w:val="32"/>
        </w:rPr>
        <w:t>对资金的绩效管理工作认识不足、理解不深、重视不够，注重资金的争取、工作实施，轻视了资金的绩效管理。</w:t>
      </w:r>
    </w:p>
    <w:p w:rsidR="0061711A" w:rsidRPr="00431B8A" w:rsidRDefault="0061711A" w:rsidP="0061711A">
      <w:pPr>
        <w:widowControl/>
        <w:adjustRightInd w:val="0"/>
        <w:snapToGrid w:val="0"/>
        <w:spacing w:line="600" w:lineRule="exact"/>
        <w:ind w:firstLineChars="200" w:firstLine="640"/>
        <w:contextualSpacing/>
        <w:jc w:val="left"/>
        <w:rPr>
          <w:rFonts w:eastAsia="仿宋_GB2312"/>
          <w:color w:val="000000"/>
          <w:sz w:val="32"/>
          <w:szCs w:val="32"/>
        </w:rPr>
      </w:pPr>
      <w:r w:rsidRPr="00431B8A">
        <w:rPr>
          <w:rFonts w:eastAsia="仿宋_GB2312"/>
          <w:color w:val="000000"/>
          <w:sz w:val="32"/>
          <w:szCs w:val="32"/>
        </w:rPr>
        <w:t>2.</w:t>
      </w:r>
      <w:r w:rsidRPr="00431B8A">
        <w:rPr>
          <w:rFonts w:eastAsia="仿宋_GB2312"/>
          <w:color w:val="000000"/>
          <w:sz w:val="32"/>
          <w:szCs w:val="32"/>
        </w:rPr>
        <w:t>对绩效指标设置理解不够深入，未能科学合理的设计各项指标，目标编制质量不高、量化不足、部分指标的设置无法实际考核难以量化评估。</w:t>
      </w:r>
    </w:p>
    <w:p w:rsidR="0061711A" w:rsidRPr="0061711A" w:rsidRDefault="0061711A" w:rsidP="0061711A">
      <w:pPr>
        <w:pStyle w:val="a0"/>
        <w:spacing w:before="93"/>
        <w:ind w:firstLineChars="200" w:firstLine="640"/>
        <w:rPr>
          <w:lang w:val="zh-CN"/>
        </w:rPr>
      </w:pPr>
      <w:r w:rsidRPr="00431B8A">
        <w:rPr>
          <w:rFonts w:ascii="Times New Roman"/>
          <w:color w:val="000000"/>
          <w:sz w:val="32"/>
          <w:szCs w:val="32"/>
        </w:rPr>
        <w:t>3.</w:t>
      </w:r>
      <w:r w:rsidRPr="00431B8A">
        <w:rPr>
          <w:rFonts w:ascii="Times New Roman"/>
          <w:color w:val="000000"/>
          <w:sz w:val="32"/>
          <w:szCs w:val="32"/>
        </w:rPr>
        <w:t>存在以前年度已完成的工作，无预算来源，无法支付相应款项的情况。</w:t>
      </w:r>
    </w:p>
    <w:p w:rsidR="00457321" w:rsidRPr="0061711A" w:rsidRDefault="006572CB">
      <w:pPr>
        <w:widowControl/>
        <w:adjustRightInd w:val="0"/>
        <w:snapToGrid w:val="0"/>
        <w:spacing w:line="576" w:lineRule="exact"/>
        <w:ind w:firstLineChars="200" w:firstLine="640"/>
        <w:contextualSpacing/>
        <w:jc w:val="left"/>
        <w:rPr>
          <w:rFonts w:ascii="楷体" w:eastAsia="楷体" w:hAnsi="楷体" w:cs="宋体"/>
          <w:kern w:val="0"/>
          <w:sz w:val="32"/>
          <w:szCs w:val="32"/>
          <w:shd w:val="clear" w:color="auto" w:fill="FFFFFF"/>
          <w:lang w:val="zh-CN"/>
        </w:rPr>
      </w:pPr>
      <w:r w:rsidRPr="0061711A">
        <w:rPr>
          <w:rFonts w:ascii="楷体" w:eastAsia="楷体" w:hAnsi="楷体" w:cs="宋体" w:hint="eastAsia"/>
          <w:kern w:val="0"/>
          <w:sz w:val="32"/>
          <w:szCs w:val="32"/>
          <w:shd w:val="clear" w:color="auto" w:fill="FFFFFF"/>
          <w:lang w:val="zh-CN"/>
        </w:rPr>
        <w:t>（三）改进建议。</w:t>
      </w:r>
    </w:p>
    <w:p w:rsidR="0061711A" w:rsidRPr="0061711A" w:rsidRDefault="0061711A" w:rsidP="0061711A">
      <w:pPr>
        <w:pStyle w:val="a0"/>
        <w:spacing w:before="93"/>
        <w:ind w:firstLineChars="200" w:firstLine="640"/>
        <w:rPr>
          <w:sz w:val="32"/>
          <w:szCs w:val="32"/>
          <w:lang w:val="zh-CN"/>
        </w:rPr>
      </w:pPr>
      <w:r w:rsidRPr="0061711A">
        <w:rPr>
          <w:rFonts w:hint="eastAsia"/>
          <w:sz w:val="32"/>
          <w:szCs w:val="32"/>
          <w:lang w:val="zh-CN"/>
        </w:rPr>
        <w:t>1.加强预算绩效管理相关文件学习，提高全体干部职工对绩效管理工作及绩效指标设置的认识及理解，促进财务人员与业务人员在资金和工作实施中的绩效管理衔接沟通工作。</w:t>
      </w:r>
    </w:p>
    <w:p w:rsidR="0061711A" w:rsidRPr="0061711A" w:rsidRDefault="0061711A" w:rsidP="0061711A">
      <w:pPr>
        <w:pStyle w:val="a0"/>
        <w:spacing w:before="93"/>
        <w:ind w:firstLineChars="200" w:firstLine="640"/>
        <w:rPr>
          <w:sz w:val="32"/>
          <w:szCs w:val="32"/>
          <w:lang w:val="zh-CN"/>
        </w:rPr>
      </w:pPr>
      <w:r w:rsidRPr="0061711A">
        <w:rPr>
          <w:rFonts w:hint="eastAsia"/>
          <w:sz w:val="32"/>
          <w:szCs w:val="32"/>
          <w:lang w:val="zh-CN"/>
        </w:rPr>
        <w:t>2.提高年度预算编制及绩效目标设置的合理性、严谨性，加大对预算执行过程的管理和监督力度，强化过程结果应用，提升相关人员的素质能力，提高绩效管理的质量水平。</w:t>
      </w:r>
    </w:p>
    <w:p w:rsidR="0061711A" w:rsidRPr="0061711A" w:rsidRDefault="0061711A" w:rsidP="0061711A">
      <w:pPr>
        <w:pStyle w:val="a0"/>
        <w:spacing w:before="93"/>
        <w:ind w:firstLineChars="200" w:firstLine="640"/>
        <w:rPr>
          <w:lang w:val="zh-CN"/>
        </w:rPr>
      </w:pPr>
      <w:r w:rsidRPr="0061711A">
        <w:rPr>
          <w:rFonts w:hint="eastAsia"/>
          <w:sz w:val="32"/>
          <w:szCs w:val="32"/>
          <w:lang w:val="zh-CN"/>
        </w:rPr>
        <w:t>3.加大与上级、同级、绩效管理归口部门的沟通力度，学习先进工作经验，落实业务责任，切实提高工作后续跟踪，做到主动向领导汇报、积极与部门沟通，争取逐年化解已完工未支付各款项的支付压力。</w:t>
      </w:r>
    </w:p>
    <w:p w:rsidR="00457321" w:rsidRDefault="006572CB" w:rsidP="00C22BD0">
      <w:pPr>
        <w:pStyle w:val="a0"/>
        <w:spacing w:before="93"/>
        <w:rPr>
          <w:lang w:val="zh-CN"/>
        </w:rPr>
      </w:pPr>
      <w:r>
        <w:rPr>
          <w:rFonts w:hAnsi="宋体" w:cs="宋体" w:hint="eastAsia"/>
          <w:sz w:val="32"/>
          <w:szCs w:val="32"/>
          <w:shd w:val="clear" w:color="auto" w:fill="FFFFFF"/>
          <w:lang w:val="zh-CN"/>
        </w:rPr>
        <w:lastRenderedPageBreak/>
        <w:t>附件</w:t>
      </w:r>
    </w:p>
    <w:p w:rsidR="00457321" w:rsidRDefault="006572CB">
      <w:pPr>
        <w:spacing w:line="600" w:lineRule="exact"/>
        <w:jc w:val="center"/>
        <w:rPr>
          <w:rFonts w:ascii="方正小标宋简体" w:eastAsia="方正小标宋简体" w:hAnsi="方正小标宋简体" w:cs="方正小标宋简体"/>
          <w:sz w:val="40"/>
          <w:szCs w:val="40"/>
          <w:lang w:val="zh-CN"/>
        </w:rPr>
      </w:pPr>
      <w:r>
        <w:rPr>
          <w:rFonts w:ascii="方正小标宋简体" w:eastAsia="方正小标宋简体" w:hAnsi="方正小标宋简体" w:cs="方正小标宋简体" w:hint="eastAsia"/>
          <w:sz w:val="40"/>
          <w:szCs w:val="40"/>
        </w:rPr>
        <w:t>202</w:t>
      </w:r>
      <w:r w:rsidR="00A96B60">
        <w:rPr>
          <w:rFonts w:ascii="方正小标宋简体" w:eastAsia="方正小标宋简体" w:hAnsi="方正小标宋简体" w:cs="方正小标宋简体" w:hint="eastAsia"/>
          <w:sz w:val="40"/>
          <w:szCs w:val="40"/>
        </w:rPr>
        <w:t>1</w:t>
      </w:r>
      <w:r>
        <w:rPr>
          <w:rFonts w:ascii="方正小标宋简体" w:eastAsia="方正小标宋简体" w:hAnsi="方正小标宋简体" w:cs="方正小标宋简体" w:hint="eastAsia"/>
          <w:sz w:val="40"/>
          <w:szCs w:val="40"/>
        </w:rPr>
        <w:t>年</w:t>
      </w:r>
      <w:r>
        <w:rPr>
          <w:rFonts w:ascii="方正小标宋简体" w:eastAsia="方正小标宋简体" w:hAnsi="方正小标宋简体" w:cs="方正小标宋简体" w:hint="eastAsia"/>
          <w:sz w:val="40"/>
          <w:szCs w:val="40"/>
          <w:lang w:val="zh-CN"/>
        </w:rPr>
        <w:t>专项预算项目支出绩效自评报告范本</w:t>
      </w:r>
    </w:p>
    <w:p w:rsidR="00457321" w:rsidRPr="00A205A1" w:rsidRDefault="00A205A1" w:rsidP="00A205A1">
      <w:pPr>
        <w:spacing w:line="600" w:lineRule="exact"/>
        <w:jc w:val="center"/>
        <w:rPr>
          <w:rFonts w:ascii="仿宋_GB2312" w:eastAsia="仿宋_GB2312" w:hAnsi="宋体"/>
          <w:sz w:val="24"/>
          <w:lang w:val="zh-CN"/>
        </w:rPr>
      </w:pPr>
      <w:r w:rsidRPr="00A205A1">
        <w:rPr>
          <w:rFonts w:ascii="仿宋_GB2312" w:eastAsia="仿宋_GB2312" w:hAnsi="宋体" w:hint="eastAsia"/>
          <w:sz w:val="24"/>
          <w:lang w:val="zh-CN"/>
        </w:rPr>
        <w:t>（国土空间基础信息平台和规划“一张图”实施监督信息系统建设项目）</w:t>
      </w:r>
    </w:p>
    <w:p w:rsidR="00457321" w:rsidRDefault="00457321">
      <w:pPr>
        <w:spacing w:line="600" w:lineRule="exact"/>
        <w:ind w:firstLine="640"/>
        <w:jc w:val="center"/>
        <w:rPr>
          <w:rFonts w:ascii="宋体" w:hAnsi="宋体"/>
          <w:sz w:val="32"/>
          <w:szCs w:val="32"/>
          <w:lang w:val="zh-CN"/>
        </w:rPr>
      </w:pPr>
    </w:p>
    <w:p w:rsidR="00457321" w:rsidRDefault="006572CB">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rsidR="00457321" w:rsidRDefault="006572C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rsidR="00457321" w:rsidRDefault="005250D3">
      <w:pPr>
        <w:adjustRightInd w:val="0"/>
        <w:snapToGrid w:val="0"/>
        <w:spacing w:line="600" w:lineRule="exact"/>
        <w:ind w:firstLine="720"/>
        <w:rPr>
          <w:rFonts w:ascii="仿宋_GB2312" w:eastAsia="仿宋_GB2312" w:hAnsi="宋体"/>
          <w:sz w:val="32"/>
          <w:szCs w:val="32"/>
          <w:lang w:val="zh-CN"/>
        </w:rPr>
      </w:pPr>
      <w:r w:rsidRPr="005250D3">
        <w:rPr>
          <w:rFonts w:ascii="仿宋_GB2312" w:eastAsia="仿宋_GB2312" w:hAnsi="宋体" w:hint="eastAsia"/>
          <w:sz w:val="32"/>
          <w:szCs w:val="32"/>
          <w:lang w:val="zh-CN"/>
        </w:rPr>
        <w:t>国土空间基础信息平台和国土空间规划“一张图”监督实施信息系统部署于自然资源业务专网，为省、市、县自然资源部门的数据汇交与功能衔接提供了保障、支持局内日常业务工作。根据四川省自然资源厅发《四川省自然资源业务网建设运行及网络安全管理办法》(</w:t>
      </w:r>
      <w:proofErr w:type="gramStart"/>
      <w:r w:rsidRPr="005250D3">
        <w:rPr>
          <w:rFonts w:ascii="仿宋_GB2312" w:eastAsia="仿宋_GB2312" w:hAnsi="宋体" w:hint="eastAsia"/>
          <w:sz w:val="32"/>
          <w:szCs w:val="32"/>
          <w:lang w:val="zh-CN"/>
        </w:rPr>
        <w:t>川自然资发</w:t>
      </w:r>
      <w:proofErr w:type="gramEnd"/>
      <w:r w:rsidRPr="005250D3">
        <w:rPr>
          <w:rFonts w:ascii="仿宋_GB2312" w:eastAsia="仿宋_GB2312" w:hAnsi="宋体" w:hint="eastAsia"/>
          <w:sz w:val="32"/>
          <w:szCs w:val="32"/>
          <w:lang w:val="zh-CN"/>
        </w:rPr>
        <w:t>〔2020〕29号)的要求，该项目需要参照国家网络安全法和国家网络安全等级保护基本要求的规定，进行相应</w:t>
      </w:r>
      <w:proofErr w:type="gramStart"/>
      <w:r w:rsidRPr="005250D3">
        <w:rPr>
          <w:rFonts w:ascii="仿宋_GB2312" w:eastAsia="仿宋_GB2312" w:hAnsi="宋体" w:hint="eastAsia"/>
          <w:sz w:val="32"/>
          <w:szCs w:val="32"/>
          <w:lang w:val="zh-CN"/>
        </w:rPr>
        <w:t>的等保二级</w:t>
      </w:r>
      <w:proofErr w:type="gramEnd"/>
      <w:r w:rsidRPr="005250D3">
        <w:rPr>
          <w:rFonts w:ascii="仿宋_GB2312" w:eastAsia="仿宋_GB2312" w:hAnsi="宋体" w:hint="eastAsia"/>
          <w:sz w:val="32"/>
          <w:szCs w:val="32"/>
          <w:lang w:val="zh-CN"/>
        </w:rPr>
        <w:t>保护的相关工作。</w:t>
      </w:r>
    </w:p>
    <w:p w:rsidR="00457321" w:rsidRDefault="006572C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rsidR="00457321" w:rsidRDefault="005250D3">
      <w:pPr>
        <w:adjustRightInd w:val="0"/>
        <w:snapToGrid w:val="0"/>
        <w:spacing w:line="600" w:lineRule="exact"/>
        <w:ind w:firstLine="720"/>
        <w:rPr>
          <w:rFonts w:ascii="仿宋_GB2312" w:eastAsia="仿宋_GB2312" w:hAnsi="宋体"/>
          <w:sz w:val="32"/>
          <w:szCs w:val="32"/>
          <w:lang w:val="zh-CN"/>
        </w:rPr>
      </w:pPr>
      <w:r w:rsidRPr="005250D3">
        <w:rPr>
          <w:rFonts w:ascii="仿宋_GB2312" w:eastAsia="仿宋_GB2312" w:hAnsi="宋体" w:hint="eastAsia"/>
          <w:sz w:val="32"/>
          <w:szCs w:val="32"/>
          <w:lang w:val="zh-CN"/>
        </w:rPr>
        <w:t>国土空间基础信息平台和规划“一张图”实施监督信息系统（软件开发部分）建设是支撑国土空间规划的重要基础性工作，应与规划编制工作统筹推进，与规划报批工作同步完成。在充分利用已有成果的基础上，开展项目建设，具体任务包括标准规范制定、国土空间规划“一张图”建设、国土空间基础信息平台、国土空间规划“一张图”实施监督应用系统、统一运维管理系统建设、相关系统接口、分层分级配置管理以及配合国土空间规划数据资源和配套支撑环境</w:t>
      </w:r>
      <w:r w:rsidRPr="005250D3">
        <w:rPr>
          <w:rFonts w:ascii="仿宋_GB2312" w:eastAsia="仿宋_GB2312" w:hAnsi="宋体" w:hint="eastAsia"/>
          <w:sz w:val="32"/>
          <w:szCs w:val="32"/>
          <w:lang w:val="zh-CN"/>
        </w:rPr>
        <w:lastRenderedPageBreak/>
        <w:t>等方面建设。</w:t>
      </w:r>
    </w:p>
    <w:p w:rsidR="00457321" w:rsidRDefault="006572CB">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rsidR="00457321" w:rsidRDefault="006572C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rsidR="00457321" w:rsidRDefault="005250D3">
      <w:pPr>
        <w:adjustRightInd w:val="0"/>
        <w:snapToGrid w:val="0"/>
        <w:spacing w:line="600" w:lineRule="exact"/>
        <w:ind w:firstLine="720"/>
        <w:rPr>
          <w:rFonts w:ascii="仿宋_GB2312" w:eastAsia="仿宋_GB2312" w:hAnsi="宋体"/>
          <w:sz w:val="32"/>
          <w:szCs w:val="32"/>
          <w:lang w:val="zh-CN"/>
        </w:rPr>
      </w:pPr>
      <w:r w:rsidRPr="005250D3">
        <w:rPr>
          <w:rFonts w:ascii="仿宋_GB2312" w:eastAsia="仿宋_GB2312" w:hAnsi="宋体" w:hint="eastAsia"/>
          <w:sz w:val="32"/>
          <w:szCs w:val="32"/>
          <w:lang w:val="zh-CN"/>
        </w:rPr>
        <w:t>盐边县人民政府常务会第18届89次会议上同意了盐边县自然资源规划和林业局《关于解决盐边县国土空间总体规划编制及信息系统建设相关经费的请示》。</w:t>
      </w:r>
    </w:p>
    <w:p w:rsidR="00457321" w:rsidRDefault="006572CB">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（二）资金计划、到位及使用情况（可用表格形式反映）。</w:t>
      </w:r>
    </w:p>
    <w:p w:rsidR="005250D3" w:rsidRDefault="006572CB">
      <w:pPr>
        <w:adjustRightInd w:val="0"/>
        <w:snapToGrid w:val="0"/>
        <w:spacing w:line="600" w:lineRule="exact"/>
        <w:ind w:firstLine="720"/>
        <w:rPr>
          <w:rFonts w:ascii="楷体_GB2312" w:eastAsia="楷体_GB2312" w:hAnsi="宋体"/>
          <w:sz w:val="32"/>
          <w:szCs w:val="32"/>
          <w:lang w:val="zh-CN"/>
        </w:rPr>
      </w:pPr>
      <w:r>
        <w:rPr>
          <w:rFonts w:ascii="楷体_GB2312" w:eastAsia="楷体_GB2312" w:hAnsi="宋体" w:hint="eastAsia"/>
          <w:sz w:val="32"/>
          <w:szCs w:val="32"/>
          <w:lang w:val="zh-CN"/>
        </w:rPr>
        <w:t>1．资金计划。</w:t>
      </w:r>
    </w:p>
    <w:p w:rsidR="00457321" w:rsidRDefault="005250D3">
      <w:pPr>
        <w:adjustRightInd w:val="0"/>
        <w:snapToGrid w:val="0"/>
        <w:spacing w:line="600" w:lineRule="exact"/>
        <w:ind w:firstLine="720"/>
        <w:rPr>
          <w:rFonts w:ascii="仿宋_GB2312" w:eastAsia="仿宋_GB2312" w:hAnsi="宋体"/>
          <w:sz w:val="32"/>
          <w:szCs w:val="32"/>
          <w:lang w:val="zh-CN"/>
        </w:rPr>
      </w:pPr>
      <w:r w:rsidRPr="005250D3">
        <w:rPr>
          <w:rFonts w:ascii="仿宋_GB2312" w:eastAsia="仿宋_GB2312" w:hAnsi="宋体" w:hint="eastAsia"/>
          <w:sz w:val="32"/>
          <w:szCs w:val="32"/>
          <w:lang w:val="zh-CN"/>
        </w:rPr>
        <w:t>根据攀枝花市自然资源和规划局攀枝花市国土空间基础信息平台和规划“一张图”实施监督信息系统建设（软硬件采购部分、数据采集与处理部分、平台和系统开发部分）公开招标采购项目合同，我县2021年12月31日前计划支付软硬件采购部分资金301,890元、数据采集与处理部分资金70,125元、平台和系统开发部分资金97,500元。</w:t>
      </w:r>
    </w:p>
    <w:p w:rsidR="00457321" w:rsidRDefault="006572CB">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2．资金到位。</w:t>
      </w:r>
    </w:p>
    <w:p w:rsidR="005250D3" w:rsidRPr="005250D3" w:rsidRDefault="005250D3" w:rsidP="005250D3">
      <w:pPr>
        <w:pStyle w:val="a0"/>
        <w:spacing w:before="93"/>
        <w:rPr>
          <w:lang w:val="zh-CN"/>
        </w:rPr>
      </w:pPr>
      <w:r>
        <w:rPr>
          <w:rFonts w:hint="eastAsia"/>
          <w:lang w:val="zh-CN"/>
        </w:rPr>
        <w:t xml:space="preserve">    </w:t>
      </w:r>
      <w:r w:rsidRPr="005250D3">
        <w:rPr>
          <w:rFonts w:hint="eastAsia"/>
          <w:lang w:val="zh-CN"/>
        </w:rPr>
        <w:t>2021年11月收到县级资金469,515元，按照资金计划及时全额到位，到位率、到位及时性均达100%。</w:t>
      </w:r>
    </w:p>
    <w:p w:rsidR="00457321" w:rsidRDefault="006572CB">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sz w:val="32"/>
          <w:szCs w:val="32"/>
          <w:lang w:val="zh-CN"/>
        </w:rPr>
        <w:t>3．资金使用。</w:t>
      </w:r>
    </w:p>
    <w:p w:rsidR="005250D3" w:rsidRPr="005250D3" w:rsidRDefault="005250D3" w:rsidP="005250D3">
      <w:pPr>
        <w:pStyle w:val="a0"/>
        <w:spacing w:before="93"/>
        <w:rPr>
          <w:lang w:val="zh-CN"/>
        </w:rPr>
      </w:pPr>
      <w:r>
        <w:rPr>
          <w:rFonts w:hint="eastAsia"/>
          <w:lang w:val="zh-CN"/>
        </w:rPr>
        <w:t xml:space="preserve">    </w:t>
      </w:r>
      <w:r w:rsidRPr="005250D3">
        <w:rPr>
          <w:rFonts w:hint="eastAsia"/>
          <w:lang w:val="zh-CN"/>
        </w:rPr>
        <w:t>截止2021年12月31日，该笔资金全额支付，其中平台和系统开发部分支出97,500元、数据采集与处理部分支出70,125元、软硬件采购部分支出301,890元，共计469,515元。各项资金的支付标准、支付进度符合攀枝花市自然资源和规划局攀枝花</w:t>
      </w:r>
      <w:r w:rsidRPr="005250D3">
        <w:rPr>
          <w:rFonts w:hint="eastAsia"/>
          <w:lang w:val="zh-CN"/>
        </w:rPr>
        <w:lastRenderedPageBreak/>
        <w:t>市国土空间基础信息平台和规划“一张图”实施监督信息系统建设（软硬件采购部分、数据采集与处理部分、平台和系统开发部分）公开招标采购项目合同要求，以及其他项目资金使用相关管理规定。</w:t>
      </w:r>
    </w:p>
    <w:p w:rsidR="00457321" w:rsidRDefault="006572C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rsidR="00457321" w:rsidRDefault="005250D3">
      <w:pPr>
        <w:adjustRightInd w:val="0"/>
        <w:snapToGrid w:val="0"/>
        <w:spacing w:line="600" w:lineRule="exact"/>
        <w:ind w:firstLine="720"/>
        <w:rPr>
          <w:rFonts w:ascii="仿宋_GB2312" w:eastAsia="仿宋_GB2312" w:hAnsi="宋体"/>
          <w:sz w:val="32"/>
          <w:szCs w:val="32"/>
          <w:lang w:val="zh-CN"/>
        </w:rPr>
      </w:pPr>
      <w:r w:rsidRPr="005250D3">
        <w:rPr>
          <w:rFonts w:ascii="仿宋_GB2312" w:eastAsia="仿宋_GB2312" w:hAnsi="宋体" w:hint="eastAsia"/>
          <w:sz w:val="32"/>
          <w:szCs w:val="32"/>
          <w:lang w:val="zh-CN"/>
        </w:rPr>
        <w:t>我局已建立《盐边县自然资源和规划局财务管理办法》，严格按照管理制度进行审批支付，做到及时审批及时拨付，规定进行会计核算。</w:t>
      </w:r>
    </w:p>
    <w:p w:rsidR="00457321" w:rsidRDefault="006572CB">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rsidR="00457321" w:rsidRDefault="006572C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p>
    <w:p w:rsidR="005250D3" w:rsidRPr="005250D3" w:rsidRDefault="005250D3">
      <w:pPr>
        <w:adjustRightInd w:val="0"/>
        <w:snapToGrid w:val="0"/>
        <w:spacing w:line="600" w:lineRule="exact"/>
        <w:ind w:firstLine="720"/>
        <w:rPr>
          <w:rFonts w:ascii="仿宋_GB2312" w:eastAsia="仿宋_GB2312" w:hAnsi="宋体"/>
          <w:sz w:val="32"/>
          <w:szCs w:val="32"/>
          <w:lang w:val="zh-CN"/>
        </w:rPr>
      </w:pPr>
      <w:r w:rsidRPr="005250D3">
        <w:rPr>
          <w:rFonts w:ascii="仿宋_GB2312" w:eastAsia="仿宋_GB2312" w:hAnsi="宋体" w:hint="eastAsia"/>
          <w:sz w:val="32"/>
          <w:szCs w:val="32"/>
          <w:lang w:val="zh-CN"/>
        </w:rPr>
        <w:t>坚持以县政府为主导，各专班成员部门、乡（镇）和公众参与的协调推进机制，组建盐边县国土空间总体规划规划编制工作领导小组，细化责任分工，形成政策合力、工作合力，共同推进国土空间基础信息平台和规划“一张图”实施监督信息系统建设项目。</w:t>
      </w:r>
    </w:p>
    <w:p w:rsidR="00457321" w:rsidRDefault="006572CB">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（二）项目管理情况。</w:t>
      </w:r>
    </w:p>
    <w:p w:rsidR="005250D3" w:rsidRPr="005250D3" w:rsidRDefault="005250D3" w:rsidP="005250D3">
      <w:pPr>
        <w:pStyle w:val="a0"/>
        <w:spacing w:before="93"/>
        <w:rPr>
          <w:lang w:val="zh-CN"/>
        </w:rPr>
      </w:pPr>
      <w:r>
        <w:rPr>
          <w:rFonts w:hint="eastAsia"/>
          <w:lang w:val="zh-CN"/>
        </w:rPr>
        <w:t xml:space="preserve">    </w:t>
      </w:r>
      <w:r w:rsidRPr="005250D3">
        <w:rPr>
          <w:rFonts w:hint="eastAsia"/>
          <w:lang w:val="zh-CN"/>
        </w:rPr>
        <w:t>不定期召开县国土空间规划编制工作领导小组办公室会议，不定期组织召开工作调度会、推进会和讨论会，就县国土空间规划编制进度、三线划定落实、重大问题专题研究、平台和系统建设等工作进行专职、专责调度。</w:t>
      </w:r>
    </w:p>
    <w:p w:rsidR="00457321" w:rsidRDefault="006572CB">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（三）项目监管情况。</w:t>
      </w:r>
    </w:p>
    <w:p w:rsidR="005250D3" w:rsidRPr="005250D3" w:rsidRDefault="005250D3" w:rsidP="005250D3">
      <w:pPr>
        <w:pStyle w:val="a0"/>
        <w:spacing w:before="93"/>
        <w:rPr>
          <w:lang w:val="zh-CN"/>
        </w:rPr>
      </w:pPr>
      <w:r>
        <w:rPr>
          <w:rFonts w:hint="eastAsia"/>
          <w:lang w:val="zh-CN"/>
        </w:rPr>
        <w:t xml:space="preserve">    </w:t>
      </w:r>
      <w:r w:rsidRPr="005250D3">
        <w:rPr>
          <w:rFonts w:hint="eastAsia"/>
          <w:lang w:val="zh-CN"/>
        </w:rPr>
        <w:t>通过定期检查监督技术服务公司管理工作的实施及制度的</w:t>
      </w:r>
      <w:r w:rsidRPr="005250D3">
        <w:rPr>
          <w:rFonts w:hint="eastAsia"/>
          <w:lang w:val="zh-CN"/>
        </w:rPr>
        <w:lastRenderedPageBreak/>
        <w:t>执行情况、核对技术服务公司提供服务所配置的人员数量的方式，确保了项目有序高效推进及成果质量。</w:t>
      </w:r>
    </w:p>
    <w:p w:rsidR="00457321" w:rsidRDefault="006572CB">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hint="eastAsia"/>
          <w:sz w:val="32"/>
          <w:szCs w:val="32"/>
          <w:lang w:val="zh-CN"/>
        </w:rPr>
        <w:tab/>
      </w:r>
    </w:p>
    <w:p w:rsidR="00457321" w:rsidRDefault="006572C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rsidR="00457321" w:rsidRDefault="005250D3">
      <w:pPr>
        <w:adjustRightInd w:val="0"/>
        <w:snapToGrid w:val="0"/>
        <w:spacing w:line="600" w:lineRule="exact"/>
        <w:ind w:firstLine="720"/>
        <w:rPr>
          <w:rFonts w:ascii="楷体_GB2312" w:eastAsia="楷体_GB2312" w:hAnsi="宋体"/>
          <w:b/>
          <w:sz w:val="32"/>
          <w:szCs w:val="32"/>
          <w:lang w:val="zh-CN"/>
        </w:rPr>
      </w:pPr>
      <w:r w:rsidRPr="005250D3">
        <w:rPr>
          <w:rFonts w:ascii="仿宋_GB2312" w:eastAsia="仿宋_GB2312" w:hAnsi="宋体" w:hint="eastAsia"/>
          <w:sz w:val="32"/>
          <w:szCs w:val="32"/>
          <w:lang w:val="zh-CN"/>
        </w:rPr>
        <w:t>国土空间基础信息平台和规划“一张图”实施监督信息系统建设项目已完成软硬件采购和平台第一阶段建设。软硬件采购部分采购了移动图形工作站Ⅱ7台、台式图形工作站Ⅱ20台、台式计算机10台、平板电脑30台、打印机2台，并在2021年7月31日前完成了平台第一阶段建设。</w:t>
      </w:r>
    </w:p>
    <w:p w:rsidR="00457321" w:rsidRDefault="006572C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rsidR="00457321" w:rsidRDefault="005250D3">
      <w:pPr>
        <w:adjustRightInd w:val="0"/>
        <w:snapToGrid w:val="0"/>
        <w:spacing w:line="600" w:lineRule="exact"/>
        <w:ind w:firstLine="720"/>
        <w:rPr>
          <w:rFonts w:ascii="仿宋_GB2312" w:eastAsia="仿宋_GB2312" w:hAnsi="宋体"/>
          <w:sz w:val="32"/>
          <w:szCs w:val="32"/>
          <w:lang w:val="zh-CN"/>
        </w:rPr>
      </w:pPr>
      <w:r w:rsidRPr="005250D3">
        <w:rPr>
          <w:rFonts w:ascii="仿宋_GB2312" w:eastAsia="仿宋_GB2312" w:hAnsi="宋体" w:hint="eastAsia"/>
          <w:sz w:val="32"/>
          <w:szCs w:val="32"/>
          <w:lang w:val="zh-CN"/>
        </w:rPr>
        <w:t>工作效益提升和使用者满意度达到完成80%，未达到目标100%的原因为部分设备在后期使用中存在运行不畅，未能100%实现提升工作效率的目标，我局已及时联系供货商进行处理。</w:t>
      </w:r>
    </w:p>
    <w:p w:rsidR="00457321" w:rsidRDefault="006572CB">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rsidR="00457321" w:rsidRDefault="006572C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rsidR="00457321" w:rsidRDefault="005250D3" w:rsidP="005250D3">
      <w:pPr>
        <w:adjustRightInd w:val="0"/>
        <w:snapToGrid w:val="0"/>
        <w:spacing w:line="600" w:lineRule="exact"/>
        <w:ind w:firstLineChars="200" w:firstLine="640"/>
        <w:rPr>
          <w:rFonts w:ascii="仿宋_GB2312" w:eastAsia="仿宋_GB2312" w:hAnsi="宋体"/>
          <w:sz w:val="32"/>
          <w:szCs w:val="32"/>
          <w:bdr w:val="single" w:sz="4" w:space="0" w:color="auto"/>
          <w:lang w:val="zh-CN"/>
        </w:rPr>
      </w:pPr>
      <w:r w:rsidRPr="005250D3">
        <w:rPr>
          <w:rFonts w:ascii="仿宋_GB2312" w:eastAsia="仿宋_GB2312" w:hAnsi="宋体" w:hint="eastAsia"/>
          <w:sz w:val="32"/>
          <w:szCs w:val="32"/>
          <w:lang w:val="zh-CN"/>
        </w:rPr>
        <w:t>建立坐标一致、边界吻合、上下贯通的国土空间规划“一张图”，是贯彻落</w:t>
      </w:r>
      <w:proofErr w:type="gramStart"/>
      <w:r w:rsidRPr="005250D3">
        <w:rPr>
          <w:rFonts w:ascii="仿宋_GB2312" w:eastAsia="仿宋_GB2312" w:hAnsi="宋体" w:hint="eastAsia"/>
          <w:sz w:val="32"/>
          <w:szCs w:val="32"/>
          <w:lang w:val="zh-CN"/>
        </w:rPr>
        <w:t>实习近</w:t>
      </w:r>
      <w:proofErr w:type="gramEnd"/>
      <w:r w:rsidRPr="005250D3">
        <w:rPr>
          <w:rFonts w:ascii="仿宋_GB2312" w:eastAsia="仿宋_GB2312" w:hAnsi="宋体" w:hint="eastAsia"/>
          <w:sz w:val="32"/>
          <w:szCs w:val="32"/>
          <w:lang w:val="zh-CN"/>
        </w:rPr>
        <w:t>平总书记“统一底图、统一标准、统一规划、统一平台”重要指示的基础性工作，我局坚持新发展理念，对照高质量发展要求，积极探索，勇于创新，高效统筹推进国土空间基础信息平台和国土空间规划“一张图”实施监督信息系统建设工作，该项工作第一阶段已完成，基本达到预期目标。</w:t>
      </w:r>
    </w:p>
    <w:p w:rsidR="00457321" w:rsidRDefault="006572C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lastRenderedPageBreak/>
        <w:t>（二）存在的问题。</w:t>
      </w:r>
    </w:p>
    <w:p w:rsidR="00457321" w:rsidRDefault="00101D20" w:rsidP="00101D20">
      <w:pPr>
        <w:adjustRightInd w:val="0"/>
        <w:snapToGrid w:val="0"/>
        <w:spacing w:line="600" w:lineRule="exact"/>
        <w:ind w:firstLineChars="200" w:firstLine="640"/>
        <w:rPr>
          <w:rFonts w:ascii="仿宋_GB2312" w:eastAsia="仿宋_GB2312" w:hAnsi="宋体"/>
          <w:sz w:val="32"/>
          <w:szCs w:val="32"/>
          <w:lang w:val="zh-CN"/>
        </w:rPr>
      </w:pPr>
      <w:r w:rsidRPr="00101D20">
        <w:rPr>
          <w:rFonts w:ascii="仿宋_GB2312" w:eastAsia="仿宋_GB2312" w:hAnsi="宋体" w:hint="eastAsia"/>
          <w:sz w:val="32"/>
          <w:szCs w:val="32"/>
          <w:lang w:val="zh-CN"/>
        </w:rPr>
        <w:t>该项工作技术难度大，我局专业人才匮乏，同时经办人员缺乏相关技术培训，导致未能100%实现预期目标。</w:t>
      </w:r>
    </w:p>
    <w:p w:rsidR="00457321" w:rsidRDefault="006572CB">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rsidR="00457321" w:rsidRDefault="00101D20" w:rsidP="00101D20">
      <w:pPr>
        <w:adjustRightInd w:val="0"/>
        <w:snapToGrid w:val="0"/>
        <w:spacing w:line="600" w:lineRule="exact"/>
        <w:ind w:firstLineChars="200" w:firstLine="643"/>
        <w:rPr>
          <w:rFonts w:ascii="仿宋_GB2312" w:eastAsia="仿宋_GB2312" w:hAnsi="宋体"/>
          <w:sz w:val="32"/>
          <w:szCs w:val="32"/>
          <w:lang w:val="zh-CN"/>
        </w:rPr>
      </w:pPr>
      <w:r w:rsidRPr="00101D20">
        <w:rPr>
          <w:rFonts w:ascii="仿宋_GB2312" w:eastAsia="仿宋_GB2312" w:hAnsi="宋体" w:hint="eastAsia"/>
          <w:b/>
          <w:sz w:val="32"/>
          <w:szCs w:val="32"/>
          <w:lang w:val="zh-CN"/>
        </w:rPr>
        <w:t>一是</w:t>
      </w:r>
      <w:r w:rsidRPr="00101D20">
        <w:rPr>
          <w:rFonts w:ascii="仿宋_GB2312" w:eastAsia="仿宋_GB2312" w:hAnsi="宋体" w:hint="eastAsia"/>
          <w:sz w:val="32"/>
          <w:szCs w:val="32"/>
          <w:lang w:val="zh-CN"/>
        </w:rPr>
        <w:t>加强业务培训，做实系统运行基座。全面启动盐边县国土空间规划“一张图”实施监督信息系统试运行工作，加快完善县自然资源系统内部使用人员清单，并按阶段、按业务需求开展系统培训，逐步建立系统管理和运行维护机制，由试运行逐步过渡到常态化运行；</w:t>
      </w:r>
      <w:r w:rsidRPr="00101D20">
        <w:rPr>
          <w:rFonts w:ascii="仿宋_GB2312" w:eastAsia="仿宋_GB2312" w:hAnsi="宋体" w:hint="eastAsia"/>
          <w:b/>
          <w:sz w:val="32"/>
          <w:szCs w:val="32"/>
          <w:lang w:val="zh-CN"/>
        </w:rPr>
        <w:t>二是</w:t>
      </w:r>
      <w:r w:rsidRPr="00101D20">
        <w:rPr>
          <w:rFonts w:ascii="仿宋_GB2312" w:eastAsia="仿宋_GB2312" w:hAnsi="宋体" w:hint="eastAsia"/>
          <w:sz w:val="32"/>
          <w:szCs w:val="32"/>
          <w:lang w:val="zh-CN"/>
        </w:rPr>
        <w:t>加强数据整合，搭好系统功能梁柱。持续完善系统数据清单，利用基础信息平台强化数据管理及应用，协同推进规划编制与信息化建设。</w:t>
      </w:r>
    </w:p>
    <w:p w:rsidR="00457321" w:rsidRDefault="00457321" w:rsidP="00C22BD0">
      <w:pPr>
        <w:pStyle w:val="a0"/>
        <w:spacing w:before="93"/>
        <w:rPr>
          <w:lang w:val="zh-CN"/>
        </w:rPr>
      </w:pPr>
    </w:p>
    <w:p w:rsidR="00457321" w:rsidRDefault="00457321" w:rsidP="00C22BD0">
      <w:pPr>
        <w:pStyle w:val="a0"/>
        <w:spacing w:before="93"/>
        <w:rPr>
          <w:lang w:val="zh-CN"/>
        </w:rPr>
      </w:pPr>
    </w:p>
    <w:p w:rsidR="00457321" w:rsidRDefault="00457321" w:rsidP="00C22BD0">
      <w:pPr>
        <w:pStyle w:val="a0"/>
        <w:spacing w:before="93"/>
        <w:rPr>
          <w:lang w:val="zh-CN"/>
        </w:rPr>
      </w:pPr>
    </w:p>
    <w:p w:rsidR="00457321" w:rsidRDefault="00457321" w:rsidP="00C22BD0">
      <w:pPr>
        <w:pStyle w:val="a0"/>
        <w:spacing w:before="93"/>
        <w:rPr>
          <w:lang w:val="zh-CN"/>
        </w:rPr>
      </w:pPr>
    </w:p>
    <w:p w:rsidR="00457321" w:rsidRDefault="00457321" w:rsidP="00C22BD0">
      <w:pPr>
        <w:pStyle w:val="a0"/>
        <w:spacing w:before="93"/>
        <w:rPr>
          <w:lang w:val="zh-CN"/>
        </w:rPr>
      </w:pPr>
    </w:p>
    <w:p w:rsidR="00457321" w:rsidRDefault="00457321" w:rsidP="00C22BD0">
      <w:pPr>
        <w:pStyle w:val="a0"/>
        <w:spacing w:before="93"/>
        <w:rPr>
          <w:lang w:val="zh-CN"/>
        </w:rPr>
      </w:pPr>
    </w:p>
    <w:p w:rsidR="00457321" w:rsidRDefault="00457321" w:rsidP="00C22BD0">
      <w:pPr>
        <w:pStyle w:val="a0"/>
        <w:spacing w:before="93"/>
        <w:rPr>
          <w:lang w:val="zh-CN"/>
        </w:rPr>
      </w:pPr>
    </w:p>
    <w:p w:rsidR="00457321" w:rsidRDefault="00457321" w:rsidP="00C22BD0">
      <w:pPr>
        <w:pStyle w:val="a0"/>
        <w:spacing w:before="93"/>
        <w:rPr>
          <w:lang w:val="zh-CN"/>
        </w:rPr>
      </w:pPr>
    </w:p>
    <w:p w:rsidR="00457321" w:rsidRDefault="00457321" w:rsidP="00C22BD0">
      <w:pPr>
        <w:pStyle w:val="a0"/>
        <w:spacing w:before="93"/>
        <w:rPr>
          <w:lang w:val="zh-CN"/>
        </w:rPr>
      </w:pPr>
    </w:p>
    <w:p w:rsidR="00457321" w:rsidRDefault="00457321" w:rsidP="00C22BD0">
      <w:pPr>
        <w:pStyle w:val="a0"/>
        <w:spacing w:before="93"/>
        <w:rPr>
          <w:lang w:val="zh-CN"/>
        </w:rPr>
      </w:pPr>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1976"/>
        <w:gridCol w:w="1142"/>
        <w:gridCol w:w="1635"/>
        <w:gridCol w:w="1189"/>
        <w:gridCol w:w="1224"/>
        <w:gridCol w:w="455"/>
        <w:gridCol w:w="1954"/>
        <w:gridCol w:w="236"/>
      </w:tblGrid>
      <w:tr w:rsidR="00457321" w:rsidTr="00101D20">
        <w:trPr>
          <w:trHeight w:val="675"/>
        </w:trPr>
        <w:tc>
          <w:tcPr>
            <w:tcW w:w="9575" w:type="dxa"/>
            <w:gridSpan w:val="7"/>
            <w:tcBorders>
              <w:top w:val="nil"/>
              <w:left w:val="nil"/>
              <w:bottom w:val="nil"/>
              <w:right w:val="nil"/>
            </w:tcBorders>
            <w:shd w:val="clear" w:color="auto" w:fill="auto"/>
            <w:vAlign w:val="center"/>
          </w:tcPr>
          <w:p w:rsidR="00457321" w:rsidRDefault="006572CB">
            <w:pPr>
              <w:widowControl/>
              <w:textAlignment w:val="center"/>
              <w:rPr>
                <w:rFonts w:ascii="宋体" w:hAnsi="宋体" w:cs="宋体"/>
                <w:b/>
                <w:sz w:val="32"/>
                <w:szCs w:val="32"/>
              </w:rPr>
            </w:pPr>
            <w:r>
              <w:rPr>
                <w:rFonts w:ascii="宋体" w:hAnsi="宋体" w:cs="宋体" w:hint="eastAsia"/>
                <w:b/>
                <w:sz w:val="32"/>
                <w:szCs w:val="32"/>
              </w:rPr>
              <w:lastRenderedPageBreak/>
              <w:t>2021年100万元以上（含）特定目标类部门预算项目绩效目标自评</w:t>
            </w:r>
          </w:p>
        </w:tc>
        <w:tc>
          <w:tcPr>
            <w:tcW w:w="236" w:type="dxa"/>
            <w:tcBorders>
              <w:top w:val="nil"/>
              <w:left w:val="nil"/>
              <w:bottom w:val="nil"/>
              <w:right w:val="nil"/>
            </w:tcBorders>
            <w:shd w:val="clear" w:color="auto" w:fill="auto"/>
            <w:vAlign w:val="center"/>
          </w:tcPr>
          <w:p w:rsidR="00457321" w:rsidRDefault="00457321">
            <w:pPr>
              <w:widowControl/>
              <w:jc w:val="center"/>
              <w:textAlignment w:val="center"/>
              <w:rPr>
                <w:rFonts w:ascii="宋体" w:hAnsi="宋体" w:cs="宋体"/>
                <w:b/>
                <w:kern w:val="0"/>
                <w:sz w:val="32"/>
                <w:szCs w:val="32"/>
              </w:rPr>
            </w:pPr>
          </w:p>
        </w:tc>
      </w:tr>
      <w:tr w:rsidR="00457321" w:rsidTr="00101D20">
        <w:trPr>
          <w:gridAfter w:val="1"/>
          <w:wAfter w:w="236" w:type="dxa"/>
          <w:trHeight w:val="254"/>
        </w:trPr>
        <w:tc>
          <w:tcPr>
            <w:tcW w:w="31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7321" w:rsidRDefault="006572CB">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7321" w:rsidRPr="00101D20" w:rsidRDefault="00101D20">
            <w:pPr>
              <w:widowControl/>
              <w:spacing w:line="320" w:lineRule="exact"/>
              <w:textAlignment w:val="center"/>
              <w:rPr>
                <w:rFonts w:ascii="宋体" w:hAnsi="宋体" w:cs="宋体"/>
                <w:szCs w:val="21"/>
              </w:rPr>
            </w:pPr>
            <w:r w:rsidRPr="00101D20">
              <w:rPr>
                <w:rFonts w:ascii="宋体" w:hAnsi="宋体" w:cs="宋体" w:hint="eastAsia"/>
                <w:szCs w:val="21"/>
              </w:rPr>
              <w:t>盐边县自然资源和规划局</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321" w:rsidRDefault="006572CB">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7321" w:rsidRDefault="00457321">
            <w:pPr>
              <w:widowControl/>
              <w:spacing w:line="320" w:lineRule="exact"/>
              <w:jc w:val="center"/>
              <w:textAlignment w:val="center"/>
              <w:rPr>
                <w:rFonts w:ascii="宋体" w:hAnsi="宋体" w:cs="宋体"/>
                <w:sz w:val="24"/>
              </w:rPr>
            </w:pPr>
          </w:p>
        </w:tc>
      </w:tr>
      <w:tr w:rsidR="00457321" w:rsidTr="00101D20">
        <w:trPr>
          <w:gridAfter w:val="1"/>
          <w:wAfter w:w="236" w:type="dxa"/>
          <w:trHeight w:val="341"/>
        </w:trPr>
        <w:tc>
          <w:tcPr>
            <w:tcW w:w="31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7321" w:rsidRDefault="006572CB">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321" w:rsidRDefault="006572CB">
            <w:pPr>
              <w:widowControl/>
              <w:spacing w:line="320" w:lineRule="exact"/>
              <w:jc w:val="left"/>
              <w:textAlignment w:val="center"/>
              <w:rPr>
                <w:rFonts w:ascii="宋体" w:hAnsi="宋体" w:cs="宋体"/>
                <w:sz w:val="24"/>
              </w:rPr>
            </w:pPr>
            <w:r>
              <w:rPr>
                <w:rFonts w:ascii="宋体" w:hAnsi="宋体" w:cs="宋体" w:hint="eastAsia"/>
                <w:kern w:val="0"/>
                <w:sz w:val="24"/>
              </w:rPr>
              <w:t xml:space="preserve"> 预算数：</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321" w:rsidRDefault="00101D20">
            <w:pPr>
              <w:widowControl/>
              <w:spacing w:line="320" w:lineRule="exact"/>
              <w:jc w:val="left"/>
              <w:textAlignment w:val="center"/>
              <w:rPr>
                <w:rFonts w:ascii="宋体" w:hAnsi="宋体" w:cs="宋体"/>
                <w:sz w:val="24"/>
              </w:rPr>
            </w:pPr>
            <w:r>
              <w:rPr>
                <w:rFonts w:ascii="宋体" w:hAnsi="宋体" w:cs="宋体" w:hint="eastAsia"/>
                <w:sz w:val="24"/>
              </w:rPr>
              <w:t>148.80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321" w:rsidRDefault="006572CB">
            <w:pPr>
              <w:widowControl/>
              <w:spacing w:line="320" w:lineRule="exact"/>
              <w:jc w:val="left"/>
              <w:textAlignment w:val="center"/>
              <w:rPr>
                <w:rFonts w:ascii="宋体" w:hAnsi="宋体" w:cs="宋体"/>
                <w:sz w:val="24"/>
              </w:rPr>
            </w:pPr>
            <w:r>
              <w:rPr>
                <w:rFonts w:ascii="宋体" w:hAnsi="宋体" w:cs="宋体" w:hint="eastAsia"/>
                <w:kern w:val="0"/>
                <w:sz w:val="24"/>
              </w:rPr>
              <w:t xml:space="preserve"> 执行数：</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7321" w:rsidRDefault="00101D20">
            <w:pPr>
              <w:widowControl/>
              <w:spacing w:line="320" w:lineRule="exact"/>
              <w:jc w:val="right"/>
              <w:textAlignment w:val="center"/>
              <w:rPr>
                <w:rFonts w:ascii="宋体" w:hAnsi="宋体" w:cs="宋体"/>
                <w:sz w:val="24"/>
              </w:rPr>
            </w:pPr>
            <w:r>
              <w:rPr>
                <w:rFonts w:ascii="宋体" w:hAnsi="宋体" w:cs="宋体" w:hint="eastAsia"/>
                <w:sz w:val="24"/>
              </w:rPr>
              <w:t>148.80</w:t>
            </w:r>
          </w:p>
        </w:tc>
      </w:tr>
      <w:tr w:rsidR="00457321" w:rsidTr="00101D20">
        <w:trPr>
          <w:gridAfter w:val="1"/>
          <w:wAfter w:w="236" w:type="dxa"/>
          <w:trHeight w:val="555"/>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57321" w:rsidRDefault="00457321">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321" w:rsidRDefault="006572CB">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457321" w:rsidRDefault="006572CB">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321" w:rsidRDefault="00101D20">
            <w:pPr>
              <w:widowControl/>
              <w:spacing w:line="320" w:lineRule="exact"/>
              <w:jc w:val="left"/>
              <w:textAlignment w:val="center"/>
              <w:rPr>
                <w:rFonts w:ascii="宋体" w:hAnsi="宋体" w:cs="宋体"/>
                <w:sz w:val="24"/>
              </w:rPr>
            </w:pPr>
            <w:r>
              <w:rPr>
                <w:rFonts w:ascii="宋体" w:hAnsi="宋体" w:cs="宋体" w:hint="eastAsia"/>
                <w:sz w:val="24"/>
              </w:rPr>
              <w:t>148.80</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321" w:rsidRDefault="006572CB">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rsidR="00457321" w:rsidRDefault="006572CB">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7321" w:rsidRDefault="00101D20">
            <w:pPr>
              <w:widowControl/>
              <w:spacing w:line="320" w:lineRule="exact"/>
              <w:textAlignment w:val="center"/>
              <w:rPr>
                <w:rFonts w:ascii="宋体" w:hAnsi="宋体" w:cs="宋体"/>
                <w:sz w:val="24"/>
              </w:rPr>
            </w:pPr>
            <w:r>
              <w:rPr>
                <w:rFonts w:ascii="宋体" w:hAnsi="宋体" w:cs="宋体" w:hint="eastAsia"/>
                <w:sz w:val="24"/>
              </w:rPr>
              <w:t>148.80</w:t>
            </w:r>
          </w:p>
        </w:tc>
      </w:tr>
      <w:tr w:rsidR="00457321" w:rsidTr="00101D20">
        <w:trPr>
          <w:gridAfter w:val="1"/>
          <w:wAfter w:w="236" w:type="dxa"/>
          <w:trHeight w:val="341"/>
        </w:trPr>
        <w:tc>
          <w:tcPr>
            <w:tcW w:w="31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57321" w:rsidRDefault="00457321">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321" w:rsidRDefault="006572CB">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321" w:rsidRDefault="00457321">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321" w:rsidRDefault="006572CB">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7321" w:rsidRDefault="00457321">
            <w:pPr>
              <w:widowControl/>
              <w:spacing w:line="320" w:lineRule="exact"/>
              <w:jc w:val="center"/>
              <w:textAlignment w:val="center"/>
              <w:rPr>
                <w:rFonts w:ascii="宋体" w:hAnsi="宋体" w:cs="宋体"/>
                <w:sz w:val="24"/>
              </w:rPr>
            </w:pPr>
          </w:p>
        </w:tc>
      </w:tr>
      <w:tr w:rsidR="00457321" w:rsidTr="00101D20">
        <w:trPr>
          <w:gridAfter w:val="1"/>
          <w:wAfter w:w="236" w:type="dxa"/>
          <w:trHeight w:val="217"/>
        </w:trPr>
        <w:tc>
          <w:tcPr>
            <w:tcW w:w="1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7321" w:rsidRDefault="006572CB">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rsidR="00457321" w:rsidRDefault="006572CB">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57321" w:rsidRDefault="006572CB">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6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57321" w:rsidRDefault="006572CB">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457321" w:rsidTr="00101D20">
        <w:trPr>
          <w:gridAfter w:val="1"/>
          <w:wAfter w:w="236" w:type="dxa"/>
          <w:trHeight w:val="797"/>
        </w:trPr>
        <w:tc>
          <w:tcPr>
            <w:tcW w:w="19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7321" w:rsidRDefault="00457321">
            <w:pPr>
              <w:spacing w:line="320" w:lineRule="exact"/>
              <w:jc w:val="center"/>
              <w:rPr>
                <w:rFonts w:ascii="宋体" w:hAnsi="宋体" w:cs="宋体"/>
                <w:sz w:val="24"/>
              </w:rPr>
            </w:pPr>
          </w:p>
        </w:tc>
        <w:tc>
          <w:tcPr>
            <w:tcW w:w="3966" w:type="dxa"/>
            <w:gridSpan w:val="3"/>
            <w:tcBorders>
              <w:top w:val="single" w:sz="4" w:space="0" w:color="000000"/>
              <w:left w:val="single" w:sz="4" w:space="0" w:color="000000"/>
              <w:bottom w:val="single" w:sz="4" w:space="0" w:color="000000"/>
              <w:right w:val="single" w:sz="4" w:space="0" w:color="000000"/>
            </w:tcBorders>
            <w:shd w:val="clear" w:color="auto" w:fill="auto"/>
          </w:tcPr>
          <w:p w:rsidR="00457321" w:rsidRPr="00101D20" w:rsidRDefault="00101D20">
            <w:pPr>
              <w:widowControl/>
              <w:spacing w:line="320" w:lineRule="exact"/>
              <w:jc w:val="left"/>
              <w:textAlignment w:val="top"/>
              <w:rPr>
                <w:rFonts w:ascii="宋体" w:hAnsi="宋体" w:cs="宋体"/>
                <w:sz w:val="18"/>
                <w:szCs w:val="18"/>
              </w:rPr>
            </w:pPr>
            <w:r w:rsidRPr="00101D20">
              <w:rPr>
                <w:rFonts w:ascii="宋体" w:hAnsi="宋体" w:cs="宋体" w:hint="eastAsia"/>
                <w:sz w:val="18"/>
                <w:szCs w:val="18"/>
              </w:rPr>
              <w:t>对现行城市总体规划和土地利用总体规划的实施情况进行评估；开展资源环境承载力评价和国土空间开发适宜性评价，划定生态保护红线、永久基本农田和城镇开发边界；开展专题研究，以专题研究结论为基础，确定盐边县国土空间开发保护战略目标和总体格局，明确开发边界内集中建设地区的功能布局，明确城市主要发展方向、空间形态和用地结构，并同步构建国土空间规划“一张图”实施监督信息系统</w:t>
            </w:r>
          </w:p>
        </w:tc>
        <w:tc>
          <w:tcPr>
            <w:tcW w:w="363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57321" w:rsidRDefault="00101D20" w:rsidP="00101D20">
            <w:pPr>
              <w:widowControl/>
              <w:spacing w:line="320" w:lineRule="exact"/>
              <w:jc w:val="center"/>
              <w:textAlignment w:val="top"/>
              <w:rPr>
                <w:rFonts w:ascii="宋体" w:hAnsi="宋体" w:cs="宋体"/>
                <w:sz w:val="24"/>
              </w:rPr>
            </w:pPr>
            <w:r w:rsidRPr="00101D20">
              <w:rPr>
                <w:rFonts w:ascii="宋体" w:hAnsi="宋体" w:cs="宋体" w:hint="eastAsia"/>
                <w:sz w:val="24"/>
              </w:rPr>
              <w:t>已完成</w:t>
            </w:r>
          </w:p>
        </w:tc>
      </w:tr>
      <w:tr w:rsidR="00457321" w:rsidTr="00101D20">
        <w:trPr>
          <w:gridAfter w:val="1"/>
          <w:wAfter w:w="236" w:type="dxa"/>
          <w:trHeight w:val="693"/>
        </w:trPr>
        <w:tc>
          <w:tcPr>
            <w:tcW w:w="1976" w:type="dxa"/>
            <w:vMerge w:val="restart"/>
            <w:tcBorders>
              <w:top w:val="single" w:sz="4" w:space="0" w:color="000000"/>
              <w:left w:val="single" w:sz="4" w:space="0" w:color="000000"/>
              <w:right w:val="single" w:sz="4" w:space="0" w:color="000000"/>
            </w:tcBorders>
            <w:shd w:val="clear" w:color="auto" w:fill="auto"/>
            <w:vAlign w:val="center"/>
          </w:tcPr>
          <w:p w:rsidR="00457321" w:rsidRDefault="006572CB">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shd w:val="clear" w:color="auto" w:fill="auto"/>
            <w:vAlign w:val="center"/>
          </w:tcPr>
          <w:p w:rsidR="00457321" w:rsidRDefault="006572CB">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rsidR="00457321" w:rsidRDefault="006572CB">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321" w:rsidRDefault="006572CB">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rsidR="00457321" w:rsidRDefault="006572CB">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321" w:rsidRDefault="006572CB">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rsidR="00457321" w:rsidRDefault="006572CB">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7321" w:rsidRDefault="006572CB">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321" w:rsidRDefault="006572CB">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457321" w:rsidTr="00101D20">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457321" w:rsidRDefault="00457321">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7321" w:rsidRDefault="006572CB">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rsidR="00457321" w:rsidRDefault="006572CB">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7321" w:rsidRDefault="006572CB">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r w:rsidR="00101D20">
              <w:rPr>
                <w:rFonts w:ascii="仿宋_GB2312" w:eastAsia="仿宋_GB2312" w:hAnsi="仿宋_GB2312" w:cs="仿宋_GB2312" w:hint="eastAsia"/>
                <w:kern w:val="0"/>
                <w:sz w:val="28"/>
                <w:szCs w:val="28"/>
              </w:rPr>
              <w:t>1</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7321" w:rsidRPr="00101D20" w:rsidRDefault="00101D20">
            <w:pPr>
              <w:widowControl/>
              <w:spacing w:line="320" w:lineRule="exact"/>
              <w:jc w:val="center"/>
              <w:textAlignment w:val="bottom"/>
              <w:rPr>
                <w:rFonts w:ascii="仿宋_GB2312" w:eastAsia="仿宋_GB2312" w:hAnsi="仿宋_GB2312" w:cs="仿宋_GB2312"/>
                <w:sz w:val="24"/>
              </w:rPr>
            </w:pPr>
            <w:r w:rsidRPr="00101D20">
              <w:rPr>
                <w:rFonts w:ascii="仿宋_GB2312" w:eastAsia="仿宋_GB2312" w:hAnsi="仿宋_GB2312" w:cs="仿宋_GB2312" w:hint="eastAsia"/>
                <w:sz w:val="24"/>
              </w:rPr>
              <w:t>土地</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57321" w:rsidRPr="00101D20" w:rsidRDefault="00101D20">
            <w:pPr>
              <w:widowControl/>
              <w:spacing w:line="320" w:lineRule="exact"/>
              <w:jc w:val="center"/>
              <w:textAlignment w:val="bottom"/>
              <w:rPr>
                <w:rFonts w:ascii="仿宋_GB2312" w:eastAsia="仿宋_GB2312" w:hAnsi="仿宋_GB2312" w:cs="仿宋_GB2312"/>
                <w:sz w:val="24"/>
              </w:rPr>
            </w:pPr>
            <w:r w:rsidRPr="00101D20">
              <w:rPr>
                <w:rFonts w:ascii="仿宋_GB2312" w:eastAsia="仿宋_GB2312" w:hAnsi="仿宋_GB2312" w:cs="仿宋_GB2312" w:hint="eastAsia"/>
                <w:sz w:val="24"/>
              </w:rPr>
              <w:t>5103平米</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7321" w:rsidRPr="00101D20" w:rsidRDefault="00101D20">
            <w:pPr>
              <w:widowControl/>
              <w:spacing w:line="320" w:lineRule="exact"/>
              <w:jc w:val="center"/>
              <w:textAlignment w:val="bottom"/>
              <w:rPr>
                <w:rFonts w:ascii="仿宋_GB2312" w:eastAsia="仿宋_GB2312" w:hAnsi="仿宋_GB2312" w:cs="仿宋_GB2312"/>
                <w:sz w:val="24"/>
              </w:rPr>
            </w:pPr>
            <w:r w:rsidRPr="00101D20">
              <w:rPr>
                <w:rFonts w:ascii="仿宋_GB2312" w:eastAsia="仿宋_GB2312" w:hAnsi="仿宋_GB2312" w:cs="仿宋_GB2312" w:hint="eastAsia"/>
                <w:sz w:val="24"/>
              </w:rPr>
              <w:t>5103平米</w:t>
            </w:r>
          </w:p>
        </w:tc>
      </w:tr>
      <w:tr w:rsidR="00457321" w:rsidTr="00101D20">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457321" w:rsidRDefault="00457321">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57321" w:rsidRDefault="00457321">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7321" w:rsidRDefault="00101D20" w:rsidP="00101D2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数量指标2</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7321" w:rsidRPr="00101D20" w:rsidRDefault="00101D20">
            <w:pPr>
              <w:widowControl/>
              <w:spacing w:line="320" w:lineRule="exact"/>
              <w:jc w:val="center"/>
              <w:textAlignment w:val="bottom"/>
              <w:rPr>
                <w:rFonts w:ascii="仿宋_GB2312" w:eastAsia="仿宋_GB2312" w:hAnsi="仿宋_GB2312" w:cs="仿宋_GB2312"/>
                <w:sz w:val="24"/>
              </w:rPr>
            </w:pPr>
            <w:r w:rsidRPr="00101D20">
              <w:rPr>
                <w:rFonts w:ascii="仿宋_GB2312" w:eastAsia="仿宋_GB2312" w:hAnsi="仿宋_GB2312" w:cs="仿宋_GB2312" w:hint="eastAsia"/>
                <w:sz w:val="24"/>
              </w:rPr>
              <w:t>建筑物</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57321" w:rsidRPr="00101D20" w:rsidRDefault="00101D20">
            <w:pPr>
              <w:widowControl/>
              <w:spacing w:line="320" w:lineRule="exact"/>
              <w:jc w:val="center"/>
              <w:textAlignment w:val="bottom"/>
              <w:rPr>
                <w:rFonts w:ascii="仿宋_GB2312" w:eastAsia="仿宋_GB2312" w:hAnsi="仿宋_GB2312" w:cs="仿宋_GB2312"/>
                <w:sz w:val="24"/>
              </w:rPr>
            </w:pPr>
            <w:r w:rsidRPr="00101D20">
              <w:rPr>
                <w:rFonts w:ascii="仿宋_GB2312" w:eastAsia="仿宋_GB2312" w:hAnsi="仿宋_GB2312" w:cs="仿宋_GB2312" w:hint="eastAsia"/>
                <w:sz w:val="24"/>
              </w:rPr>
              <w:t>942.73平米</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7321" w:rsidRPr="00101D20" w:rsidRDefault="00101D20">
            <w:pPr>
              <w:widowControl/>
              <w:spacing w:line="320" w:lineRule="exact"/>
              <w:jc w:val="center"/>
              <w:textAlignment w:val="bottom"/>
              <w:rPr>
                <w:rFonts w:ascii="仿宋_GB2312" w:eastAsia="仿宋_GB2312" w:hAnsi="仿宋_GB2312" w:cs="仿宋_GB2312"/>
                <w:sz w:val="24"/>
              </w:rPr>
            </w:pPr>
            <w:r w:rsidRPr="00101D20">
              <w:rPr>
                <w:rFonts w:ascii="仿宋_GB2312" w:eastAsia="仿宋_GB2312" w:hAnsi="仿宋_GB2312" w:cs="仿宋_GB2312" w:hint="eastAsia"/>
                <w:sz w:val="24"/>
              </w:rPr>
              <w:t>942.73平米</w:t>
            </w:r>
          </w:p>
        </w:tc>
      </w:tr>
      <w:tr w:rsidR="00101D20" w:rsidTr="00101D20">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101D20" w:rsidRDefault="00101D20">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101D20" w:rsidRDefault="00101D20">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D20" w:rsidRDefault="00101D20" w:rsidP="00101D20">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数量指标3</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D20" w:rsidRPr="00101D20" w:rsidRDefault="00101D20" w:rsidP="00101D20">
            <w:pPr>
              <w:widowControl/>
              <w:spacing w:line="320" w:lineRule="exact"/>
              <w:jc w:val="center"/>
              <w:textAlignment w:val="bottom"/>
              <w:rPr>
                <w:rFonts w:ascii="仿宋_GB2312" w:eastAsia="仿宋_GB2312" w:hAnsi="仿宋_GB2312" w:cs="仿宋_GB2312"/>
                <w:szCs w:val="21"/>
              </w:rPr>
            </w:pPr>
            <w:r w:rsidRPr="00101D20">
              <w:rPr>
                <w:rFonts w:ascii="仿宋_GB2312" w:eastAsia="仿宋_GB2312" w:hAnsi="仿宋_GB2312" w:cs="仿宋_GB2312" w:hint="eastAsia"/>
                <w:szCs w:val="21"/>
              </w:rPr>
              <w:t>构筑物、树木绿化、</w:t>
            </w:r>
          </w:p>
          <w:p w:rsidR="00101D20" w:rsidRPr="00101D20" w:rsidRDefault="00101D20" w:rsidP="00101D20">
            <w:pPr>
              <w:widowControl/>
              <w:spacing w:line="320" w:lineRule="exact"/>
              <w:jc w:val="center"/>
              <w:textAlignment w:val="bottom"/>
              <w:rPr>
                <w:rFonts w:ascii="仿宋_GB2312" w:eastAsia="仿宋_GB2312" w:hAnsi="仿宋_GB2312" w:cs="仿宋_GB2312"/>
                <w:sz w:val="24"/>
              </w:rPr>
            </w:pPr>
            <w:r w:rsidRPr="00101D20">
              <w:rPr>
                <w:rFonts w:ascii="仿宋_GB2312" w:eastAsia="仿宋_GB2312" w:hAnsi="仿宋_GB2312" w:cs="仿宋_GB2312" w:hint="eastAsia"/>
                <w:szCs w:val="21"/>
              </w:rPr>
              <w:t>机器设备搬迁</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01D20" w:rsidRPr="00101D20" w:rsidRDefault="00101D20" w:rsidP="00101D20">
            <w:pPr>
              <w:widowControl/>
              <w:spacing w:line="320" w:lineRule="exact"/>
              <w:jc w:val="center"/>
              <w:textAlignment w:val="bottom"/>
              <w:rPr>
                <w:rFonts w:ascii="仿宋_GB2312" w:eastAsia="仿宋_GB2312" w:hAnsi="仿宋_GB2312" w:cs="仿宋_GB2312"/>
                <w:sz w:val="24"/>
              </w:rPr>
            </w:pPr>
            <w:r w:rsidRPr="00101D20">
              <w:rPr>
                <w:rFonts w:ascii="仿宋_GB2312" w:eastAsia="仿宋_GB2312" w:hAnsi="仿宋_GB2312" w:cs="仿宋_GB2312" w:hint="eastAsia"/>
                <w:sz w:val="24"/>
              </w:rPr>
              <w:t>全覆盖</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D20" w:rsidRPr="00101D20" w:rsidRDefault="00101D20" w:rsidP="00101D20">
            <w:pPr>
              <w:widowControl/>
              <w:spacing w:line="320" w:lineRule="exact"/>
              <w:jc w:val="center"/>
              <w:textAlignment w:val="bottom"/>
              <w:rPr>
                <w:rFonts w:ascii="仿宋_GB2312" w:eastAsia="仿宋_GB2312" w:hAnsi="仿宋_GB2312" w:cs="仿宋_GB2312"/>
                <w:sz w:val="24"/>
              </w:rPr>
            </w:pPr>
            <w:r w:rsidRPr="00101D20">
              <w:rPr>
                <w:rFonts w:ascii="仿宋_GB2312" w:eastAsia="仿宋_GB2312" w:hAnsi="仿宋_GB2312" w:cs="仿宋_GB2312" w:hint="eastAsia"/>
                <w:sz w:val="24"/>
              </w:rPr>
              <w:t>全覆盖</w:t>
            </w:r>
          </w:p>
        </w:tc>
      </w:tr>
      <w:tr w:rsidR="00457321" w:rsidTr="00101D20">
        <w:trPr>
          <w:gridAfter w:val="1"/>
          <w:wAfter w:w="236" w:type="dxa"/>
          <w:trHeight w:val="415"/>
        </w:trPr>
        <w:tc>
          <w:tcPr>
            <w:tcW w:w="1976" w:type="dxa"/>
            <w:vMerge/>
            <w:tcBorders>
              <w:left w:val="single" w:sz="4" w:space="0" w:color="000000"/>
              <w:right w:val="single" w:sz="4" w:space="0" w:color="000000"/>
            </w:tcBorders>
            <w:shd w:val="clear" w:color="auto" w:fill="auto"/>
            <w:vAlign w:val="center"/>
          </w:tcPr>
          <w:p w:rsidR="00457321" w:rsidRDefault="00457321">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457321" w:rsidRDefault="00457321">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7321" w:rsidRDefault="006572CB">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7321" w:rsidRPr="00101D20" w:rsidRDefault="00101D20">
            <w:pPr>
              <w:widowControl/>
              <w:spacing w:line="320" w:lineRule="exact"/>
              <w:jc w:val="center"/>
              <w:textAlignment w:val="bottom"/>
              <w:rPr>
                <w:rFonts w:ascii="仿宋_GB2312" w:eastAsia="仿宋_GB2312" w:hAnsi="仿宋_GB2312" w:cs="仿宋_GB2312"/>
                <w:sz w:val="24"/>
              </w:rPr>
            </w:pPr>
            <w:r w:rsidRPr="00101D20">
              <w:rPr>
                <w:rFonts w:ascii="仿宋_GB2312" w:eastAsia="仿宋_GB2312" w:hAnsi="仿宋_GB2312" w:cs="仿宋_GB2312" w:hint="eastAsia"/>
                <w:sz w:val="24"/>
              </w:rPr>
              <w:t>完成时限</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457321" w:rsidRPr="00101D20" w:rsidRDefault="00101D20">
            <w:pPr>
              <w:widowControl/>
              <w:spacing w:line="320" w:lineRule="exact"/>
              <w:jc w:val="center"/>
              <w:textAlignment w:val="bottom"/>
              <w:rPr>
                <w:rFonts w:ascii="仿宋_GB2312" w:eastAsia="仿宋_GB2312" w:hAnsi="仿宋_GB2312" w:cs="仿宋_GB2312"/>
                <w:sz w:val="24"/>
              </w:rPr>
            </w:pPr>
            <w:r w:rsidRPr="00101D20">
              <w:rPr>
                <w:rFonts w:ascii="仿宋_GB2312" w:eastAsia="仿宋_GB2312" w:hAnsi="仿宋_GB2312" w:cs="仿宋_GB2312" w:hint="eastAsia"/>
                <w:sz w:val="24"/>
              </w:rPr>
              <w:t>2020年06月30日前</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57321" w:rsidRPr="00101D20" w:rsidRDefault="00101D20">
            <w:pPr>
              <w:widowControl/>
              <w:spacing w:line="320" w:lineRule="exact"/>
              <w:jc w:val="center"/>
              <w:textAlignment w:val="bottom"/>
              <w:rPr>
                <w:rFonts w:ascii="仿宋_GB2312" w:eastAsia="仿宋_GB2312" w:hAnsi="仿宋_GB2312" w:cs="仿宋_GB2312"/>
                <w:sz w:val="24"/>
              </w:rPr>
            </w:pPr>
            <w:r w:rsidRPr="00101D20">
              <w:rPr>
                <w:rFonts w:ascii="仿宋_GB2312" w:eastAsia="仿宋_GB2312" w:hAnsi="仿宋_GB2312" w:cs="仿宋_GB2312" w:hint="eastAsia"/>
                <w:sz w:val="24"/>
              </w:rPr>
              <w:t>2020年06月30日前</w:t>
            </w:r>
          </w:p>
        </w:tc>
      </w:tr>
      <w:tr w:rsidR="00101D20" w:rsidTr="00101D20">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101D20" w:rsidRDefault="00101D20">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101D20" w:rsidRDefault="00101D20">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1D20" w:rsidRDefault="00101D2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1D20" w:rsidRPr="00101D20" w:rsidRDefault="00101D20">
            <w:pPr>
              <w:widowControl/>
              <w:spacing w:line="320" w:lineRule="exact"/>
              <w:jc w:val="center"/>
              <w:textAlignment w:val="bottom"/>
              <w:rPr>
                <w:rFonts w:ascii="仿宋_GB2312" w:eastAsia="仿宋_GB2312" w:hAnsi="仿宋_GB2312" w:cs="仿宋_GB2312"/>
                <w:sz w:val="24"/>
              </w:rPr>
            </w:pPr>
            <w:r w:rsidRPr="00101D20">
              <w:rPr>
                <w:rFonts w:ascii="仿宋_GB2312" w:eastAsia="仿宋_GB2312" w:hAnsi="仿宋_GB2312" w:cs="仿宋_GB2312" w:hint="eastAsia"/>
                <w:sz w:val="24"/>
              </w:rPr>
              <w:t>国土空间规划管理提升</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01D20" w:rsidRPr="00101D20" w:rsidRDefault="00101D20">
            <w:pPr>
              <w:widowControl/>
              <w:spacing w:line="320" w:lineRule="exact"/>
              <w:jc w:val="center"/>
              <w:textAlignment w:val="bottom"/>
              <w:rPr>
                <w:rFonts w:ascii="仿宋_GB2312" w:eastAsia="仿宋_GB2312" w:hAnsi="仿宋_GB2312" w:cs="仿宋_GB2312"/>
                <w:sz w:val="24"/>
              </w:rPr>
            </w:pPr>
            <w:r w:rsidRPr="00101D20">
              <w:rPr>
                <w:rFonts w:ascii="仿宋_GB2312" w:eastAsia="仿宋_GB2312" w:hAnsi="仿宋_GB2312" w:cs="仿宋_GB2312" w:hint="eastAsia"/>
                <w:sz w:val="24"/>
              </w:rPr>
              <w:t>实现盐边县城乡国土空间规划管理全域覆盖、全要素管控，形成县全域“一张底图”和“一个平台”</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1D20" w:rsidRPr="00101D20" w:rsidRDefault="00101D20">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基本完成</w:t>
            </w:r>
          </w:p>
        </w:tc>
      </w:tr>
      <w:tr w:rsidR="00101D20" w:rsidTr="00101D20">
        <w:trPr>
          <w:gridAfter w:val="1"/>
          <w:wAfter w:w="236" w:type="dxa"/>
          <w:trHeight w:val="480"/>
        </w:trPr>
        <w:tc>
          <w:tcPr>
            <w:tcW w:w="1976" w:type="dxa"/>
            <w:vMerge/>
            <w:tcBorders>
              <w:left w:val="single" w:sz="4" w:space="0" w:color="000000"/>
              <w:right w:val="single" w:sz="4" w:space="0" w:color="000000"/>
            </w:tcBorders>
            <w:shd w:val="clear" w:color="auto" w:fill="auto"/>
            <w:vAlign w:val="center"/>
          </w:tcPr>
          <w:p w:rsidR="00101D20" w:rsidRDefault="00101D20">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1D20" w:rsidRDefault="00101D2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cs="仿宋_GB2312" w:hint="eastAsia"/>
                <w:kern w:val="0"/>
                <w:sz w:val="28"/>
                <w:szCs w:val="28"/>
              </w:rPr>
              <w:br/>
              <w:t>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1D20" w:rsidRDefault="00101D2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 指标</w:t>
            </w: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1D20" w:rsidRPr="00101D20" w:rsidRDefault="00101D20">
            <w:pPr>
              <w:widowControl/>
              <w:spacing w:line="320" w:lineRule="exact"/>
              <w:jc w:val="center"/>
              <w:textAlignment w:val="bottom"/>
              <w:rPr>
                <w:rFonts w:ascii="仿宋_GB2312" w:eastAsia="仿宋_GB2312" w:hAnsi="仿宋_GB2312" w:cs="仿宋_GB2312"/>
                <w:sz w:val="24"/>
              </w:rPr>
            </w:pPr>
            <w:r w:rsidRPr="00101D20">
              <w:rPr>
                <w:rFonts w:ascii="仿宋_GB2312" w:eastAsia="仿宋_GB2312" w:hAnsi="仿宋_GB2312" w:cs="仿宋_GB2312" w:hint="eastAsia"/>
                <w:sz w:val="24"/>
              </w:rPr>
              <w:t>辅助县域发展规划</w:t>
            </w: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01D20" w:rsidRPr="00101D20" w:rsidRDefault="00101D20">
            <w:pPr>
              <w:widowControl/>
              <w:spacing w:line="320" w:lineRule="exact"/>
              <w:jc w:val="center"/>
              <w:textAlignment w:val="bottom"/>
              <w:rPr>
                <w:rFonts w:ascii="仿宋_GB2312" w:eastAsia="仿宋_GB2312" w:hAnsi="仿宋_GB2312" w:cs="仿宋_GB2312"/>
                <w:sz w:val="24"/>
              </w:rPr>
            </w:pPr>
            <w:r w:rsidRPr="00101D20">
              <w:rPr>
                <w:rFonts w:ascii="仿宋_GB2312" w:eastAsia="仿宋_GB2312" w:hAnsi="仿宋_GB2312" w:cs="仿宋_GB2312" w:hint="eastAsia"/>
                <w:sz w:val="24"/>
              </w:rPr>
              <w:t>科学完善提升县域规划，促进经济发展</w:t>
            </w: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1D20" w:rsidRPr="00101D20" w:rsidRDefault="00101D20">
            <w:pPr>
              <w:widowControl/>
              <w:spacing w:line="320" w:lineRule="exact"/>
              <w:jc w:val="center"/>
              <w:textAlignment w:val="bottom"/>
              <w:rPr>
                <w:rFonts w:ascii="仿宋_GB2312" w:eastAsia="仿宋_GB2312" w:hAnsi="仿宋_GB2312" w:cs="仿宋_GB2312"/>
                <w:sz w:val="24"/>
              </w:rPr>
            </w:pPr>
            <w:r>
              <w:rPr>
                <w:rFonts w:ascii="仿宋_GB2312" w:eastAsia="仿宋_GB2312" w:hAnsi="仿宋_GB2312" w:cs="仿宋_GB2312" w:hint="eastAsia"/>
                <w:sz w:val="24"/>
              </w:rPr>
              <w:t>基本完成</w:t>
            </w:r>
          </w:p>
        </w:tc>
      </w:tr>
      <w:tr w:rsidR="00101D20" w:rsidTr="00101D20">
        <w:trPr>
          <w:gridAfter w:val="1"/>
          <w:wAfter w:w="236" w:type="dxa"/>
          <w:trHeight w:val="530"/>
        </w:trPr>
        <w:tc>
          <w:tcPr>
            <w:tcW w:w="1976" w:type="dxa"/>
            <w:vMerge/>
            <w:tcBorders>
              <w:left w:val="single" w:sz="4" w:space="0" w:color="000000"/>
              <w:bottom w:val="single" w:sz="4" w:space="0" w:color="000000"/>
              <w:right w:val="single" w:sz="4" w:space="0" w:color="000000"/>
            </w:tcBorders>
            <w:shd w:val="clear" w:color="auto" w:fill="auto"/>
            <w:vAlign w:val="center"/>
          </w:tcPr>
          <w:p w:rsidR="00101D20" w:rsidRDefault="00101D20">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1D20" w:rsidRDefault="00101D20">
            <w:pPr>
              <w:widowControl/>
              <w:spacing w:line="320" w:lineRule="exact"/>
              <w:jc w:val="center"/>
              <w:textAlignment w:val="bottom"/>
              <w:rPr>
                <w:rFonts w:ascii="仿宋_GB2312" w:eastAsia="仿宋_GB2312" w:hAnsi="仿宋_GB2312" w:cs="仿宋_GB2312"/>
                <w:sz w:val="28"/>
                <w:szCs w:val="28"/>
              </w:rPr>
            </w:pPr>
            <w:proofErr w:type="gramStart"/>
            <w:r>
              <w:rPr>
                <w:rFonts w:ascii="仿宋_GB2312" w:eastAsia="仿宋_GB2312" w:hAnsi="仿宋_GB2312" w:cs="仿宋_GB2312" w:hint="eastAsia"/>
                <w:kern w:val="0"/>
                <w:sz w:val="28"/>
                <w:szCs w:val="28"/>
              </w:rPr>
              <w:t>满意</w:t>
            </w:r>
            <w:proofErr w:type="gramEnd"/>
            <w:r>
              <w:rPr>
                <w:rFonts w:ascii="仿宋_GB2312" w:eastAsia="仿宋_GB2312" w:hAnsi="仿宋_GB2312" w:cs="仿宋_GB2312" w:hint="eastAsia"/>
                <w:kern w:val="0"/>
                <w:sz w:val="28"/>
                <w:szCs w:val="28"/>
              </w:rPr>
              <w:br/>
              <w:t>度指标</w:t>
            </w:r>
          </w:p>
        </w:tc>
        <w:tc>
          <w:tcPr>
            <w:tcW w:w="16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1D20" w:rsidRDefault="00101D20">
            <w:pPr>
              <w:widowControl/>
              <w:spacing w:line="320" w:lineRule="exact"/>
              <w:jc w:val="center"/>
              <w:textAlignment w:val="bottom"/>
              <w:rPr>
                <w:rFonts w:ascii="仿宋_GB2312" w:eastAsia="仿宋_GB2312" w:hAnsi="仿宋_GB2312" w:cs="仿宋_GB2312"/>
                <w:sz w:val="28"/>
                <w:szCs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1D20" w:rsidRPr="00101D20" w:rsidRDefault="00101D20">
            <w:pPr>
              <w:widowControl/>
              <w:spacing w:line="320" w:lineRule="exact"/>
              <w:jc w:val="center"/>
              <w:textAlignment w:val="bottom"/>
              <w:rPr>
                <w:rFonts w:ascii="仿宋_GB2312" w:eastAsia="仿宋_GB2312" w:hAnsi="仿宋_GB2312" w:cs="仿宋_GB2312"/>
                <w:sz w:val="24"/>
              </w:rPr>
            </w:pPr>
          </w:p>
        </w:tc>
        <w:tc>
          <w:tcPr>
            <w:tcW w:w="167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101D20" w:rsidRPr="00101D20" w:rsidRDefault="00101D20">
            <w:pPr>
              <w:widowControl/>
              <w:spacing w:line="320" w:lineRule="exact"/>
              <w:jc w:val="center"/>
              <w:textAlignment w:val="bottom"/>
              <w:rPr>
                <w:rFonts w:ascii="仿宋_GB2312" w:eastAsia="仿宋_GB2312" w:hAnsi="仿宋_GB2312" w:cs="仿宋_GB2312"/>
                <w:sz w:val="24"/>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01D20" w:rsidRPr="00101D20" w:rsidRDefault="00101D20">
            <w:pPr>
              <w:widowControl/>
              <w:spacing w:line="320" w:lineRule="exact"/>
              <w:jc w:val="center"/>
              <w:textAlignment w:val="bottom"/>
              <w:rPr>
                <w:rFonts w:ascii="仿宋_GB2312" w:eastAsia="仿宋_GB2312" w:hAnsi="仿宋_GB2312" w:cs="仿宋_GB2312"/>
                <w:sz w:val="24"/>
              </w:rPr>
            </w:pPr>
          </w:p>
        </w:tc>
      </w:tr>
    </w:tbl>
    <w:p w:rsidR="00457321" w:rsidRDefault="006572CB">
      <w:pPr>
        <w:widowControl/>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附表：</w:t>
      </w:r>
    </w:p>
    <w:p w:rsidR="00457321" w:rsidRDefault="006572CB">
      <w:pPr>
        <w:widowControl/>
        <w:adjustRightInd w:val="0"/>
        <w:snapToGrid w:val="0"/>
        <w:spacing w:line="580" w:lineRule="exact"/>
        <w:contextualSpacing/>
        <w:jc w:val="left"/>
      </w:pPr>
      <w:r>
        <w:rPr>
          <w:rFonts w:ascii="仿宋_GB2312" w:eastAsia="仿宋_GB2312" w:hAnsi="宋体" w:cs="宋体" w:hint="eastAsia"/>
          <w:kern w:val="0"/>
          <w:sz w:val="32"/>
          <w:szCs w:val="32"/>
          <w:shd w:val="clear" w:color="auto" w:fill="FFFFFF"/>
        </w:rPr>
        <w:lastRenderedPageBreak/>
        <w:t>（注：有两个及以上100万元以上（含）特定目标类部门预算项目的，需分别开展绩效目标自评并填写附表）</w:t>
      </w:r>
    </w:p>
    <w:p w:rsidR="00457321" w:rsidRDefault="00457321">
      <w:pPr>
        <w:spacing w:line="580" w:lineRule="exact"/>
        <w:rPr>
          <w:rStyle w:val="1Char"/>
          <w:rFonts w:ascii="黑体" w:eastAsia="黑体" w:hAnsi="黑体"/>
          <w:b w:val="0"/>
        </w:rPr>
      </w:pPr>
    </w:p>
    <w:p w:rsidR="00457321" w:rsidRDefault="006572CB">
      <w:pPr>
        <w:widowControl/>
        <w:jc w:val="left"/>
        <w:rPr>
          <w:rStyle w:val="1Char"/>
          <w:rFonts w:ascii="黑体" w:eastAsia="黑体" w:hAnsi="黑体"/>
          <w:b w:val="0"/>
        </w:rPr>
      </w:pPr>
      <w:r>
        <w:rPr>
          <w:rStyle w:val="1Char"/>
          <w:rFonts w:ascii="黑体" w:eastAsia="黑体" w:hAnsi="黑体"/>
          <w:b w:val="0"/>
        </w:rPr>
        <w:br w:type="page"/>
      </w:r>
    </w:p>
    <w:p w:rsidR="00457321" w:rsidRDefault="006572CB">
      <w:pPr>
        <w:spacing w:line="600" w:lineRule="exact"/>
        <w:jc w:val="center"/>
        <w:outlineLvl w:val="0"/>
        <w:rPr>
          <w:rFonts w:ascii="仿宋" w:eastAsia="仿宋" w:hAnsi="仿宋"/>
        </w:rPr>
      </w:pPr>
      <w:bookmarkStart w:id="60" w:name="_Toc15396618"/>
      <w:r>
        <w:rPr>
          <w:rFonts w:ascii="黑体" w:eastAsia="黑体" w:hAnsi="黑体" w:hint="eastAsia"/>
          <w:sz w:val="44"/>
          <w:szCs w:val="44"/>
        </w:rPr>
        <w:lastRenderedPageBreak/>
        <w:t>第</w:t>
      </w:r>
      <w:r>
        <w:rPr>
          <w:rStyle w:val="1Char"/>
          <w:rFonts w:ascii="黑体" w:eastAsia="黑体" w:hAnsi="黑体" w:hint="eastAsia"/>
          <w:b w:val="0"/>
        </w:rPr>
        <w:t>五部分 附表</w:t>
      </w:r>
      <w:bookmarkStart w:id="61" w:name="_Toc15396619"/>
      <w:bookmarkEnd w:id="58"/>
      <w:bookmarkEnd w:id="60"/>
    </w:p>
    <w:p w:rsidR="00457321" w:rsidRDefault="006572CB">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61"/>
    </w:p>
    <w:p w:rsidR="00457321" w:rsidRDefault="006572CB">
      <w:pPr>
        <w:pStyle w:val="2"/>
        <w:rPr>
          <w:rFonts w:ascii="仿宋" w:eastAsia="仿宋" w:hAnsi="仿宋"/>
        </w:rPr>
      </w:pPr>
      <w:bookmarkStart w:id="62" w:name="_Toc15396620"/>
      <w:r>
        <w:rPr>
          <w:rFonts w:ascii="仿宋" w:eastAsia="仿宋" w:hAnsi="仿宋" w:hint="eastAsia"/>
          <w:b w:val="0"/>
        </w:rPr>
        <w:t>二、收</w:t>
      </w:r>
      <w:r>
        <w:rPr>
          <w:rStyle w:val="2Char"/>
          <w:rFonts w:ascii="仿宋" w:eastAsia="仿宋" w:hAnsi="仿宋" w:hint="eastAsia"/>
        </w:rPr>
        <w:t>入决算表</w:t>
      </w:r>
      <w:bookmarkEnd w:id="62"/>
    </w:p>
    <w:p w:rsidR="00457321" w:rsidRDefault="006572CB">
      <w:pPr>
        <w:pStyle w:val="2"/>
        <w:rPr>
          <w:rFonts w:ascii="仿宋" w:eastAsia="仿宋" w:hAnsi="仿宋"/>
        </w:rPr>
      </w:pPr>
      <w:bookmarkStart w:id="63"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63"/>
    </w:p>
    <w:p w:rsidR="00457321" w:rsidRDefault="006572CB">
      <w:pPr>
        <w:pStyle w:val="2"/>
        <w:rPr>
          <w:rFonts w:ascii="仿宋" w:eastAsia="仿宋" w:hAnsi="仿宋"/>
          <w:b w:val="0"/>
        </w:rPr>
      </w:pPr>
      <w:bookmarkStart w:id="64"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64"/>
    </w:p>
    <w:p w:rsidR="00457321" w:rsidRDefault="006572CB">
      <w:pPr>
        <w:pStyle w:val="2"/>
        <w:rPr>
          <w:rStyle w:val="2Char"/>
          <w:rFonts w:ascii="仿宋" w:eastAsia="仿宋" w:hAnsi="仿宋"/>
        </w:rPr>
      </w:pPr>
      <w:bookmarkStart w:id="65"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66" w:name="_Toc15396624"/>
      <w:bookmarkEnd w:id="65"/>
    </w:p>
    <w:p w:rsidR="00457321" w:rsidRDefault="006572CB">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66"/>
    </w:p>
    <w:p w:rsidR="00457321" w:rsidRDefault="006572CB">
      <w:pPr>
        <w:pStyle w:val="2"/>
        <w:rPr>
          <w:rFonts w:ascii="仿宋" w:eastAsia="仿宋" w:hAnsi="仿宋"/>
        </w:rPr>
      </w:pPr>
      <w:bookmarkStart w:id="67"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7"/>
    </w:p>
    <w:p w:rsidR="00457321" w:rsidRDefault="006572CB">
      <w:pPr>
        <w:pStyle w:val="2"/>
        <w:rPr>
          <w:rFonts w:ascii="仿宋" w:eastAsia="仿宋" w:hAnsi="仿宋"/>
        </w:rPr>
      </w:pPr>
      <w:bookmarkStart w:id="68"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8"/>
    </w:p>
    <w:p w:rsidR="00457321" w:rsidRDefault="006572CB">
      <w:pPr>
        <w:pStyle w:val="2"/>
        <w:rPr>
          <w:rFonts w:ascii="仿宋" w:eastAsia="仿宋" w:hAnsi="仿宋"/>
        </w:rPr>
      </w:pPr>
      <w:bookmarkStart w:id="69"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9"/>
    </w:p>
    <w:p w:rsidR="00457321" w:rsidRDefault="006572CB">
      <w:pPr>
        <w:pStyle w:val="2"/>
        <w:rPr>
          <w:rFonts w:ascii="仿宋" w:eastAsia="仿宋" w:hAnsi="仿宋"/>
        </w:rPr>
      </w:pPr>
      <w:bookmarkStart w:id="70"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70"/>
    </w:p>
    <w:p w:rsidR="00457321" w:rsidRDefault="006572CB">
      <w:pPr>
        <w:pStyle w:val="2"/>
        <w:rPr>
          <w:rFonts w:ascii="仿宋" w:eastAsia="仿宋" w:hAnsi="仿宋"/>
        </w:rPr>
      </w:pPr>
      <w:bookmarkStart w:id="71"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71"/>
    </w:p>
    <w:p w:rsidR="00457321" w:rsidRDefault="006572CB">
      <w:pPr>
        <w:pStyle w:val="2"/>
        <w:rPr>
          <w:rFonts w:ascii="仿宋" w:eastAsia="仿宋" w:hAnsi="仿宋"/>
        </w:rPr>
      </w:pPr>
      <w:bookmarkStart w:id="72"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72"/>
    </w:p>
    <w:p w:rsidR="00457321" w:rsidRDefault="006572CB">
      <w:pPr>
        <w:pStyle w:val="2"/>
        <w:rPr>
          <w:rStyle w:val="2Char"/>
          <w:rFonts w:ascii="仿宋" w:eastAsia="仿宋" w:hAnsi="仿宋"/>
        </w:rPr>
      </w:pPr>
      <w:bookmarkStart w:id="73"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73"/>
    </w:p>
    <w:p w:rsidR="00457321" w:rsidRDefault="006572CB">
      <w:pPr>
        <w:rPr>
          <w:rFonts w:eastAsia="仿宋"/>
        </w:rPr>
      </w:pPr>
      <w:r>
        <w:rPr>
          <w:rStyle w:val="2Char"/>
          <w:rFonts w:ascii="仿宋" w:eastAsia="仿宋" w:hAnsi="仿宋" w:hint="eastAsia"/>
          <w:b w:val="0"/>
          <w:bCs w:val="0"/>
        </w:rPr>
        <w:t>十四、国有资本经营预算财政拨款支出决算表</w:t>
      </w:r>
    </w:p>
    <w:sectPr w:rsidR="00457321" w:rsidSect="00457321">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2BD" w:rsidRDefault="000732BD" w:rsidP="00457321">
      <w:r>
        <w:separator/>
      </w:r>
    </w:p>
  </w:endnote>
  <w:endnote w:type="continuationSeparator" w:id="0">
    <w:p w:rsidR="000732BD" w:rsidRDefault="000732BD" w:rsidP="0045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81956"/>
    </w:sdtPr>
    <w:sdtEndPr/>
    <w:sdtContent>
      <w:p w:rsidR="009E5D01" w:rsidRDefault="009E5D01">
        <w:pPr>
          <w:pStyle w:val="a5"/>
          <w:jc w:val="center"/>
        </w:pPr>
        <w:r>
          <w:fldChar w:fldCharType="begin"/>
        </w:r>
        <w:r>
          <w:instrText>PAGE   \* MERGEFORMAT</w:instrText>
        </w:r>
        <w:r>
          <w:fldChar w:fldCharType="separate"/>
        </w:r>
        <w:r w:rsidR="00DC4599" w:rsidRPr="00DC4599">
          <w:rPr>
            <w:noProof/>
            <w:lang w:val="zh-CN"/>
          </w:rPr>
          <w:t>3</w:t>
        </w:r>
        <w:r>
          <w:fldChar w:fldCharType="end"/>
        </w:r>
      </w:p>
    </w:sdtContent>
  </w:sdt>
  <w:p w:rsidR="009E5D01" w:rsidRDefault="009E5D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2BD" w:rsidRDefault="000732BD" w:rsidP="00457321">
      <w:r>
        <w:separator/>
      </w:r>
    </w:p>
  </w:footnote>
  <w:footnote w:type="continuationSeparator" w:id="0">
    <w:p w:rsidR="000732BD" w:rsidRDefault="000732BD" w:rsidP="00457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D01" w:rsidRDefault="009E5D01">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652CEC"/>
    <w:multiLevelType w:val="singleLevel"/>
    <w:tmpl w:val="871239C8"/>
    <w:lvl w:ilvl="0">
      <w:start w:val="9"/>
      <w:numFmt w:val="chineseCounting"/>
      <w:suff w:val="nothing"/>
      <w:lvlText w:val="%1、"/>
      <w:lvlJc w:val="left"/>
      <w:rPr>
        <w:rFonts w:hint="eastAsia"/>
        <w:lang w:val="en-US"/>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3E794925"/>
    <w:multiLevelType w:val="singleLevel"/>
    <w:tmpl w:val="3E794925"/>
    <w:lvl w:ilvl="0">
      <w:start w:val="3"/>
      <w:numFmt w:val="chineseCounting"/>
      <w:suff w:val="nothing"/>
      <w:lvlText w:val="（%1）"/>
      <w:lvlJc w:val="left"/>
      <w:rPr>
        <w:rFonts w:hint="eastAsia"/>
      </w:rPr>
    </w:lvl>
  </w:abstractNum>
  <w:abstractNum w:abstractNumId="4">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D8D6DB89"/>
    <w:rsid w:val="DB6F4CAB"/>
    <w:rsid w:val="DF6F9789"/>
    <w:rsid w:val="000222C6"/>
    <w:rsid w:val="0002549F"/>
    <w:rsid w:val="000368F9"/>
    <w:rsid w:val="000468DB"/>
    <w:rsid w:val="0006487A"/>
    <w:rsid w:val="00065F8F"/>
    <w:rsid w:val="00070A43"/>
    <w:rsid w:val="000732BD"/>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01D20"/>
    <w:rsid w:val="00114E9B"/>
    <w:rsid w:val="00142216"/>
    <w:rsid w:val="00144D6A"/>
    <w:rsid w:val="0014729F"/>
    <w:rsid w:val="00157BAB"/>
    <w:rsid w:val="001654D1"/>
    <w:rsid w:val="00174518"/>
    <w:rsid w:val="0018106D"/>
    <w:rsid w:val="001877A7"/>
    <w:rsid w:val="00191536"/>
    <w:rsid w:val="00196687"/>
    <w:rsid w:val="001C0962"/>
    <w:rsid w:val="001D4CE7"/>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41A78"/>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1F7A"/>
    <w:rsid w:val="004223DE"/>
    <w:rsid w:val="00434489"/>
    <w:rsid w:val="00437085"/>
    <w:rsid w:val="00443880"/>
    <w:rsid w:val="004464F4"/>
    <w:rsid w:val="00457321"/>
    <w:rsid w:val="00471401"/>
    <w:rsid w:val="00473F31"/>
    <w:rsid w:val="0048263A"/>
    <w:rsid w:val="00487E5D"/>
    <w:rsid w:val="0049172B"/>
    <w:rsid w:val="004A711F"/>
    <w:rsid w:val="004B199D"/>
    <w:rsid w:val="004B4690"/>
    <w:rsid w:val="004E0A2D"/>
    <w:rsid w:val="004E206B"/>
    <w:rsid w:val="004E6DF7"/>
    <w:rsid w:val="004F0FBD"/>
    <w:rsid w:val="00505A47"/>
    <w:rsid w:val="00512FDA"/>
    <w:rsid w:val="00516435"/>
    <w:rsid w:val="00520DA0"/>
    <w:rsid w:val="005250D3"/>
    <w:rsid w:val="00540453"/>
    <w:rsid w:val="005664BB"/>
    <w:rsid w:val="00566FFA"/>
    <w:rsid w:val="00567424"/>
    <w:rsid w:val="0057481D"/>
    <w:rsid w:val="0058486E"/>
    <w:rsid w:val="00585B33"/>
    <w:rsid w:val="0059014D"/>
    <w:rsid w:val="005B541A"/>
    <w:rsid w:val="005B5C64"/>
    <w:rsid w:val="005C5337"/>
    <w:rsid w:val="005C6BD0"/>
    <w:rsid w:val="005D1C8B"/>
    <w:rsid w:val="005D468D"/>
    <w:rsid w:val="005D5CED"/>
    <w:rsid w:val="005F1A4C"/>
    <w:rsid w:val="00605688"/>
    <w:rsid w:val="006070AF"/>
    <w:rsid w:val="00607E6C"/>
    <w:rsid w:val="006101B1"/>
    <w:rsid w:val="00614E44"/>
    <w:rsid w:val="0061711A"/>
    <w:rsid w:val="0062270A"/>
    <w:rsid w:val="00622830"/>
    <w:rsid w:val="00623DA0"/>
    <w:rsid w:val="00630AEF"/>
    <w:rsid w:val="006325F8"/>
    <w:rsid w:val="00633463"/>
    <w:rsid w:val="00634C9A"/>
    <w:rsid w:val="006440E4"/>
    <w:rsid w:val="006572CB"/>
    <w:rsid w:val="0066343B"/>
    <w:rsid w:val="00664777"/>
    <w:rsid w:val="006746F9"/>
    <w:rsid w:val="006748A4"/>
    <w:rsid w:val="00680E95"/>
    <w:rsid w:val="00681A31"/>
    <w:rsid w:val="00683910"/>
    <w:rsid w:val="00683E73"/>
    <w:rsid w:val="0068679C"/>
    <w:rsid w:val="006A3141"/>
    <w:rsid w:val="006A5E34"/>
    <w:rsid w:val="006B2422"/>
    <w:rsid w:val="006B2B9A"/>
    <w:rsid w:val="006B6AC2"/>
    <w:rsid w:val="006C1937"/>
    <w:rsid w:val="006F020C"/>
    <w:rsid w:val="00705A43"/>
    <w:rsid w:val="007127B7"/>
    <w:rsid w:val="0071798E"/>
    <w:rsid w:val="0072466D"/>
    <w:rsid w:val="007416B6"/>
    <w:rsid w:val="00746F48"/>
    <w:rsid w:val="0075404D"/>
    <w:rsid w:val="0076182A"/>
    <w:rsid w:val="00767B7E"/>
    <w:rsid w:val="007770C3"/>
    <w:rsid w:val="00784D24"/>
    <w:rsid w:val="00785FBA"/>
    <w:rsid w:val="00786E4A"/>
    <w:rsid w:val="007875EB"/>
    <w:rsid w:val="0079426B"/>
    <w:rsid w:val="007C14C0"/>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1BF0"/>
    <w:rsid w:val="008423A5"/>
    <w:rsid w:val="00850625"/>
    <w:rsid w:val="00851497"/>
    <w:rsid w:val="00853718"/>
    <w:rsid w:val="00855221"/>
    <w:rsid w:val="00860645"/>
    <w:rsid w:val="00871F71"/>
    <w:rsid w:val="00872FD8"/>
    <w:rsid w:val="008779B3"/>
    <w:rsid w:val="00885AF4"/>
    <w:rsid w:val="008926FB"/>
    <w:rsid w:val="008939CD"/>
    <w:rsid w:val="008B768C"/>
    <w:rsid w:val="008C4DB1"/>
    <w:rsid w:val="008C4EAF"/>
    <w:rsid w:val="008C5176"/>
    <w:rsid w:val="008C7FD0"/>
    <w:rsid w:val="008E1DE7"/>
    <w:rsid w:val="008E707C"/>
    <w:rsid w:val="00900B08"/>
    <w:rsid w:val="00902155"/>
    <w:rsid w:val="00902FA3"/>
    <w:rsid w:val="00920033"/>
    <w:rsid w:val="00923564"/>
    <w:rsid w:val="0092392E"/>
    <w:rsid w:val="009311C6"/>
    <w:rsid w:val="009315F9"/>
    <w:rsid w:val="00933499"/>
    <w:rsid w:val="00935C98"/>
    <w:rsid w:val="00946945"/>
    <w:rsid w:val="00951248"/>
    <w:rsid w:val="0095152F"/>
    <w:rsid w:val="00954C49"/>
    <w:rsid w:val="00955E37"/>
    <w:rsid w:val="0097099F"/>
    <w:rsid w:val="00971997"/>
    <w:rsid w:val="00971FFC"/>
    <w:rsid w:val="0098660A"/>
    <w:rsid w:val="009931C3"/>
    <w:rsid w:val="009A2E62"/>
    <w:rsid w:val="009B2C43"/>
    <w:rsid w:val="009B4EAE"/>
    <w:rsid w:val="009B5591"/>
    <w:rsid w:val="009B7573"/>
    <w:rsid w:val="009C22F4"/>
    <w:rsid w:val="009C2A4B"/>
    <w:rsid w:val="009C2E98"/>
    <w:rsid w:val="009C48EB"/>
    <w:rsid w:val="009D3447"/>
    <w:rsid w:val="009D4711"/>
    <w:rsid w:val="009E5D01"/>
    <w:rsid w:val="009F1185"/>
    <w:rsid w:val="009F18CD"/>
    <w:rsid w:val="009F2A13"/>
    <w:rsid w:val="009F7527"/>
    <w:rsid w:val="00A04EB0"/>
    <w:rsid w:val="00A13CC1"/>
    <w:rsid w:val="00A16847"/>
    <w:rsid w:val="00A205A1"/>
    <w:rsid w:val="00A237D8"/>
    <w:rsid w:val="00A268C4"/>
    <w:rsid w:val="00A307CD"/>
    <w:rsid w:val="00A331C8"/>
    <w:rsid w:val="00A40A00"/>
    <w:rsid w:val="00A4142F"/>
    <w:rsid w:val="00A422EB"/>
    <w:rsid w:val="00A45BB7"/>
    <w:rsid w:val="00A537D8"/>
    <w:rsid w:val="00A56DF2"/>
    <w:rsid w:val="00A56E6E"/>
    <w:rsid w:val="00A6194C"/>
    <w:rsid w:val="00A67AB5"/>
    <w:rsid w:val="00A733B2"/>
    <w:rsid w:val="00A741C2"/>
    <w:rsid w:val="00A91760"/>
    <w:rsid w:val="00A93B00"/>
    <w:rsid w:val="00A93C21"/>
    <w:rsid w:val="00A96B60"/>
    <w:rsid w:val="00AB64C9"/>
    <w:rsid w:val="00AC3C6A"/>
    <w:rsid w:val="00AD0C25"/>
    <w:rsid w:val="00AD1881"/>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61CAE"/>
    <w:rsid w:val="00B77EA6"/>
    <w:rsid w:val="00B81598"/>
    <w:rsid w:val="00B841F1"/>
    <w:rsid w:val="00B90748"/>
    <w:rsid w:val="00B944D6"/>
    <w:rsid w:val="00BB4DF0"/>
    <w:rsid w:val="00BC025C"/>
    <w:rsid w:val="00BC16E5"/>
    <w:rsid w:val="00BC289F"/>
    <w:rsid w:val="00BC2D50"/>
    <w:rsid w:val="00BC5361"/>
    <w:rsid w:val="00BC5460"/>
    <w:rsid w:val="00BC6B50"/>
    <w:rsid w:val="00BD0E25"/>
    <w:rsid w:val="00BF5BD6"/>
    <w:rsid w:val="00C03E31"/>
    <w:rsid w:val="00C22BD0"/>
    <w:rsid w:val="00C33E72"/>
    <w:rsid w:val="00C354B2"/>
    <w:rsid w:val="00C35554"/>
    <w:rsid w:val="00C42709"/>
    <w:rsid w:val="00C533CC"/>
    <w:rsid w:val="00C5751C"/>
    <w:rsid w:val="00C61BFC"/>
    <w:rsid w:val="00C62B85"/>
    <w:rsid w:val="00C65438"/>
    <w:rsid w:val="00C661EC"/>
    <w:rsid w:val="00C81E8F"/>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156E"/>
    <w:rsid w:val="00D51276"/>
    <w:rsid w:val="00D7035F"/>
    <w:rsid w:val="00D7730D"/>
    <w:rsid w:val="00D8316E"/>
    <w:rsid w:val="00D84EC1"/>
    <w:rsid w:val="00DA634F"/>
    <w:rsid w:val="00DA65AC"/>
    <w:rsid w:val="00DB1913"/>
    <w:rsid w:val="00DC410D"/>
    <w:rsid w:val="00DC4599"/>
    <w:rsid w:val="00DC5A81"/>
    <w:rsid w:val="00DC68CA"/>
    <w:rsid w:val="00DC7CBA"/>
    <w:rsid w:val="00DD73B7"/>
    <w:rsid w:val="00DF28BC"/>
    <w:rsid w:val="00DF34B9"/>
    <w:rsid w:val="00E01053"/>
    <w:rsid w:val="00E07ACF"/>
    <w:rsid w:val="00E331A1"/>
    <w:rsid w:val="00E33202"/>
    <w:rsid w:val="00E336A9"/>
    <w:rsid w:val="00E41A95"/>
    <w:rsid w:val="00E43CB5"/>
    <w:rsid w:val="00E472B1"/>
    <w:rsid w:val="00E50624"/>
    <w:rsid w:val="00E568DF"/>
    <w:rsid w:val="00E64269"/>
    <w:rsid w:val="00E819BD"/>
    <w:rsid w:val="00E82267"/>
    <w:rsid w:val="00E853CE"/>
    <w:rsid w:val="00E867B6"/>
    <w:rsid w:val="00E91239"/>
    <w:rsid w:val="00EA010F"/>
    <w:rsid w:val="00EA1550"/>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92165"/>
    <w:rsid w:val="00FA23E8"/>
    <w:rsid w:val="00FB3416"/>
    <w:rsid w:val="00FD33D4"/>
    <w:rsid w:val="00FD3CC1"/>
    <w:rsid w:val="00FE12FC"/>
    <w:rsid w:val="00FF1E02"/>
    <w:rsid w:val="00FF30B4"/>
    <w:rsid w:val="066E0107"/>
    <w:rsid w:val="07996F6E"/>
    <w:rsid w:val="0A2032A3"/>
    <w:rsid w:val="101860EC"/>
    <w:rsid w:val="10C055FF"/>
    <w:rsid w:val="118107EC"/>
    <w:rsid w:val="13D50BC4"/>
    <w:rsid w:val="16BB723D"/>
    <w:rsid w:val="1BE8440E"/>
    <w:rsid w:val="1D155CEE"/>
    <w:rsid w:val="23860B96"/>
    <w:rsid w:val="240371BF"/>
    <w:rsid w:val="29FD04D3"/>
    <w:rsid w:val="2C8A61B5"/>
    <w:rsid w:val="2DF04E50"/>
    <w:rsid w:val="319F7F4E"/>
    <w:rsid w:val="36AA5135"/>
    <w:rsid w:val="37E16F03"/>
    <w:rsid w:val="3D98207C"/>
    <w:rsid w:val="44E268DA"/>
    <w:rsid w:val="4A627F82"/>
    <w:rsid w:val="4B4F25DA"/>
    <w:rsid w:val="4BE068DB"/>
    <w:rsid w:val="4D577224"/>
    <w:rsid w:val="4EAB630A"/>
    <w:rsid w:val="4ECE2238"/>
    <w:rsid w:val="5AF92295"/>
    <w:rsid w:val="5CD71FC4"/>
    <w:rsid w:val="6C4A05C8"/>
    <w:rsid w:val="6E7E3605"/>
    <w:rsid w:val="6FF5CC65"/>
    <w:rsid w:val="715C0E4B"/>
    <w:rsid w:val="72734D90"/>
    <w:rsid w:val="73AD73D5"/>
    <w:rsid w:val="73B6EB34"/>
    <w:rsid w:val="79EE5BA4"/>
    <w:rsid w:val="7A894339"/>
    <w:rsid w:val="7EEF11D3"/>
    <w:rsid w:val="7FA30C79"/>
    <w:rsid w:val="7FC966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Plain Text" w:uiPriority="0"/>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57321"/>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45732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5732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5732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457321"/>
    <w:pPr>
      <w:spacing w:beforeLines="30"/>
    </w:pPr>
    <w:rPr>
      <w:rFonts w:ascii="仿宋_GB2312" w:eastAsia="仿宋_GB2312"/>
      <w:kern w:val="0"/>
      <w:sz w:val="30"/>
    </w:rPr>
  </w:style>
  <w:style w:type="paragraph" w:styleId="30">
    <w:name w:val="toc 3"/>
    <w:basedOn w:val="a"/>
    <w:next w:val="a"/>
    <w:uiPriority w:val="39"/>
    <w:unhideWhenUsed/>
    <w:qFormat/>
    <w:rsid w:val="00457321"/>
    <w:pPr>
      <w:tabs>
        <w:tab w:val="right" w:leader="dot" w:pos="8296"/>
      </w:tabs>
      <w:ind w:leftChars="400" w:left="840"/>
    </w:pPr>
  </w:style>
  <w:style w:type="paragraph" w:styleId="a4">
    <w:name w:val="Balloon Text"/>
    <w:basedOn w:val="a"/>
    <w:link w:val="Char0"/>
    <w:uiPriority w:val="99"/>
    <w:semiHidden/>
    <w:unhideWhenUsed/>
    <w:qFormat/>
    <w:rsid w:val="00457321"/>
    <w:rPr>
      <w:sz w:val="18"/>
      <w:szCs w:val="18"/>
    </w:rPr>
  </w:style>
  <w:style w:type="paragraph" w:styleId="a5">
    <w:name w:val="footer"/>
    <w:basedOn w:val="a"/>
    <w:link w:val="Char1"/>
    <w:uiPriority w:val="99"/>
    <w:qFormat/>
    <w:rsid w:val="00457321"/>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457321"/>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457321"/>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457321"/>
    <w:pPr>
      <w:tabs>
        <w:tab w:val="right" w:leader="dot" w:pos="8296"/>
      </w:tabs>
      <w:ind w:leftChars="200" w:left="420"/>
    </w:pPr>
  </w:style>
  <w:style w:type="character" w:styleId="a7">
    <w:name w:val="Strong"/>
    <w:basedOn w:val="a1"/>
    <w:uiPriority w:val="99"/>
    <w:qFormat/>
    <w:rsid w:val="00457321"/>
    <w:rPr>
      <w:b/>
    </w:rPr>
  </w:style>
  <w:style w:type="character" w:styleId="a8">
    <w:name w:val="Hyperlink"/>
    <w:basedOn w:val="a1"/>
    <w:uiPriority w:val="99"/>
    <w:unhideWhenUsed/>
    <w:qFormat/>
    <w:rsid w:val="00457321"/>
    <w:rPr>
      <w:color w:val="0000FF" w:themeColor="hyperlink"/>
      <w:u w:val="single"/>
    </w:rPr>
  </w:style>
  <w:style w:type="character" w:customStyle="1" w:styleId="HeaderChar">
    <w:name w:val="Header Char"/>
    <w:basedOn w:val="a1"/>
    <w:uiPriority w:val="99"/>
    <w:semiHidden/>
    <w:qFormat/>
    <w:rsid w:val="00457321"/>
    <w:rPr>
      <w:rFonts w:ascii="Times New Roman" w:hAnsi="Times New Roman"/>
      <w:sz w:val="18"/>
      <w:szCs w:val="18"/>
    </w:rPr>
  </w:style>
  <w:style w:type="character" w:customStyle="1" w:styleId="Char2">
    <w:name w:val="页眉 Char"/>
    <w:link w:val="a6"/>
    <w:uiPriority w:val="99"/>
    <w:semiHidden/>
    <w:qFormat/>
    <w:locked/>
    <w:rsid w:val="00457321"/>
    <w:rPr>
      <w:sz w:val="18"/>
    </w:rPr>
  </w:style>
  <w:style w:type="character" w:customStyle="1" w:styleId="FooterChar">
    <w:name w:val="Footer Char"/>
    <w:basedOn w:val="a1"/>
    <w:uiPriority w:val="99"/>
    <w:semiHidden/>
    <w:qFormat/>
    <w:rsid w:val="00457321"/>
    <w:rPr>
      <w:rFonts w:ascii="Times New Roman" w:hAnsi="Times New Roman"/>
      <w:sz w:val="18"/>
      <w:szCs w:val="18"/>
    </w:rPr>
  </w:style>
  <w:style w:type="character" w:customStyle="1" w:styleId="Char1">
    <w:name w:val="页脚 Char"/>
    <w:link w:val="a5"/>
    <w:uiPriority w:val="99"/>
    <w:qFormat/>
    <w:locked/>
    <w:rsid w:val="00457321"/>
    <w:rPr>
      <w:sz w:val="18"/>
    </w:rPr>
  </w:style>
  <w:style w:type="character" w:customStyle="1" w:styleId="BodyTextChar">
    <w:name w:val="Body Text Char"/>
    <w:basedOn w:val="a1"/>
    <w:uiPriority w:val="99"/>
    <w:semiHidden/>
    <w:qFormat/>
    <w:rsid w:val="00457321"/>
    <w:rPr>
      <w:rFonts w:ascii="Times New Roman" w:hAnsi="Times New Roman"/>
      <w:szCs w:val="24"/>
    </w:rPr>
  </w:style>
  <w:style w:type="character" w:customStyle="1" w:styleId="Char">
    <w:name w:val="正文文本 Char"/>
    <w:link w:val="a0"/>
    <w:uiPriority w:val="99"/>
    <w:qFormat/>
    <w:locked/>
    <w:rsid w:val="00457321"/>
    <w:rPr>
      <w:rFonts w:ascii="仿宋_GB2312" w:eastAsia="仿宋_GB2312" w:hAnsi="Times New Roman"/>
      <w:sz w:val="24"/>
    </w:rPr>
  </w:style>
  <w:style w:type="paragraph" w:customStyle="1" w:styleId="Default">
    <w:name w:val="Default"/>
    <w:uiPriority w:val="99"/>
    <w:qFormat/>
    <w:rsid w:val="00457321"/>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457321"/>
    <w:pPr>
      <w:ind w:firstLineChars="200" w:firstLine="420"/>
    </w:pPr>
  </w:style>
  <w:style w:type="character" w:customStyle="1" w:styleId="1Char">
    <w:name w:val="标题 1 Char"/>
    <w:basedOn w:val="a1"/>
    <w:link w:val="1"/>
    <w:uiPriority w:val="9"/>
    <w:qFormat/>
    <w:rsid w:val="00457321"/>
    <w:rPr>
      <w:rFonts w:ascii="Times New Roman" w:hAnsi="Times New Roman"/>
      <w:b/>
      <w:bCs/>
      <w:kern w:val="44"/>
      <w:sz w:val="44"/>
      <w:szCs w:val="44"/>
    </w:rPr>
  </w:style>
  <w:style w:type="character" w:customStyle="1" w:styleId="2Char">
    <w:name w:val="标题 2 Char"/>
    <w:basedOn w:val="a1"/>
    <w:link w:val="2"/>
    <w:uiPriority w:val="9"/>
    <w:qFormat/>
    <w:rsid w:val="00457321"/>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45732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457321"/>
    <w:rPr>
      <w:rFonts w:ascii="Times New Roman" w:hAnsi="Times New Roman"/>
      <w:kern w:val="2"/>
      <w:sz w:val="18"/>
      <w:szCs w:val="18"/>
    </w:rPr>
  </w:style>
  <w:style w:type="character" w:customStyle="1" w:styleId="3Char">
    <w:name w:val="标题 3 Char"/>
    <w:basedOn w:val="a1"/>
    <w:link w:val="3"/>
    <w:uiPriority w:val="9"/>
    <w:qFormat/>
    <w:rsid w:val="00457321"/>
    <w:rPr>
      <w:rFonts w:ascii="Times New Roman" w:hAnsi="Times New Roman"/>
      <w:b/>
      <w:bCs/>
      <w:kern w:val="2"/>
      <w:sz w:val="32"/>
      <w:szCs w:val="32"/>
    </w:rPr>
  </w:style>
  <w:style w:type="paragraph" w:customStyle="1" w:styleId="TOC2">
    <w:name w:val="TOC 标题2"/>
    <w:basedOn w:val="1"/>
    <w:next w:val="a"/>
    <w:uiPriority w:val="39"/>
    <w:unhideWhenUsed/>
    <w:qFormat/>
    <w:rsid w:val="0045732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Normal (Web)"/>
    <w:basedOn w:val="a"/>
    <w:uiPriority w:val="99"/>
    <w:unhideWhenUsed/>
    <w:qFormat/>
    <w:rsid w:val="00705A43"/>
    <w:pPr>
      <w:widowControl/>
      <w:spacing w:before="100" w:beforeAutospacing="1" w:after="100" w:afterAutospacing="1"/>
      <w:jc w:val="left"/>
    </w:pPr>
    <w:rPr>
      <w:rFonts w:ascii="宋体" w:hAnsi="宋体" w:cs="宋体"/>
      <w:kern w:val="0"/>
      <w:sz w:val="24"/>
    </w:rPr>
  </w:style>
  <w:style w:type="paragraph" w:styleId="ab">
    <w:name w:val="Salutation"/>
    <w:basedOn w:val="a"/>
    <w:next w:val="a"/>
    <w:link w:val="Char3"/>
    <w:uiPriority w:val="99"/>
    <w:unhideWhenUsed/>
    <w:rsid w:val="00705A43"/>
    <w:pPr>
      <w:ind w:firstLineChars="200" w:firstLine="21"/>
      <w:jc w:val="left"/>
    </w:pPr>
    <w:rPr>
      <w:kern w:val="0"/>
      <w:sz w:val="20"/>
      <w:szCs w:val="20"/>
    </w:rPr>
  </w:style>
  <w:style w:type="character" w:customStyle="1" w:styleId="Char3">
    <w:name w:val="称呼 Char"/>
    <w:basedOn w:val="a1"/>
    <w:link w:val="ab"/>
    <w:uiPriority w:val="99"/>
    <w:rsid w:val="00705A43"/>
    <w:rPr>
      <w:rFonts w:ascii="Times New Roman" w:eastAsia="宋体" w:hAnsi="Times New Roman" w:cs="Times New Roman"/>
    </w:rPr>
  </w:style>
  <w:style w:type="paragraph" w:styleId="ac">
    <w:name w:val="Plain Text"/>
    <w:basedOn w:val="a"/>
    <w:link w:val="Char4"/>
    <w:rsid w:val="00A6194C"/>
    <w:rPr>
      <w:rFonts w:ascii="宋体" w:hAnsi="Courier New"/>
    </w:rPr>
  </w:style>
  <w:style w:type="character" w:customStyle="1" w:styleId="Char4">
    <w:name w:val="纯文本 Char"/>
    <w:basedOn w:val="a1"/>
    <w:link w:val="ac"/>
    <w:rsid w:val="00A6194C"/>
    <w:rPr>
      <w:rFonts w:ascii="宋体" w:eastAsia="宋体" w:hAnsi="Courier New"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Plain Text" w:uiPriority="0"/>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57321"/>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45732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5732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5732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457321"/>
    <w:pPr>
      <w:spacing w:beforeLines="30"/>
    </w:pPr>
    <w:rPr>
      <w:rFonts w:ascii="仿宋_GB2312" w:eastAsia="仿宋_GB2312"/>
      <w:kern w:val="0"/>
      <w:sz w:val="30"/>
    </w:rPr>
  </w:style>
  <w:style w:type="paragraph" w:styleId="30">
    <w:name w:val="toc 3"/>
    <w:basedOn w:val="a"/>
    <w:next w:val="a"/>
    <w:uiPriority w:val="39"/>
    <w:unhideWhenUsed/>
    <w:qFormat/>
    <w:rsid w:val="00457321"/>
    <w:pPr>
      <w:tabs>
        <w:tab w:val="right" w:leader="dot" w:pos="8296"/>
      </w:tabs>
      <w:ind w:leftChars="400" w:left="840"/>
    </w:pPr>
  </w:style>
  <w:style w:type="paragraph" w:styleId="a4">
    <w:name w:val="Balloon Text"/>
    <w:basedOn w:val="a"/>
    <w:link w:val="Char0"/>
    <w:uiPriority w:val="99"/>
    <w:semiHidden/>
    <w:unhideWhenUsed/>
    <w:qFormat/>
    <w:rsid w:val="00457321"/>
    <w:rPr>
      <w:sz w:val="18"/>
      <w:szCs w:val="18"/>
    </w:rPr>
  </w:style>
  <w:style w:type="paragraph" w:styleId="a5">
    <w:name w:val="footer"/>
    <w:basedOn w:val="a"/>
    <w:link w:val="Char1"/>
    <w:uiPriority w:val="99"/>
    <w:qFormat/>
    <w:rsid w:val="00457321"/>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457321"/>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457321"/>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457321"/>
    <w:pPr>
      <w:tabs>
        <w:tab w:val="right" w:leader="dot" w:pos="8296"/>
      </w:tabs>
      <w:ind w:leftChars="200" w:left="420"/>
    </w:pPr>
  </w:style>
  <w:style w:type="character" w:styleId="a7">
    <w:name w:val="Strong"/>
    <w:basedOn w:val="a1"/>
    <w:uiPriority w:val="99"/>
    <w:qFormat/>
    <w:rsid w:val="00457321"/>
    <w:rPr>
      <w:b/>
    </w:rPr>
  </w:style>
  <w:style w:type="character" w:styleId="a8">
    <w:name w:val="Hyperlink"/>
    <w:basedOn w:val="a1"/>
    <w:uiPriority w:val="99"/>
    <w:unhideWhenUsed/>
    <w:qFormat/>
    <w:rsid w:val="00457321"/>
    <w:rPr>
      <w:color w:val="0000FF" w:themeColor="hyperlink"/>
      <w:u w:val="single"/>
    </w:rPr>
  </w:style>
  <w:style w:type="character" w:customStyle="1" w:styleId="HeaderChar">
    <w:name w:val="Header Char"/>
    <w:basedOn w:val="a1"/>
    <w:uiPriority w:val="99"/>
    <w:semiHidden/>
    <w:qFormat/>
    <w:rsid w:val="00457321"/>
    <w:rPr>
      <w:rFonts w:ascii="Times New Roman" w:hAnsi="Times New Roman"/>
      <w:sz w:val="18"/>
      <w:szCs w:val="18"/>
    </w:rPr>
  </w:style>
  <w:style w:type="character" w:customStyle="1" w:styleId="Char2">
    <w:name w:val="页眉 Char"/>
    <w:link w:val="a6"/>
    <w:uiPriority w:val="99"/>
    <w:semiHidden/>
    <w:qFormat/>
    <w:locked/>
    <w:rsid w:val="00457321"/>
    <w:rPr>
      <w:sz w:val="18"/>
    </w:rPr>
  </w:style>
  <w:style w:type="character" w:customStyle="1" w:styleId="FooterChar">
    <w:name w:val="Footer Char"/>
    <w:basedOn w:val="a1"/>
    <w:uiPriority w:val="99"/>
    <w:semiHidden/>
    <w:qFormat/>
    <w:rsid w:val="00457321"/>
    <w:rPr>
      <w:rFonts w:ascii="Times New Roman" w:hAnsi="Times New Roman"/>
      <w:sz w:val="18"/>
      <w:szCs w:val="18"/>
    </w:rPr>
  </w:style>
  <w:style w:type="character" w:customStyle="1" w:styleId="Char1">
    <w:name w:val="页脚 Char"/>
    <w:link w:val="a5"/>
    <w:uiPriority w:val="99"/>
    <w:qFormat/>
    <w:locked/>
    <w:rsid w:val="00457321"/>
    <w:rPr>
      <w:sz w:val="18"/>
    </w:rPr>
  </w:style>
  <w:style w:type="character" w:customStyle="1" w:styleId="BodyTextChar">
    <w:name w:val="Body Text Char"/>
    <w:basedOn w:val="a1"/>
    <w:uiPriority w:val="99"/>
    <w:semiHidden/>
    <w:qFormat/>
    <w:rsid w:val="00457321"/>
    <w:rPr>
      <w:rFonts w:ascii="Times New Roman" w:hAnsi="Times New Roman"/>
      <w:szCs w:val="24"/>
    </w:rPr>
  </w:style>
  <w:style w:type="character" w:customStyle="1" w:styleId="Char">
    <w:name w:val="正文文本 Char"/>
    <w:link w:val="a0"/>
    <w:uiPriority w:val="99"/>
    <w:qFormat/>
    <w:locked/>
    <w:rsid w:val="00457321"/>
    <w:rPr>
      <w:rFonts w:ascii="仿宋_GB2312" w:eastAsia="仿宋_GB2312" w:hAnsi="Times New Roman"/>
      <w:sz w:val="24"/>
    </w:rPr>
  </w:style>
  <w:style w:type="paragraph" w:customStyle="1" w:styleId="Default">
    <w:name w:val="Default"/>
    <w:uiPriority w:val="99"/>
    <w:qFormat/>
    <w:rsid w:val="00457321"/>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457321"/>
    <w:pPr>
      <w:ind w:firstLineChars="200" w:firstLine="420"/>
    </w:pPr>
  </w:style>
  <w:style w:type="character" w:customStyle="1" w:styleId="1Char">
    <w:name w:val="标题 1 Char"/>
    <w:basedOn w:val="a1"/>
    <w:link w:val="1"/>
    <w:uiPriority w:val="9"/>
    <w:qFormat/>
    <w:rsid w:val="00457321"/>
    <w:rPr>
      <w:rFonts w:ascii="Times New Roman" w:hAnsi="Times New Roman"/>
      <w:b/>
      <w:bCs/>
      <w:kern w:val="44"/>
      <w:sz w:val="44"/>
      <w:szCs w:val="44"/>
    </w:rPr>
  </w:style>
  <w:style w:type="character" w:customStyle="1" w:styleId="2Char">
    <w:name w:val="标题 2 Char"/>
    <w:basedOn w:val="a1"/>
    <w:link w:val="2"/>
    <w:uiPriority w:val="9"/>
    <w:qFormat/>
    <w:rsid w:val="00457321"/>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45732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457321"/>
    <w:rPr>
      <w:rFonts w:ascii="Times New Roman" w:hAnsi="Times New Roman"/>
      <w:kern w:val="2"/>
      <w:sz w:val="18"/>
      <w:szCs w:val="18"/>
    </w:rPr>
  </w:style>
  <w:style w:type="character" w:customStyle="1" w:styleId="3Char">
    <w:name w:val="标题 3 Char"/>
    <w:basedOn w:val="a1"/>
    <w:link w:val="3"/>
    <w:uiPriority w:val="9"/>
    <w:qFormat/>
    <w:rsid w:val="00457321"/>
    <w:rPr>
      <w:rFonts w:ascii="Times New Roman" w:hAnsi="Times New Roman"/>
      <w:b/>
      <w:bCs/>
      <w:kern w:val="2"/>
      <w:sz w:val="32"/>
      <w:szCs w:val="32"/>
    </w:rPr>
  </w:style>
  <w:style w:type="paragraph" w:customStyle="1" w:styleId="TOC2">
    <w:name w:val="TOC 标题2"/>
    <w:basedOn w:val="1"/>
    <w:next w:val="a"/>
    <w:uiPriority w:val="39"/>
    <w:unhideWhenUsed/>
    <w:qFormat/>
    <w:rsid w:val="0045732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a">
    <w:name w:val="Normal (Web)"/>
    <w:basedOn w:val="a"/>
    <w:uiPriority w:val="99"/>
    <w:unhideWhenUsed/>
    <w:qFormat/>
    <w:rsid w:val="00705A43"/>
    <w:pPr>
      <w:widowControl/>
      <w:spacing w:before="100" w:beforeAutospacing="1" w:after="100" w:afterAutospacing="1"/>
      <w:jc w:val="left"/>
    </w:pPr>
    <w:rPr>
      <w:rFonts w:ascii="宋体" w:hAnsi="宋体" w:cs="宋体"/>
      <w:kern w:val="0"/>
      <w:sz w:val="24"/>
    </w:rPr>
  </w:style>
  <w:style w:type="paragraph" w:styleId="ab">
    <w:name w:val="Salutation"/>
    <w:basedOn w:val="a"/>
    <w:next w:val="a"/>
    <w:link w:val="Char3"/>
    <w:uiPriority w:val="99"/>
    <w:unhideWhenUsed/>
    <w:rsid w:val="00705A43"/>
    <w:pPr>
      <w:ind w:firstLineChars="200" w:firstLine="21"/>
      <w:jc w:val="left"/>
    </w:pPr>
    <w:rPr>
      <w:kern w:val="0"/>
      <w:sz w:val="20"/>
      <w:szCs w:val="20"/>
    </w:rPr>
  </w:style>
  <w:style w:type="character" w:customStyle="1" w:styleId="Char3">
    <w:name w:val="称呼 Char"/>
    <w:basedOn w:val="a1"/>
    <w:link w:val="ab"/>
    <w:uiPriority w:val="99"/>
    <w:rsid w:val="00705A43"/>
    <w:rPr>
      <w:rFonts w:ascii="Times New Roman" w:eastAsia="宋体" w:hAnsi="Times New Roman" w:cs="Times New Roman"/>
    </w:rPr>
  </w:style>
  <w:style w:type="paragraph" w:styleId="ac">
    <w:name w:val="Plain Text"/>
    <w:basedOn w:val="a"/>
    <w:link w:val="Char4"/>
    <w:rsid w:val="00A6194C"/>
    <w:rPr>
      <w:rFonts w:ascii="宋体" w:hAnsi="Courier New"/>
    </w:rPr>
  </w:style>
  <w:style w:type="character" w:customStyle="1" w:styleId="Char4">
    <w:name w:val="纯文本 Char"/>
    <w:basedOn w:val="a1"/>
    <w:link w:val="ac"/>
    <w:rsid w:val="00A6194C"/>
    <w:rPr>
      <w:rFonts w:ascii="宋体" w:eastAsia="宋体" w:hAnsi="Courier New"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收、支决算总计变动情况</a:t>
            </a:r>
            <a:endParaRPr lang="en-US" altLang="zh-CN"/>
          </a:p>
        </c:rich>
      </c:tx>
      <c:overlay val="0"/>
    </c:title>
    <c:autoTitleDeleted val="0"/>
    <c:plotArea>
      <c:layout>
        <c:manualLayout>
          <c:layoutTarget val="inner"/>
          <c:xMode val="edge"/>
          <c:yMode val="edge"/>
          <c:x val="0.15922423975837599"/>
          <c:y val="0.20076026100452612"/>
          <c:w val="0.75304041202451921"/>
          <c:h val="0.71318565586342864"/>
        </c:manualLayout>
      </c:layout>
      <c:barChart>
        <c:barDir val="col"/>
        <c:grouping val="clustered"/>
        <c:varyColors val="0"/>
        <c:ser>
          <c:idx val="0"/>
          <c:order val="0"/>
          <c:tx>
            <c:strRef>
              <c:f>Sheet1!$B$1</c:f>
              <c:strCache>
                <c:ptCount val="1"/>
                <c:pt idx="0">
                  <c:v>系列 1</c:v>
                </c:pt>
              </c:strCache>
            </c:strRef>
          </c:tx>
          <c:invertIfNegative val="0"/>
          <c:dLbls>
            <c:showLegendKey val="0"/>
            <c:showVal val="1"/>
            <c:showCatName val="0"/>
            <c:showSerName val="0"/>
            <c:showPercent val="0"/>
            <c:showBubbleSize val="0"/>
            <c:showLeaderLines val="0"/>
          </c:dLbls>
          <c:cat>
            <c:strRef>
              <c:f>Sheet1!$A$2:$A$3</c:f>
              <c:strCache>
                <c:ptCount val="2"/>
                <c:pt idx="0">
                  <c:v>2020年</c:v>
                </c:pt>
                <c:pt idx="1">
                  <c:v>2021年</c:v>
                </c:pt>
              </c:strCache>
            </c:strRef>
          </c:cat>
          <c:val>
            <c:numRef>
              <c:f>Sheet1!$B$2:$B$3</c:f>
              <c:numCache>
                <c:formatCode>General</c:formatCode>
                <c:ptCount val="2"/>
                <c:pt idx="0">
                  <c:v>50495.74</c:v>
                </c:pt>
                <c:pt idx="1">
                  <c:v>11463.98</c:v>
                </c:pt>
              </c:numCache>
            </c:numRef>
          </c:val>
        </c:ser>
        <c:dLbls>
          <c:showLegendKey val="0"/>
          <c:showVal val="0"/>
          <c:showCatName val="0"/>
          <c:showSerName val="0"/>
          <c:showPercent val="0"/>
          <c:showBubbleSize val="0"/>
        </c:dLbls>
        <c:gapWidth val="150"/>
        <c:axId val="275262464"/>
        <c:axId val="274696448"/>
      </c:barChart>
      <c:catAx>
        <c:axId val="275262464"/>
        <c:scaling>
          <c:orientation val="minMax"/>
        </c:scaling>
        <c:delete val="0"/>
        <c:axPos val="b"/>
        <c:majorTickMark val="out"/>
        <c:minorTickMark val="none"/>
        <c:tickLblPos val="nextTo"/>
        <c:crossAx val="274696448"/>
        <c:crosses val="autoZero"/>
        <c:auto val="1"/>
        <c:lblAlgn val="ctr"/>
        <c:lblOffset val="100"/>
        <c:noMultiLvlLbl val="0"/>
      </c:catAx>
      <c:valAx>
        <c:axId val="274696448"/>
        <c:scaling>
          <c:orientation val="minMax"/>
        </c:scaling>
        <c:delete val="0"/>
        <c:axPos val="l"/>
        <c:majorGridlines/>
        <c:numFmt formatCode="General" sourceLinked="1"/>
        <c:majorTickMark val="out"/>
        <c:minorTickMark val="none"/>
        <c:tickLblPos val="nextTo"/>
        <c:crossAx val="27526246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收入决算结构图</c:v>
                </c:pt>
              </c:strCache>
            </c:strRef>
          </c:tx>
          <c:dLbls>
            <c:dLbl>
              <c:idx val="0"/>
              <c:layout>
                <c:manualLayout>
                  <c:x val="-0.16702239696160007"/>
                  <c:y val="5.0193991948536285E-2"/>
                </c:manualLayout>
              </c:layout>
              <c:showLegendKey val="0"/>
              <c:showVal val="1"/>
              <c:showCatName val="0"/>
              <c:showSerName val="0"/>
              <c:showPercent val="1"/>
              <c:showBubbleSize val="0"/>
            </c:dLbl>
            <c:dLbl>
              <c:idx val="1"/>
              <c:layout>
                <c:manualLayout>
                  <c:x val="8.5760613632860517E-3"/>
                  <c:y val="-0.11519578630078815"/>
                </c:manualLayout>
              </c:layout>
              <c:showLegendKey val="0"/>
              <c:showVal val="1"/>
              <c:showCatName val="0"/>
              <c:showSerName val="0"/>
              <c:showPercent val="1"/>
              <c:showBubbleSize val="0"/>
            </c:dLbl>
            <c:dLbl>
              <c:idx val="2"/>
              <c:layout>
                <c:manualLayout>
                  <c:x val="0.15460239831314743"/>
                  <c:y val="9.6079910223769729E-2"/>
                </c:manualLayout>
              </c:layout>
              <c:showLegendKey val="0"/>
              <c:showVal val="1"/>
              <c:showCatName val="0"/>
              <c:showSerName val="0"/>
              <c:showPercent val="1"/>
              <c:showBubbleSize val="0"/>
            </c:dLbl>
            <c:showLegendKey val="0"/>
            <c:showVal val="1"/>
            <c:showCatName val="0"/>
            <c:showSerName val="0"/>
            <c:showPercent val="1"/>
            <c:showBubbleSize val="0"/>
            <c:showLeaderLines val="1"/>
          </c:dLbls>
          <c:cat>
            <c:strRef>
              <c:f>Sheet1!$A$2:$A$4</c:f>
              <c:strCache>
                <c:ptCount val="3"/>
                <c:pt idx="0">
                  <c:v>一般公共预算财政拨款收入</c:v>
                </c:pt>
                <c:pt idx="1">
                  <c:v>政府性基金预算财政拨款收入</c:v>
                </c:pt>
                <c:pt idx="2">
                  <c:v>年初结转和结余</c:v>
                </c:pt>
              </c:strCache>
            </c:strRef>
          </c:cat>
          <c:val>
            <c:numRef>
              <c:f>Sheet1!$B$2:$B$4</c:f>
              <c:numCache>
                <c:formatCode>General</c:formatCode>
                <c:ptCount val="3"/>
                <c:pt idx="0">
                  <c:v>2087.9499999999998</c:v>
                </c:pt>
                <c:pt idx="1">
                  <c:v>1633.33</c:v>
                </c:pt>
                <c:pt idx="2">
                  <c:v>2010.72</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2154719519760304"/>
          <c:y val="0.37986013822048453"/>
          <c:w val="0.36355523281718366"/>
          <c:h val="0.37427973528256653"/>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支出决算结构图</c:v>
                </c:pt>
              </c:strCache>
            </c:strRef>
          </c:tx>
          <c:dLbls>
            <c:showLegendKey val="0"/>
            <c:showVal val="1"/>
            <c:showCatName val="0"/>
            <c:showSerName val="0"/>
            <c:showPercent val="1"/>
            <c:showBubbleSize val="0"/>
            <c:showLeaderLines val="1"/>
          </c:dLbls>
          <c:cat>
            <c:strRef>
              <c:f>Sheet1!$A$2:$A$3</c:f>
              <c:strCache>
                <c:ptCount val="2"/>
                <c:pt idx="0">
                  <c:v>基本支出</c:v>
                </c:pt>
                <c:pt idx="1">
                  <c:v>项目支出</c:v>
                </c:pt>
              </c:strCache>
            </c:strRef>
          </c:cat>
          <c:val>
            <c:numRef>
              <c:f>Sheet1!$B$2:$B$3</c:f>
              <c:numCache>
                <c:formatCode>General</c:formatCode>
                <c:ptCount val="2"/>
                <c:pt idx="0">
                  <c:v>1105.93</c:v>
                </c:pt>
                <c:pt idx="1">
                  <c:v>4626.07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a:t>财政拨款收、支决算总计变动情况</a:t>
            </a:r>
            <a:endParaRPr lang="en-US" altLang="zh-CN"/>
          </a:p>
        </c:rich>
      </c:tx>
      <c:overlay val="0"/>
    </c:title>
    <c:autoTitleDeleted val="0"/>
    <c:plotArea>
      <c:layout>
        <c:manualLayout>
          <c:layoutTarget val="inner"/>
          <c:xMode val="edge"/>
          <c:yMode val="edge"/>
          <c:x val="0.15922423975837599"/>
          <c:y val="0.20076026100452612"/>
          <c:w val="0.75304041202451921"/>
          <c:h val="0.71318565586342864"/>
        </c:manualLayout>
      </c:layout>
      <c:barChart>
        <c:barDir val="col"/>
        <c:grouping val="clustered"/>
        <c:varyColors val="0"/>
        <c:ser>
          <c:idx val="0"/>
          <c:order val="0"/>
          <c:tx>
            <c:strRef>
              <c:f>Sheet1!$B$1</c:f>
              <c:strCache>
                <c:ptCount val="1"/>
                <c:pt idx="0">
                  <c:v>系列 1</c:v>
                </c:pt>
              </c:strCache>
            </c:strRef>
          </c:tx>
          <c:invertIfNegative val="0"/>
          <c:dLbls>
            <c:showLegendKey val="0"/>
            <c:showVal val="1"/>
            <c:showCatName val="0"/>
            <c:showSerName val="0"/>
            <c:showPercent val="0"/>
            <c:showBubbleSize val="0"/>
            <c:showLeaderLines val="0"/>
          </c:dLbls>
          <c:cat>
            <c:strRef>
              <c:f>Sheet1!$A$2:$A$3</c:f>
              <c:strCache>
                <c:ptCount val="2"/>
                <c:pt idx="0">
                  <c:v>2020年</c:v>
                </c:pt>
                <c:pt idx="1">
                  <c:v>2021年</c:v>
                </c:pt>
              </c:strCache>
            </c:strRef>
          </c:cat>
          <c:val>
            <c:numRef>
              <c:f>Sheet1!$B$2:$B$3</c:f>
              <c:numCache>
                <c:formatCode>General</c:formatCode>
                <c:ptCount val="2"/>
                <c:pt idx="0">
                  <c:v>50495.74</c:v>
                </c:pt>
                <c:pt idx="1">
                  <c:v>11463.98</c:v>
                </c:pt>
              </c:numCache>
            </c:numRef>
          </c:val>
        </c:ser>
        <c:dLbls>
          <c:showLegendKey val="0"/>
          <c:showVal val="0"/>
          <c:showCatName val="0"/>
          <c:showSerName val="0"/>
          <c:showPercent val="0"/>
          <c:showBubbleSize val="0"/>
        </c:dLbls>
        <c:gapWidth val="150"/>
        <c:axId val="327709696"/>
        <c:axId val="327516736"/>
      </c:barChart>
      <c:catAx>
        <c:axId val="327709696"/>
        <c:scaling>
          <c:orientation val="minMax"/>
        </c:scaling>
        <c:delete val="0"/>
        <c:axPos val="b"/>
        <c:majorTickMark val="out"/>
        <c:minorTickMark val="none"/>
        <c:tickLblPos val="nextTo"/>
        <c:crossAx val="327516736"/>
        <c:crosses val="autoZero"/>
        <c:auto val="1"/>
        <c:lblAlgn val="ctr"/>
        <c:lblOffset val="100"/>
        <c:noMultiLvlLbl val="0"/>
      </c:catAx>
      <c:valAx>
        <c:axId val="327516736"/>
        <c:scaling>
          <c:orientation val="minMax"/>
        </c:scaling>
        <c:delete val="0"/>
        <c:axPos val="l"/>
        <c:majorGridlines/>
        <c:numFmt formatCode="General" sourceLinked="1"/>
        <c:majorTickMark val="out"/>
        <c:minorTickMark val="none"/>
        <c:tickLblPos val="nextTo"/>
        <c:crossAx val="32770969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zh-CN" altLang="en-US" sz="1600"/>
              <a:t>一般公共预算财政拨款支出决算总计变动情况</a:t>
            </a:r>
            <a:endParaRPr lang="en-US" altLang="zh-CN" sz="1600"/>
          </a:p>
        </c:rich>
      </c:tx>
      <c:layout>
        <c:manualLayout>
          <c:xMode val="edge"/>
          <c:yMode val="edge"/>
          <c:x val="8.1418767829225164E-2"/>
          <c:y val="3.7151702786377708E-2"/>
        </c:manualLayout>
      </c:layout>
      <c:overlay val="0"/>
    </c:title>
    <c:autoTitleDeleted val="0"/>
    <c:plotArea>
      <c:layout>
        <c:manualLayout>
          <c:layoutTarget val="inner"/>
          <c:xMode val="edge"/>
          <c:yMode val="edge"/>
          <c:x val="0.15922423975837599"/>
          <c:y val="0.20076026100452612"/>
          <c:w val="0.75304041202451921"/>
          <c:h val="0.71318565586342864"/>
        </c:manualLayout>
      </c:layout>
      <c:barChart>
        <c:barDir val="col"/>
        <c:grouping val="clustered"/>
        <c:varyColors val="0"/>
        <c:ser>
          <c:idx val="0"/>
          <c:order val="0"/>
          <c:tx>
            <c:strRef>
              <c:f>Sheet1!$B$1</c:f>
              <c:strCache>
                <c:ptCount val="1"/>
                <c:pt idx="0">
                  <c:v>系列 1</c:v>
                </c:pt>
              </c:strCache>
            </c:strRef>
          </c:tx>
          <c:invertIfNegative val="0"/>
          <c:dLbls>
            <c:showLegendKey val="0"/>
            <c:showVal val="1"/>
            <c:showCatName val="0"/>
            <c:showSerName val="0"/>
            <c:showPercent val="0"/>
            <c:showBubbleSize val="0"/>
            <c:showLeaderLines val="0"/>
          </c:dLbls>
          <c:cat>
            <c:strRef>
              <c:f>Sheet1!$A$2:$A$3</c:f>
              <c:strCache>
                <c:ptCount val="2"/>
                <c:pt idx="0">
                  <c:v>2020年</c:v>
                </c:pt>
                <c:pt idx="1">
                  <c:v>2021年</c:v>
                </c:pt>
              </c:strCache>
            </c:strRef>
          </c:cat>
          <c:val>
            <c:numRef>
              <c:f>Sheet1!$B$2:$B$3</c:f>
              <c:numCache>
                <c:formatCode>General</c:formatCode>
                <c:ptCount val="2"/>
                <c:pt idx="0">
                  <c:v>8200.59</c:v>
                </c:pt>
                <c:pt idx="1">
                  <c:v>3845.8</c:v>
                </c:pt>
              </c:numCache>
            </c:numRef>
          </c:val>
        </c:ser>
        <c:dLbls>
          <c:showLegendKey val="0"/>
          <c:showVal val="0"/>
          <c:showCatName val="0"/>
          <c:showSerName val="0"/>
          <c:showPercent val="0"/>
          <c:showBubbleSize val="0"/>
        </c:dLbls>
        <c:gapWidth val="150"/>
        <c:axId val="327710720"/>
        <c:axId val="327518464"/>
      </c:barChart>
      <c:catAx>
        <c:axId val="327710720"/>
        <c:scaling>
          <c:orientation val="minMax"/>
        </c:scaling>
        <c:delete val="0"/>
        <c:axPos val="b"/>
        <c:majorTickMark val="out"/>
        <c:minorTickMark val="none"/>
        <c:tickLblPos val="nextTo"/>
        <c:crossAx val="327518464"/>
        <c:crosses val="autoZero"/>
        <c:auto val="1"/>
        <c:lblAlgn val="ctr"/>
        <c:lblOffset val="100"/>
        <c:noMultiLvlLbl val="0"/>
      </c:catAx>
      <c:valAx>
        <c:axId val="327518464"/>
        <c:scaling>
          <c:orientation val="minMax"/>
        </c:scaling>
        <c:delete val="0"/>
        <c:axPos val="l"/>
        <c:majorGridlines/>
        <c:numFmt formatCode="General" sourceLinked="1"/>
        <c:majorTickMark val="out"/>
        <c:minorTickMark val="none"/>
        <c:tickLblPos val="nextTo"/>
        <c:crossAx val="32771072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一般公共预算财政拨款支出决算结构</c:v>
                </c:pt>
              </c:strCache>
            </c:strRef>
          </c:tx>
          <c:dLbls>
            <c:dLbl>
              <c:idx val="1"/>
              <c:layout>
                <c:manualLayout>
                  <c:x val="1.9598575256509258E-2"/>
                  <c:y val="-7.8222009172360992E-3"/>
                </c:manualLayout>
              </c:layout>
              <c:showLegendKey val="0"/>
              <c:showVal val="1"/>
              <c:showCatName val="0"/>
              <c:showSerName val="0"/>
              <c:showPercent val="1"/>
              <c:showBubbleSize val="0"/>
            </c:dLbl>
            <c:dLbl>
              <c:idx val="2"/>
              <c:layout>
                <c:manualLayout>
                  <c:x val="1.558436578641452E-2"/>
                  <c:y val="-3.796112151212714E-2"/>
                </c:manualLayout>
              </c:layout>
              <c:showLegendKey val="0"/>
              <c:showVal val="1"/>
              <c:showCatName val="0"/>
              <c:showSerName val="0"/>
              <c:showPercent val="1"/>
              <c:showBubbleSize val="0"/>
            </c:dLbl>
            <c:dLbl>
              <c:idx val="3"/>
              <c:layout>
                <c:manualLayout>
                  <c:x val="1.7759939377787092E-2"/>
                  <c:y val="8.8610360931721168E-3"/>
                </c:manualLayout>
              </c:layout>
              <c:showLegendKey val="0"/>
              <c:showVal val="1"/>
              <c:showCatName val="0"/>
              <c:showSerName val="0"/>
              <c:showPercent val="1"/>
              <c:showBubbleSize val="0"/>
            </c:dLbl>
            <c:dLbl>
              <c:idx val="5"/>
              <c:layout>
                <c:manualLayout>
                  <c:x val="1.88872095786741E-2"/>
                  <c:y val="2.5820753061062993E-2"/>
                </c:manualLayout>
              </c:layout>
              <c:showLegendKey val="0"/>
              <c:showVal val="1"/>
              <c:showCatName val="0"/>
              <c:showSerName val="0"/>
              <c:showPercent val="1"/>
              <c:showBubbleSize val="0"/>
            </c:dLbl>
            <c:showLegendKey val="0"/>
            <c:showVal val="1"/>
            <c:showCatName val="0"/>
            <c:showSerName val="0"/>
            <c:showPercent val="1"/>
            <c:showBubbleSize val="0"/>
            <c:showLeaderLines val="1"/>
          </c:dLbls>
          <c:cat>
            <c:strRef>
              <c:f>Sheet1!$A$2:$A$10</c:f>
              <c:strCache>
                <c:ptCount val="9"/>
                <c:pt idx="0">
                  <c:v>城乡社区支出</c:v>
                </c:pt>
                <c:pt idx="1">
                  <c:v>社会保障和就业支出</c:v>
                </c:pt>
                <c:pt idx="2">
                  <c:v>农林水支出</c:v>
                </c:pt>
                <c:pt idx="3">
                  <c:v>节能环保支出</c:v>
                </c:pt>
                <c:pt idx="4">
                  <c:v>自然资源海洋气象等支出</c:v>
                </c:pt>
                <c:pt idx="5">
                  <c:v>卫生健康支出</c:v>
                </c:pt>
                <c:pt idx="6">
                  <c:v>灾害防治及应急管理支出</c:v>
                </c:pt>
                <c:pt idx="7">
                  <c:v>住房保障支出</c:v>
                </c:pt>
                <c:pt idx="8">
                  <c:v>其他支出</c:v>
                </c:pt>
              </c:strCache>
            </c:strRef>
          </c:cat>
          <c:val>
            <c:numRef>
              <c:f>Sheet1!$B$2:$B$10</c:f>
              <c:numCache>
                <c:formatCode>General</c:formatCode>
                <c:ptCount val="9"/>
                <c:pt idx="0">
                  <c:v>280.14999999999998</c:v>
                </c:pt>
                <c:pt idx="1">
                  <c:v>153</c:v>
                </c:pt>
                <c:pt idx="2">
                  <c:v>396.95</c:v>
                </c:pt>
                <c:pt idx="3">
                  <c:v>5.08</c:v>
                </c:pt>
                <c:pt idx="4">
                  <c:v>1137.1500000000001</c:v>
                </c:pt>
                <c:pt idx="5">
                  <c:v>56.17</c:v>
                </c:pt>
                <c:pt idx="6">
                  <c:v>1714.8</c:v>
                </c:pt>
                <c:pt idx="7">
                  <c:v>90.47</c:v>
                </c:pt>
                <c:pt idx="8">
                  <c:v>12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“三公”经费财政拨款支出</c:v>
                </c:pt>
              </c:strCache>
            </c:strRef>
          </c:tx>
          <c:dLbls>
            <c:showLegendKey val="0"/>
            <c:showVal val="1"/>
            <c:showCatName val="0"/>
            <c:showSerName val="0"/>
            <c:showPercent val="1"/>
            <c:showBubbleSize val="0"/>
            <c:showLeaderLines val="1"/>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2.7</c:v>
                </c:pt>
                <c:pt idx="2">
                  <c:v>1.06</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1672566398559159"/>
          <c:y val="0.37986001451764018"/>
          <c:w val="0.36837102862744131"/>
          <c:h val="0.37427961339700078"/>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2440</Words>
  <Characters>13911</Characters>
  <Application>Microsoft Office Word</Application>
  <DocSecurity>0</DocSecurity>
  <Lines>115</Lines>
  <Paragraphs>32</Paragraphs>
  <ScaleCrop>false</ScaleCrop>
  <Company>四川省财政厅</Company>
  <LinksUpToDate>false</LinksUpToDate>
  <CharactersWithSpaces>16319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廖琪</cp:lastModifiedBy>
  <cp:revision>16</cp:revision>
  <cp:lastPrinted>2022-10-20T08:28:00Z</cp:lastPrinted>
  <dcterms:created xsi:type="dcterms:W3CDTF">2022-10-13T01:31:00Z</dcterms:created>
  <dcterms:modified xsi:type="dcterms:W3CDTF">2022-10-20T08:45:00Z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