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盐边县公安局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2021年县级禁毒专项经费绩效自评报告</w:t>
      </w:r>
    </w:p>
    <w:p>
      <w:pPr>
        <w:autoSpaceDE w:val="0"/>
        <w:autoSpaceDN w:val="0"/>
        <w:adjustRightInd w:val="0"/>
        <w:spacing w:line="600" w:lineRule="exact"/>
        <w:ind w:firstLine="880" w:firstLineChars="200"/>
        <w:jc w:val="left"/>
        <w:rPr>
          <w:rFonts w:hint="eastAsia" w:ascii="黑体" w:hAnsi="黑体" w:eastAsia="黑体" w:cs="黑体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（一）项目基本情况</w:t>
      </w:r>
    </w:p>
    <w:p>
      <w:pPr>
        <w:spacing w:line="56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禁毒工作经费主要用于我县开展禁毒乡村行、宣传教育、禁种铲毒、禁吸戒毒、缉毒破案、禁毒集中整治、戒毒社区康复站点建设、宣传阵地建设、易制毒化学品管理等禁毒专项工作，严厉打击毒品犯罪案件，有效遏止毒品危害在我县的发展蔓延。</w:t>
      </w:r>
      <w:r>
        <w:rPr>
          <w:rFonts w:hint="eastAsia" w:ascii="仿宋_GB2312" w:hAnsi="黑体" w:eastAsia="仿宋_GB2312"/>
          <w:sz w:val="32"/>
          <w:szCs w:val="32"/>
        </w:rPr>
        <w:t>我县现登记在册吸毒人员数1308人，全县12个乡镇</w:t>
      </w:r>
      <w:r>
        <w:rPr>
          <w:rFonts w:hint="eastAsia" w:ascii="仿宋_GB2312" w:eastAsia="仿宋_GB2312"/>
          <w:sz w:val="32"/>
          <w:szCs w:val="32"/>
        </w:rPr>
        <w:t>招聘了17名禁毒专职社工，按照每人每月劳务费0.25万元（不购买五险一金）核算， 2022年需支付全县17名禁毒专职工作人员劳务费51万元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禁毒工作中经费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，共计经费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60万元。</w:t>
      </w:r>
    </w:p>
    <w:p>
      <w:pPr>
        <w:spacing w:line="56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2.项目立项、资金申报的依据。</w:t>
      </w:r>
    </w:p>
    <w:p>
      <w:pPr>
        <w:spacing w:line="560" w:lineRule="exact"/>
        <w:ind w:firstLine="640" w:firstLineChars="200"/>
        <w:jc w:val="left"/>
        <w:rPr>
          <w:rFonts w:hint="eastAsia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川禁毒发【2018】23号《四川省社区戒毒社区康复工作站点标准化建设指导意见（试行）》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”“攀禁毒委【2020】4号《攀枝花市2020-22年禁毒工作规划（机密）》”文件</w:t>
      </w:r>
      <w:r>
        <w:rPr>
          <w:rFonts w:ascii="Times New Roman" w:hAnsi="Times New Roman" w:eastAsia="仿宋_GB2312" w:cs="Times New Roman"/>
          <w:sz w:val="32"/>
          <w:szCs w:val="32"/>
        </w:rPr>
        <w:t>规定，各区县要按照登记在册吸毒人员1:30的比例配备禁毒专职社工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为有效遏制毒品问题滋生蔓延，巩固禁毒工作成果，预防和减少毒品社会危害，加大禁毒宣传，涉毒打击力度。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盐边县公安局严格按照项目目标任务，资金使用方向，严格审核把关，按工作开展进度及时报送计划、支付，严格执行专款专用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4.资金分配的原则及考虑因素。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以禁毒扶贫、重点整治、示范城市创建为载体，</w:t>
      </w:r>
      <w:r>
        <w:rPr>
          <w:rFonts w:ascii="仿宋_GB2312" w:eastAsia="仿宋_GB2312"/>
          <w:color w:val="000000"/>
          <w:sz w:val="32"/>
          <w:szCs w:val="32"/>
        </w:rPr>
        <w:t>狠抓缉毒破案、禁吸戒毒、禁毒宣传、禁毒管理、戒毒康复等各项工作，深入推进毒品问题综合治理，</w:t>
      </w:r>
      <w:r>
        <w:rPr>
          <w:rFonts w:hint="eastAsia" w:ascii="仿宋_GB2312" w:eastAsia="仿宋_GB2312"/>
          <w:color w:val="000000"/>
          <w:sz w:val="32"/>
          <w:szCs w:val="32"/>
        </w:rPr>
        <w:t>全面提升毒品问题综合治理能力。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其中禁毒专职社工劳务费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51万元，禁毒宣传9万元。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（二）项目绩效目标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kern w:val="0"/>
          <w:sz w:val="32"/>
          <w:szCs w:val="32"/>
        </w:rPr>
        <w:t>项目主要内容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禁毒工作经费主要用于我县开展禁毒乡村行、宣传教育、禁种铲毒、禁吸戒毒、缉毒破案、禁毒集中整治、戒毒社区康复站点建设、宣传阵地建设、易制毒化学品管理等禁毒专项工作，严厉打击毒品犯罪案件，有效遏止毒品危害在我县的发展蔓延。</w:t>
      </w:r>
      <w:r>
        <w:rPr>
          <w:rFonts w:hint="eastAsia" w:ascii="仿宋_GB2312" w:hAnsi="黑体" w:eastAsia="仿宋_GB2312"/>
          <w:sz w:val="32"/>
          <w:szCs w:val="32"/>
        </w:rPr>
        <w:t>我县现登记在册吸毒人员数1308人，全县12个乡镇</w:t>
      </w:r>
      <w:r>
        <w:rPr>
          <w:rFonts w:hint="eastAsia" w:ascii="仿宋_GB2312" w:eastAsia="仿宋_GB2312"/>
          <w:sz w:val="32"/>
          <w:szCs w:val="32"/>
        </w:rPr>
        <w:t>招聘了17名禁毒专职社工，按照每人每月劳务费0.25万元（不购买五险一金）核算， 2022年需支付全县17名禁毒专职工作人员劳务费51万元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禁毒工作中经费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，共计经费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60万元。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盐边县公安局禁毒专项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经费的及时下拨支出，</w:t>
      </w:r>
      <w:r>
        <w:rPr>
          <w:rFonts w:hint="eastAsia" w:eastAsia="仿宋_GB2312"/>
          <w:sz w:val="32"/>
          <w:szCs w:val="32"/>
          <w:lang w:eastAsia="zh-CN"/>
        </w:rPr>
        <w:t>严厉打击毒品犯罪案件，有效遏止毒品危害在我县的发展蔓延，提供了保障。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  <w:lang w:val="en-US" w:eastAsia="zh-CN"/>
        </w:rPr>
        <w:t>项目分析评价申报内容与实际相符，申报目标合理可行。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二、项目资金申报及使用情况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（一）项目资金申报及批复情况</w:t>
      </w:r>
    </w:p>
    <w:p>
      <w:pPr>
        <w:spacing w:line="56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我县现登记在册吸毒人员数1308人，全县12个乡镇</w:t>
      </w:r>
      <w:r>
        <w:rPr>
          <w:rFonts w:hint="eastAsia" w:ascii="仿宋_GB2312" w:eastAsia="仿宋_GB2312"/>
          <w:sz w:val="32"/>
          <w:szCs w:val="32"/>
        </w:rPr>
        <w:t>招聘了17名禁毒专职社工，按照每人每月劳务费0.25万元（不购买五险一金）核算， 2022年需支付全县17名禁毒专职工作人员劳务费51万元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禁毒工作中经费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，共计经费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60万元。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由财政（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盐财资行〔2021〕78号）文，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下达解决</w:t>
      </w:r>
      <w:r>
        <w:rPr>
          <w:rFonts w:hint="eastAsia" w:eastAsia="仿宋_GB2312"/>
          <w:sz w:val="32"/>
          <w:szCs w:val="32"/>
          <w:lang w:eastAsia="zh-CN"/>
        </w:rPr>
        <w:t>盐边县公安局禁毒专项经费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（二）资金计划、到位及使用情况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1.资金计划</w:t>
      </w:r>
    </w:p>
    <w:p>
      <w:pPr>
        <w:spacing w:line="560" w:lineRule="exact"/>
        <w:ind w:firstLine="66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禁毒工作经费主要用于我县开展禁毒乡村行、宣传教育、禁种铲毒、禁吸戒毒、缉毒破案、禁毒集中整治、戒毒社区康复站点建设、宣传阵地建设、易制毒化学品管理等禁毒专项工作，严厉打击毒品犯罪案件，有效遏止毒品危害在我县的发展蔓延。</w:t>
      </w:r>
      <w:r>
        <w:rPr>
          <w:rFonts w:hint="eastAsia" w:ascii="仿宋_GB2312" w:hAnsi="黑体" w:eastAsia="仿宋_GB2312"/>
          <w:sz w:val="32"/>
          <w:szCs w:val="32"/>
        </w:rPr>
        <w:t>我县现登记在册吸毒人员数1308人，全县12个乡镇</w:t>
      </w:r>
      <w:r>
        <w:rPr>
          <w:rFonts w:hint="eastAsia" w:ascii="仿宋_GB2312" w:eastAsia="仿宋_GB2312"/>
          <w:sz w:val="32"/>
          <w:szCs w:val="32"/>
        </w:rPr>
        <w:t>招聘了17名禁毒专职社工，按照每人每月劳务费0.25万元（不购买五险一金）核算， 2022年需支付全县17名禁毒专职工作人员劳务费51万元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禁毒工作中经费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，共计经费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60万元。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2.资金到位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2021年2月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由财政（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盐财资行〔2021〕78号）文，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下达解决</w:t>
      </w:r>
      <w:r>
        <w:rPr>
          <w:rFonts w:hint="eastAsia" w:eastAsia="仿宋_GB2312"/>
          <w:sz w:val="32"/>
          <w:szCs w:val="32"/>
          <w:lang w:eastAsia="zh-CN"/>
        </w:rPr>
        <w:t>盐边县公安局禁毒专项资金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到位率100%。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3.资金使用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盐边县公安局禁毒专项资金到位后，县公安局严格按财经纪律、财务管理等相关规定，严格审核各项支出，及时支付，专款专用，资金支付完成</w:t>
      </w:r>
      <w:r>
        <w:rPr>
          <w:rFonts w:hint="eastAsia" w:eastAsia="仿宋_GB2312"/>
          <w:sz w:val="32"/>
          <w:szCs w:val="32"/>
          <w:lang w:val="en-US" w:eastAsia="zh-CN"/>
        </w:rPr>
        <w:t>100%。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（三）项目财务管理情况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严格执行《行政事业单位财务管理制度》，严格按照上级要求上报专项资金使用计划，并在实施过程中做到资金专项专用。所有支出严格按照财务会计管理规定，做到专项资金使用有计划、审批有手续、支出合理规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三、项目实施及管理情况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（一）项目组织架构及实施流程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盐边县公安局禁毒专项资金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及时下拨支出，</w:t>
      </w:r>
      <w:r>
        <w:rPr>
          <w:rFonts w:hint="eastAsia" w:eastAsia="仿宋_GB2312"/>
          <w:sz w:val="32"/>
          <w:szCs w:val="32"/>
          <w:lang w:eastAsia="zh-CN"/>
        </w:rPr>
        <w:t>严厉打击毒品犯罪案件，有效遏止毒品危害在我县的发展蔓延，提供了保障。我单位严格按照政府采购流程及报销流程，审核、把关，由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财务人员将计划录入平台后，再由县财政局进行审批后执行。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（二）项目管理情况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盐边县公安局禁毒专项资金支出严格按照财务管理制度执行。凭原始凭证进行审核报销，并对项目实施进度、资金支付真实性、必要性、及时性进行时时跟踪管理。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（三）项目监管情况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盐边县公安局禁毒专项资金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支出，县公安局严格按照财经纪律，对项目后期实施进度、项目质效进行跟踪管理。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四、项目绩效情况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（一）项目完成情况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盐边县公安局禁毒专项经费在当期完成了项目的总体实施，执行率</w:t>
      </w:r>
      <w:r>
        <w:rPr>
          <w:rFonts w:hint="eastAsia" w:eastAsia="仿宋_GB2312"/>
          <w:sz w:val="32"/>
          <w:szCs w:val="32"/>
          <w:lang w:val="en-US" w:eastAsia="zh-CN"/>
        </w:rPr>
        <w:t>100%。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严厉打击毒品犯罪案件，有效遏止毒品危害在我县的发展蔓延，提供了保障。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（二）项目效益情况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盐边县公安局禁毒专项经费在当期完成了项目的总体实施，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严厉打击毒品犯罪案件，有效遏止毒品危害在我县的发展蔓延，提供了保障。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五、评价结论及建议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（一）评价结论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该项目的及时、完整实施，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严厉打击毒品犯罪案件，有效遏止毒品危害在我县的发展蔓延，提供了保障，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项目执行率100%，满意度100%。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（二）存在的问题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该项目申报、执行均按规定程序执行。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（三）相关建议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1.加强预算管理，细化项目管理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编年年度预算时，在进行调查研究的基础上，充分论证项目立项的必要性、经济型、绩效目标合理性、实施方案可行性，项目实施达到预期效果，发挥最大效益。认真细化方案，明确责任人，做好各项支出绩效目标执行中的控制挂不努力，确保资金对应绩效目标执行，强化项目管理，确保项目按计划推进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2.严格人员管理，提高绩效目标管理水平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加强财务人员培训，熟练掌握预算编制和预算执行等各项政策，严格遵守各项财经纪律，不断提高业务能力，不断提高绩效目标管理水平。</w:t>
      </w:r>
    </w:p>
    <w:p/>
    <w:sectPr>
      <w:pgSz w:w="12240" w:h="15840"/>
      <w:pgMar w:top="1440" w:right="1463" w:bottom="1440" w:left="146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6C02"/>
    <w:rsid w:val="00E50031"/>
    <w:rsid w:val="023C6B06"/>
    <w:rsid w:val="0834121B"/>
    <w:rsid w:val="0EA22A71"/>
    <w:rsid w:val="132A0266"/>
    <w:rsid w:val="1429758C"/>
    <w:rsid w:val="148A6357"/>
    <w:rsid w:val="14A00925"/>
    <w:rsid w:val="187538A8"/>
    <w:rsid w:val="19E7032A"/>
    <w:rsid w:val="1D8242BF"/>
    <w:rsid w:val="1E334E75"/>
    <w:rsid w:val="1F6D1574"/>
    <w:rsid w:val="26BA3466"/>
    <w:rsid w:val="26C73258"/>
    <w:rsid w:val="281614CF"/>
    <w:rsid w:val="28B413F8"/>
    <w:rsid w:val="2E07054A"/>
    <w:rsid w:val="2F7846CD"/>
    <w:rsid w:val="30160024"/>
    <w:rsid w:val="32AA67B4"/>
    <w:rsid w:val="33F40163"/>
    <w:rsid w:val="3F7D71E4"/>
    <w:rsid w:val="471D1E55"/>
    <w:rsid w:val="471F4BB5"/>
    <w:rsid w:val="489F4C9D"/>
    <w:rsid w:val="48BE3E2F"/>
    <w:rsid w:val="4D923D11"/>
    <w:rsid w:val="4E90497B"/>
    <w:rsid w:val="52E727E3"/>
    <w:rsid w:val="537F024E"/>
    <w:rsid w:val="563342D4"/>
    <w:rsid w:val="58580813"/>
    <w:rsid w:val="62627BF0"/>
    <w:rsid w:val="698E4187"/>
    <w:rsid w:val="69D76C02"/>
    <w:rsid w:val="6AEE7933"/>
    <w:rsid w:val="6EE4299A"/>
    <w:rsid w:val="6EF61732"/>
    <w:rsid w:val="70A414F7"/>
    <w:rsid w:val="721E0A11"/>
    <w:rsid w:val="74D81160"/>
    <w:rsid w:val="75A5081F"/>
    <w:rsid w:val="7BEC4627"/>
    <w:rsid w:val="7D9864FB"/>
    <w:rsid w:val="7EBB7F00"/>
    <w:rsid w:val="7EE60427"/>
    <w:rsid w:val="7EF40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2022-05-06T08:27:00Z</dcterms:created>
  <dc:creator>Owner</dc:creator>
  <cp:lastModifiedBy>Owner</cp:lastModifiedBy>
  <dcterms:modified xsi:type="dcterms:W3CDTF">2022-05-09T08:32:21Z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