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52180062"/>
      <w:bookmarkStart w:id="2" w:name="_Toc15396597"/>
      <w:bookmarkStart w:id="3" w:name="_Toc15377193"/>
      <w:bookmarkStart w:id="4" w:name="_Toc15377425"/>
      <w:bookmarkStart w:id="5" w:name="_Toc15378441"/>
      <w:bookmarkStart w:id="6"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Style w:val="30"/>
          <w:rFonts w:ascii="方正小标宋简体" w:hAnsi="宋体" w:eastAsia="方正小标宋简体"/>
          <w:color w:val="000000"/>
          <w:sz w:val="72"/>
          <w:szCs w:val="72"/>
        </w:rPr>
      </w:pPr>
      <w:bookmarkStart w:id="7" w:name="_Toc15378442"/>
      <w:bookmarkStart w:id="8" w:name="_Toc15377426"/>
      <w:bookmarkStart w:id="9" w:name="_Toc15377194"/>
      <w:bookmarkStart w:id="10" w:name="_Toc15396476"/>
      <w:bookmarkStart w:id="11" w:name="_Toc15396598"/>
      <w:bookmarkStart w:id="12" w:name="_Toc52180063"/>
      <w:r>
        <w:rPr>
          <w:rFonts w:hint="eastAsia" w:ascii="方正小标宋简体" w:hAnsi="宋体" w:eastAsia="方正小标宋简体"/>
          <w:color w:val="000000"/>
          <w:sz w:val="72"/>
          <w:szCs w:val="72"/>
        </w:rPr>
        <w:t>盐边县</w:t>
      </w:r>
      <w:bookmarkEnd w:id="0"/>
      <w:bookmarkStart w:id="13" w:name="_Toc15306268"/>
      <w:r>
        <w:rPr>
          <w:rStyle w:val="30"/>
          <w:rFonts w:ascii="方正小标宋简体" w:hAnsi="宋体" w:eastAsia="方正小标宋简体"/>
          <w:color w:val="000000"/>
          <w:sz w:val="72"/>
          <w:szCs w:val="72"/>
        </w:rPr>
        <w:t>共和中心卫生院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公开时间：2020年10月23日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29"/>
            <w:spacing w:before="0" w:line="240" w:lineRule="auto"/>
          </w:pPr>
          <w:r>
            <w:fldChar w:fldCharType="begin"/>
          </w:r>
          <w:r>
            <w:instrText xml:space="preserve"> TOC \o "1-3" \h \z \u </w:instrText>
          </w:r>
          <w:r>
            <w:fldChar w:fldCharType="separate"/>
          </w:r>
        </w:p>
        <w:p>
          <w:pPr>
            <w:pStyle w:val="10"/>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5"/>
              <w:rFonts w:hint="eastAsia" w:ascii="黑体" w:hAnsi="黑体" w:eastAsia="黑体"/>
            </w:rPr>
            <w:t>第一部分</w:t>
          </w:r>
          <w:r>
            <w:rPr>
              <w:rStyle w:val="15"/>
              <w:rFonts w:ascii="黑体" w:hAnsi="黑体" w:eastAsia="黑体"/>
            </w:rPr>
            <w:t xml:space="preserve"> </w:t>
          </w:r>
          <w:r>
            <w:rPr>
              <w:rStyle w:val="15"/>
              <w:rFonts w:hint="eastAsia" w:ascii="黑体" w:hAnsi="黑体" w:eastAsia="黑体"/>
            </w:rPr>
            <w:t>部门概况</w:t>
          </w:r>
          <w:r>
            <w:tab/>
          </w:r>
          <w:r>
            <w:fldChar w:fldCharType="begin"/>
          </w:r>
          <w:r>
            <w:instrText xml:space="preserve"> PAGEREF _Toc52180065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5"/>
              <w:rFonts w:hint="eastAsia" w:ascii="黑体" w:hAnsi="黑体" w:eastAsia="黑体"/>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"_Toc52180067" </w:instrText>
          </w:r>
          <w:r>
            <w:fldChar w:fldCharType="separate"/>
          </w:r>
          <w:r>
            <w:rPr>
              <w:rStyle w:val="15"/>
              <w:rFonts w:hint="eastAsia" w:ascii="仿宋" w:hAnsi="仿宋" w:eastAsia="仿宋"/>
              <w:bCs/>
            </w:rPr>
            <w:t>（一）主要职能。</w:t>
          </w:r>
          <w:r>
            <w:tab/>
          </w:r>
          <w:r>
            <w:fldChar w:fldCharType="begin"/>
          </w:r>
          <w:r>
            <w:instrText xml:space="preserve"> PAGEREF _Toc52180067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"_Toc52180068" </w:instrText>
          </w:r>
          <w:r>
            <w:fldChar w:fldCharType="separate"/>
          </w:r>
          <w:r>
            <w:rPr>
              <w:rStyle w:val="15"/>
              <w:rFonts w:hint="eastAsia" w:ascii="仿宋" w:hAnsi="仿宋" w:eastAsia="仿宋"/>
              <w:bCs/>
            </w:rPr>
            <w:t>（二）</w:t>
          </w:r>
          <w:r>
            <w:rPr>
              <w:rStyle w:val="15"/>
              <w:rFonts w:ascii="仿宋" w:hAnsi="仿宋" w:eastAsia="仿宋"/>
              <w:bCs/>
            </w:rPr>
            <w:t>2019</w:t>
          </w:r>
          <w:r>
            <w:rPr>
              <w:rStyle w:val="15"/>
              <w:rFonts w:hint="eastAsia" w:ascii="仿宋" w:hAnsi="仿宋" w:eastAsia="仿宋"/>
              <w:bCs/>
            </w:rPr>
            <w:t>年重点工作完成情况。</w:t>
          </w:r>
          <w:r>
            <w:tab/>
          </w:r>
          <w:r>
            <w:fldChar w:fldCharType="begin"/>
          </w:r>
          <w:r>
            <w:instrText xml:space="preserve"> PAGEREF _Toc52180068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5"/>
              <w:rFonts w:hint="eastAsia" w:ascii="黑体" w:eastAsia="黑体"/>
            </w:rPr>
            <w:t>二、</w:t>
          </w:r>
          <w:r>
            <w:rPr>
              <w:rStyle w:val="15"/>
              <w:rFonts w:hint="eastAsia" w:ascii="黑体" w:hAnsi="黑体" w:eastAsia="黑体"/>
            </w:rPr>
            <w:t>机构设置</w:t>
          </w:r>
          <w:r>
            <w:tab/>
          </w:r>
          <w:r>
            <w:rPr>
              <w:rFonts w:hint="eastAsia"/>
              <w:lang w:val="en-US" w:eastAsia="zh-CN"/>
            </w:rPr>
            <w:t>4</w:t>
          </w:r>
          <w:r>
            <w:fldChar w:fldCharType="end"/>
          </w:r>
        </w:p>
        <w:p>
          <w:pPr>
            <w:pStyle w:val="10"/>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5"/>
              <w:rFonts w:hint="eastAsia" w:ascii="黑体" w:hAnsi="黑体" w:eastAsia="黑体"/>
            </w:rPr>
            <w:t>第二部分</w:t>
          </w:r>
          <w:r>
            <w:rPr>
              <w:rStyle w:val="15"/>
              <w:rFonts w:ascii="黑体" w:hAnsi="黑体" w:eastAsia="黑体"/>
            </w:rPr>
            <w:t xml:space="preserve"> 2019</w:t>
          </w:r>
          <w:r>
            <w:rPr>
              <w:rStyle w:val="15"/>
              <w:rFonts w:hint="eastAsia" w:ascii="黑体" w:hAnsi="黑体" w:eastAsia="黑体"/>
            </w:rPr>
            <w:t>年度部门决算情况说明</w:t>
          </w:r>
          <w:r>
            <w:tab/>
          </w:r>
          <w:r>
            <w:fldChar w:fldCharType="begin"/>
          </w:r>
          <w:r>
            <w:instrText xml:space="preserve"> PAGEREF _Toc52180073 \h </w:instrText>
          </w:r>
          <w:r>
            <w:fldChar w:fldCharType="separate"/>
          </w:r>
          <w:r>
            <w:t>6</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5"/>
              <w:rFonts w:hint="eastAsia" w:ascii="黑体" w:hAnsi="黑体" w:eastAsia="黑体" w:cstheme="majorBidi"/>
              <w:bCs/>
            </w:rPr>
            <w:t>一、</w:t>
          </w:r>
          <w:r>
            <w:rPr>
              <w:rStyle w:val="15"/>
              <w:rFonts w:hint="eastAsia" w:ascii="黑体" w:hAnsi="黑体" w:eastAsia="黑体"/>
            </w:rPr>
            <w:t>收</w:t>
          </w:r>
          <w:r>
            <w:rPr>
              <w:rStyle w:val="15"/>
              <w:rFonts w:hint="eastAsia" w:ascii="黑体" w:hAnsi="黑体" w:eastAsia="黑体" w:cstheme="majorBidi"/>
              <w:bCs/>
            </w:rPr>
            <w:t>入支出决算总体情况说明</w:t>
          </w:r>
          <w:r>
            <w:tab/>
          </w:r>
          <w:r>
            <w:fldChar w:fldCharType="begin"/>
          </w:r>
          <w:r>
            <w:instrText xml:space="preserve"> PAGEREF _Toc52180074 \h </w:instrText>
          </w:r>
          <w:r>
            <w:fldChar w:fldCharType="separate"/>
          </w:r>
          <w:r>
            <w:t>6</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5"/>
              <w:rFonts w:hint="eastAsia" w:ascii="黑体" w:hAnsi="黑体" w:eastAsia="黑体" w:cstheme="majorBidi"/>
              <w:bCs/>
            </w:rPr>
            <w:t>二、</w:t>
          </w:r>
          <w:r>
            <w:rPr>
              <w:rStyle w:val="15"/>
              <w:rFonts w:hint="eastAsia" w:ascii="黑体" w:hAnsi="黑体" w:eastAsia="黑体"/>
            </w:rPr>
            <w:t>收</w:t>
          </w:r>
          <w:r>
            <w:rPr>
              <w:rStyle w:val="15"/>
              <w:rFonts w:hint="eastAsia" w:ascii="黑体" w:hAnsi="黑体" w:eastAsia="黑体" w:cstheme="majorBidi"/>
              <w:bCs/>
            </w:rPr>
            <w:t>入决算情况说明</w:t>
          </w:r>
          <w:r>
            <w:tab/>
          </w:r>
          <w:r>
            <w:fldChar w:fldCharType="begin"/>
          </w:r>
          <w:r>
            <w:instrText xml:space="preserve"> PAGEREF _Toc52180075 \h </w:instrText>
          </w:r>
          <w:r>
            <w:fldChar w:fldCharType="separate"/>
          </w:r>
          <w:r>
            <w:t>6</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5"/>
              <w:rFonts w:hint="eastAsia" w:ascii="黑体" w:hAnsi="黑体" w:eastAsia="黑体" w:cstheme="majorBidi"/>
              <w:bCs/>
            </w:rPr>
            <w:t>三、</w:t>
          </w:r>
          <w:r>
            <w:rPr>
              <w:rStyle w:val="15"/>
              <w:rFonts w:hint="eastAsia" w:ascii="黑体" w:hAnsi="黑体" w:eastAsia="黑体"/>
            </w:rPr>
            <w:t>支</w:t>
          </w:r>
          <w:r>
            <w:rPr>
              <w:rStyle w:val="15"/>
              <w:rFonts w:hint="eastAsia" w:ascii="黑体" w:hAnsi="黑体" w:eastAsia="黑体" w:cstheme="majorBidi"/>
              <w:bCs/>
            </w:rPr>
            <w:t>出决算情况说明</w:t>
          </w:r>
          <w:r>
            <w:tab/>
          </w:r>
          <w:r>
            <w:fldChar w:fldCharType="begin"/>
          </w:r>
          <w:r>
            <w:instrText xml:space="preserve"> PAGEREF _Toc52180077 \h </w:instrText>
          </w:r>
          <w:r>
            <w:fldChar w:fldCharType="separate"/>
          </w:r>
          <w:r>
            <w:t>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5"/>
              <w:rFonts w:hint="eastAsia" w:ascii="黑体" w:hAnsi="黑体" w:eastAsia="黑体"/>
            </w:rPr>
            <w:t>四、财</w:t>
          </w:r>
          <w:r>
            <w:rPr>
              <w:rStyle w:val="15"/>
              <w:rFonts w:hint="eastAsia" w:ascii="黑体" w:hAnsi="黑体" w:eastAsia="黑体" w:cstheme="majorBidi"/>
              <w:bCs/>
            </w:rPr>
            <w:t>政拨款收入支出决算总体情况说明</w:t>
          </w:r>
          <w:r>
            <w:tab/>
          </w:r>
          <w:r>
            <w:rPr>
              <w:rFonts w:hint="eastAsia"/>
              <w:lang w:val="en-US" w:eastAsia="zh-CN"/>
            </w:rPr>
            <w:t>6</w:t>
          </w:r>
          <w:r>
            <w:fldChar w:fldCharType="end"/>
          </w:r>
        </w:p>
        <w:p>
          <w:pPr>
            <w:pStyle w:val="11"/>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5"/>
              <w:rFonts w:hint="eastAsia" w:ascii="黑体" w:hAnsi="黑体" w:eastAsia="黑体"/>
            </w:rPr>
            <w:t>五、</w:t>
          </w:r>
          <w:r>
            <w:rPr>
              <w:rStyle w:val="15"/>
              <w:rFonts w:hint="eastAsia" w:ascii="黑体" w:hAnsi="黑体" w:eastAsia="黑体"/>
              <w:b/>
            </w:rPr>
            <w:t>一</w:t>
          </w:r>
          <w:r>
            <w:rPr>
              <w:rStyle w:val="15"/>
              <w:rFonts w:hint="eastAsia" w:ascii="黑体" w:hAnsi="黑体" w:eastAsia="黑体" w:cstheme="majorBidi"/>
              <w:bCs/>
            </w:rPr>
            <w:t>般公共预算财政拨款支出决算情况说明</w:t>
          </w:r>
          <w:r>
            <w:tab/>
          </w:r>
          <w:r>
            <w:fldChar w:fldCharType="begin"/>
          </w:r>
          <w:r>
            <w:instrText xml:space="preserve"> PAGEREF _Toc52180080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5"/>
              <w:rFonts w:hint="eastAsia" w:ascii="仿宋" w:hAnsi="仿宋" w:eastAsia="仿宋"/>
              <w:b/>
            </w:rPr>
            <w:t>（一）一般公共预算财政拨款支出决算总体情况</w:t>
          </w:r>
          <w:r>
            <w:tab/>
          </w:r>
          <w:r>
            <w:fldChar w:fldCharType="begin"/>
          </w:r>
          <w:r>
            <w:instrText xml:space="preserve"> PAGEREF _Toc52180081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5"/>
              <w:rFonts w:hint="eastAsia" w:ascii="仿宋" w:hAnsi="仿宋" w:eastAsia="仿宋"/>
              <w:b/>
            </w:rPr>
            <w:t>（二）一般公共预算财政拨款支出决算结构情况</w:t>
          </w:r>
          <w:r>
            <w:tab/>
          </w:r>
          <w:r>
            <w:fldChar w:fldCharType="begin"/>
          </w:r>
          <w:r>
            <w:instrText xml:space="preserve"> PAGEREF _Toc52180082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5"/>
              <w:rFonts w:hint="eastAsia" w:ascii="仿宋" w:hAnsi="仿宋" w:eastAsia="仿宋"/>
              <w:b/>
            </w:rPr>
            <w:t>（三）一般公共预算财政拨款支出决算具体情况</w:t>
          </w:r>
          <w:r>
            <w:tab/>
          </w:r>
          <w:r>
            <w:fldChar w:fldCharType="begin"/>
          </w:r>
          <w:r>
            <w:instrText xml:space="preserve"> PAGEREF _Toc52180083 \h </w:instrText>
          </w:r>
          <w:r>
            <w:fldChar w:fldCharType="separate"/>
          </w:r>
          <w:r>
            <w:t>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5"/>
              <w:rFonts w:hint="eastAsia" w:ascii="黑体" w:eastAsia="黑体"/>
            </w:rPr>
            <w:t>六</w:t>
          </w:r>
          <w:r>
            <w:rPr>
              <w:rStyle w:val="15"/>
              <w:rFonts w:hint="eastAsia" w:ascii="黑体" w:eastAsia="黑体"/>
              <w:b/>
            </w:rPr>
            <w:t>、</w:t>
          </w:r>
          <w:r>
            <w:rPr>
              <w:rStyle w:val="15"/>
              <w:rFonts w:hint="eastAsia" w:ascii="黑体" w:hAnsi="黑体" w:eastAsia="黑体"/>
              <w:b/>
            </w:rPr>
            <w:t>一</w:t>
          </w:r>
          <w:r>
            <w:rPr>
              <w:rStyle w:val="15"/>
              <w:rFonts w:hint="eastAsia" w:ascii="黑体" w:hAnsi="黑体" w:eastAsia="黑体" w:cstheme="majorBidi"/>
              <w:bCs/>
            </w:rPr>
            <w:t>般公共预算财政拨款基本支出决算情况说明</w:t>
          </w:r>
          <w:r>
            <w:tab/>
          </w:r>
          <w:r>
            <w:rPr>
              <w:rFonts w:hint="eastAsia"/>
              <w:lang w:val="en-US" w:eastAsia="zh-CN"/>
            </w:rPr>
            <w:t>8</w:t>
          </w:r>
          <w:r>
            <w:fldChar w:fldCharType="end"/>
          </w:r>
        </w:p>
        <w:p>
          <w:pPr>
            <w:pStyle w:val="11"/>
            <w:rPr>
              <w:rFonts w:asciiTheme="minorHAnsi" w:hAnsiTheme="minorHAnsi" w:eastAsiaTheme="minorEastAsia" w:cstheme="minorBidi"/>
              <w:szCs w:val="22"/>
            </w:rPr>
          </w:pPr>
          <w:r>
            <w:fldChar w:fldCharType="begin"/>
          </w:r>
          <w:r>
            <w:instrText xml:space="preserve"> HYPERLINK \l "_Toc52180086" </w:instrText>
          </w:r>
          <w:r>
            <w:fldChar w:fldCharType="separate"/>
          </w:r>
          <w:r>
            <w:rPr>
              <w:rStyle w:val="15"/>
              <w:rFonts w:hint="eastAsia" w:ascii="黑体" w:eastAsia="黑体"/>
            </w:rPr>
            <w:t>七、</w:t>
          </w:r>
          <w:r>
            <w:rPr>
              <w:rStyle w:val="15"/>
              <w:rFonts w:ascii="黑体" w:hAnsi="黑体" w:eastAsia="黑体" w:cstheme="majorBidi"/>
              <w:b/>
              <w:bCs/>
            </w:rPr>
            <w:t>“</w:t>
          </w:r>
          <w:r>
            <w:rPr>
              <w:rStyle w:val="15"/>
              <w:rFonts w:hint="eastAsia" w:ascii="黑体" w:hAnsi="黑体" w:eastAsia="黑体" w:cstheme="majorBidi"/>
              <w:bCs/>
            </w:rPr>
            <w:t>三公”经费财政拨款支出决算情况说明</w:t>
          </w:r>
          <w:r>
            <w:tab/>
          </w:r>
          <w:r>
            <w:fldChar w:fldCharType="begin"/>
          </w:r>
          <w:r>
            <w:instrText xml:space="preserve"> PAGEREF _Toc52180086 \h </w:instrText>
          </w:r>
          <w:r>
            <w:fldChar w:fldCharType="separate"/>
          </w:r>
          <w:r>
            <w:t>9</w:t>
          </w:r>
          <w:r>
            <w:fldChar w:fldCharType="end"/>
          </w:r>
          <w:r>
            <w:fldChar w:fldCharType="end"/>
          </w:r>
        </w:p>
        <w:p>
          <w:pPr>
            <w:pStyle w:val="6"/>
            <w:rPr>
              <w:rFonts w:hint="eastAsia" w:eastAsia="宋体" w:asciiTheme="minorHAnsi" w:hAnsiTheme="minorHAnsi" w:cstheme="minorBidi"/>
              <w:szCs w:val="22"/>
              <w:lang w:val="en-US" w:eastAsia="zh-CN"/>
            </w:rPr>
          </w:pPr>
          <w:r>
            <w:fldChar w:fldCharType="begin"/>
          </w:r>
          <w:r>
            <w:instrText xml:space="preserve"> HYPERLINK \l "_Toc52180087" </w:instrText>
          </w:r>
          <w:r>
            <w:fldChar w:fldCharType="separate"/>
          </w:r>
          <w:r>
            <w:rPr>
              <w:rStyle w:val="15"/>
              <w:rFonts w:hint="eastAsia" w:ascii="仿宋" w:hAnsi="仿宋" w:eastAsia="仿宋"/>
              <w:b/>
            </w:rPr>
            <w:t>（一）“三公”经费财政拨款支出决算总体情况说明</w:t>
          </w:r>
          <w:r>
            <w:tab/>
          </w:r>
          <w:r>
            <w:fldChar w:fldCharType="end"/>
          </w:r>
          <w:r>
            <w:rPr>
              <w:rFonts w:hint="eastAsia"/>
              <w:lang w:val="en-US" w:eastAsia="zh-CN"/>
            </w:rPr>
            <w:t>9</w:t>
          </w:r>
        </w:p>
        <w:p>
          <w:pPr>
            <w:pStyle w:val="6"/>
            <w:rPr>
              <w:rFonts w:asciiTheme="minorHAnsi" w:hAnsiTheme="minorHAnsi" w:eastAsiaTheme="minorEastAsia" w:cstheme="minorBidi"/>
              <w:szCs w:val="22"/>
            </w:rPr>
          </w:pPr>
          <w:r>
            <w:fldChar w:fldCharType="begin"/>
          </w:r>
          <w:r>
            <w:instrText xml:space="preserve"> HYPERLINK \l "_Toc52180088" </w:instrText>
          </w:r>
          <w:r>
            <w:fldChar w:fldCharType="separate"/>
          </w:r>
          <w:r>
            <w:rPr>
              <w:rStyle w:val="15"/>
              <w:rFonts w:hint="eastAsia" w:ascii="仿宋" w:hAnsi="仿宋" w:eastAsia="仿宋"/>
              <w:b/>
            </w:rPr>
            <w:t>（二）“三公”经费财政拨款支出决算具体情况说明</w:t>
          </w:r>
          <w:r>
            <w:tab/>
          </w:r>
          <w:r>
            <w:fldChar w:fldCharType="begin"/>
          </w:r>
          <w:r>
            <w:instrText xml:space="preserve"> PAGEREF _Toc52180088 \h </w:instrText>
          </w:r>
          <w:r>
            <w:fldChar w:fldCharType="separate"/>
          </w:r>
          <w:r>
            <w:t>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"_Toc52180089" </w:instrText>
          </w:r>
          <w:r>
            <w:fldChar w:fldCharType="separate"/>
          </w:r>
          <w:r>
            <w:rPr>
              <w:rStyle w:val="15"/>
              <w:rFonts w:hint="eastAsia" w:ascii="黑体" w:eastAsia="黑体"/>
            </w:rPr>
            <w:t>八、</w:t>
          </w:r>
          <w:r>
            <w:rPr>
              <w:rStyle w:val="15"/>
              <w:rFonts w:hint="eastAsia" w:ascii="黑体" w:hAnsi="黑体" w:eastAsia="黑体" w:cstheme="majorBidi"/>
              <w:bCs/>
            </w:rPr>
            <w:t>政府性基金预算支出决算情况说明</w:t>
          </w:r>
          <w:r>
            <w:tab/>
          </w:r>
          <w:r>
            <w:fldChar w:fldCharType="begin"/>
          </w:r>
          <w:r>
            <w:instrText xml:space="preserve"> PAGEREF _Toc52180089 \h </w:instrText>
          </w:r>
          <w:r>
            <w:fldChar w:fldCharType="separate"/>
          </w:r>
          <w:r>
            <w:t>1</w:t>
          </w:r>
          <w:r>
            <w:rPr>
              <w:rFonts w:hint="eastAsia"/>
              <w:lang w:val="en-US" w:eastAsia="zh-CN"/>
            </w:rPr>
            <w:t>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"_Toc52180090" </w:instrText>
          </w:r>
          <w:r>
            <w:fldChar w:fldCharType="separate"/>
          </w:r>
          <w:r>
            <w:rPr>
              <w:rStyle w:val="15"/>
              <w:rFonts w:hint="eastAsia" w:ascii="黑体" w:hAnsi="黑体" w:eastAsia="黑体" w:cstheme="majorBidi"/>
              <w:bCs/>
            </w:rPr>
            <w:t>九、 国有资本经营预算支出决算情况说明</w:t>
          </w:r>
          <w:r>
            <w:tab/>
          </w:r>
          <w:r>
            <w:fldChar w:fldCharType="begin"/>
          </w:r>
          <w:r>
            <w:instrText xml:space="preserve"> PAGEREF _Toc52180090 \h </w:instrText>
          </w:r>
          <w:r>
            <w:fldChar w:fldCharType="separate"/>
          </w:r>
          <w:r>
            <w:t>1</w:t>
          </w:r>
          <w:r>
            <w:rPr>
              <w:rFonts w:hint="eastAsia"/>
              <w:lang w:val="en-US" w:eastAsia="zh-CN"/>
            </w:rPr>
            <w:t>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"_Toc52180091" </w:instrText>
          </w:r>
          <w:r>
            <w:fldChar w:fldCharType="separate"/>
          </w:r>
          <w:r>
            <w:rPr>
              <w:rStyle w:val="15"/>
              <w:rFonts w:hint="eastAsia" w:ascii="黑体" w:hAnsi="黑体" w:eastAsia="黑体"/>
            </w:rPr>
            <w:t>十</w:t>
          </w:r>
          <w:r>
            <w:rPr>
              <w:rStyle w:val="15"/>
              <w:rFonts w:hint="eastAsia" w:ascii="黑体" w:hAnsi="黑体" w:eastAsia="黑体" w:cstheme="majorBidi"/>
              <w:b/>
              <w:bCs/>
            </w:rPr>
            <w:t>、</w:t>
          </w:r>
          <w:r>
            <w:rPr>
              <w:rStyle w:val="15"/>
              <w:rFonts w:hint="eastAsia" w:ascii="黑体" w:hAnsi="黑体" w:eastAsia="黑体" w:cstheme="majorBidi"/>
              <w:bCs/>
            </w:rPr>
            <w:t>其他重要事项的情况说明</w:t>
          </w:r>
          <w:r>
            <w:tab/>
          </w:r>
          <w:r>
            <w:fldChar w:fldCharType="begin"/>
          </w:r>
          <w:r>
            <w:instrText xml:space="preserve"> PAGEREF _Toc52180091 \h </w:instrText>
          </w:r>
          <w:r>
            <w:fldChar w:fldCharType="separate"/>
          </w:r>
          <w:r>
            <w:t>1</w:t>
          </w:r>
          <w:r>
            <w:rPr>
              <w:rFonts w:hint="eastAsia"/>
              <w:lang w:val="en-US" w:eastAsia="zh-CN"/>
            </w:rPr>
            <w:t>0</w:t>
          </w:r>
          <w:r>
            <w:fldChar w:fldCharType="end"/>
          </w:r>
          <w:r>
            <w:fldChar w:fldCharType="end"/>
          </w:r>
        </w:p>
        <w:p>
          <w:pPr>
            <w:pStyle w:val="6"/>
            <w:rPr>
              <w:rFonts w:hint="default" w:eastAsia="宋体" w:asciiTheme="minorHAnsi" w:hAnsiTheme="minorHAnsi" w:cstheme="minorBidi"/>
              <w:szCs w:val="22"/>
              <w:lang w:val="en-US" w:eastAsia="zh-CN"/>
            </w:rPr>
          </w:pPr>
          <w:r>
            <w:fldChar w:fldCharType="begin"/>
          </w:r>
          <w:r>
            <w:instrText xml:space="preserve"> HYPERLINK \l "_Toc52180092" </w:instrText>
          </w:r>
          <w:r>
            <w:fldChar w:fldCharType="separate"/>
          </w:r>
          <w:r>
            <w:rPr>
              <w:rStyle w:val="15"/>
              <w:rFonts w:hint="eastAsia" w:ascii="仿宋" w:hAnsi="仿宋" w:eastAsia="仿宋"/>
              <w:b/>
            </w:rPr>
            <w:t>（一）机关运行经费支出情况</w:t>
          </w:r>
          <w:r>
            <w:tab/>
          </w:r>
          <w:r>
            <w:fldChar w:fldCharType="end"/>
          </w:r>
          <w:r>
            <w:rPr>
              <w:rFonts w:hint="eastAsia"/>
              <w:lang w:val="en-US" w:eastAsia="zh-CN"/>
            </w:rPr>
            <w:t>10</w:t>
          </w:r>
        </w:p>
        <w:p>
          <w:pPr>
            <w:pStyle w:val="6"/>
            <w:rPr>
              <w:rFonts w:hint="default" w:eastAsia="宋体" w:asciiTheme="minorHAnsi" w:hAnsiTheme="minorHAnsi" w:cstheme="minorBidi"/>
              <w:szCs w:val="22"/>
              <w:lang w:val="en-US" w:eastAsia="zh-CN"/>
            </w:rPr>
          </w:pPr>
          <w:r>
            <w:fldChar w:fldCharType="begin"/>
          </w:r>
          <w:r>
            <w:instrText xml:space="preserve"> HYPERLINK \l "_Toc52180093" </w:instrText>
          </w:r>
          <w:r>
            <w:fldChar w:fldCharType="separate"/>
          </w:r>
          <w:r>
            <w:rPr>
              <w:rStyle w:val="15"/>
              <w:rFonts w:hint="eastAsia" w:ascii="仿宋" w:hAnsi="仿宋" w:eastAsia="仿宋"/>
              <w:b/>
            </w:rPr>
            <w:t>（二）政府采购支出情况</w:t>
          </w:r>
          <w:r>
            <w:tab/>
          </w:r>
          <w:r>
            <w:fldChar w:fldCharType="end"/>
          </w:r>
          <w:r>
            <w:rPr>
              <w:rFonts w:hint="eastAsia"/>
              <w:lang w:val="en-US" w:eastAsia="zh-CN"/>
            </w:rPr>
            <w:t>10</w:t>
          </w:r>
        </w:p>
        <w:p>
          <w:pPr>
            <w:pStyle w:val="6"/>
            <w:rPr>
              <w:rFonts w:hint="default" w:eastAsia="宋体" w:asciiTheme="minorHAnsi" w:hAnsiTheme="minorHAnsi" w:cstheme="minorBidi"/>
              <w:szCs w:val="22"/>
              <w:lang w:val="en-US" w:eastAsia="zh-CN"/>
            </w:rPr>
          </w:pPr>
          <w:r>
            <w:fldChar w:fldCharType="begin"/>
          </w:r>
          <w:r>
            <w:instrText xml:space="preserve"> HYPERLINK \l "_Toc52180094" </w:instrText>
          </w:r>
          <w:r>
            <w:fldChar w:fldCharType="separate"/>
          </w:r>
          <w:r>
            <w:rPr>
              <w:rStyle w:val="15"/>
              <w:rFonts w:hint="eastAsia" w:ascii="仿宋" w:hAnsi="仿宋" w:eastAsia="仿宋"/>
              <w:b/>
            </w:rPr>
            <w:t>（三）国有资产占有使用情况</w:t>
          </w:r>
          <w:r>
            <w:tab/>
          </w:r>
          <w:r>
            <w:fldChar w:fldCharType="end"/>
          </w:r>
          <w:r>
            <w:rPr>
              <w:rFonts w:hint="eastAsia"/>
              <w:lang w:val="en-US" w:eastAsia="zh-CN"/>
            </w:rPr>
            <w:t>10</w:t>
          </w:r>
        </w:p>
        <w:p>
          <w:pPr>
            <w:pStyle w:val="6"/>
            <w:rPr>
              <w:rFonts w:hint="default" w:eastAsia="宋体" w:asciiTheme="minorHAnsi" w:hAnsiTheme="minorHAnsi" w:cstheme="minorBidi"/>
              <w:szCs w:val="22"/>
              <w:lang w:val="en-US" w:eastAsia="zh-CN"/>
            </w:rPr>
          </w:pPr>
          <w:r>
            <w:fldChar w:fldCharType="begin"/>
          </w:r>
          <w:r>
            <w:instrText xml:space="preserve"> HYPERLINK \l "_Toc52180095" </w:instrText>
          </w:r>
          <w:r>
            <w:fldChar w:fldCharType="separate"/>
          </w:r>
          <w:r>
            <w:rPr>
              <w:rStyle w:val="15"/>
              <w:rFonts w:hint="eastAsia" w:ascii="仿宋" w:hAnsi="仿宋" w:eastAsia="仿宋"/>
              <w:b/>
            </w:rPr>
            <w:t>（四）预算绩效管理情况。</w:t>
          </w:r>
          <w:r>
            <w:tab/>
          </w:r>
          <w:r>
            <w:fldChar w:fldCharType="end"/>
          </w:r>
          <w:r>
            <w:rPr>
              <w:rFonts w:hint="eastAsia"/>
              <w:lang w:val="en-US" w:eastAsia="zh-CN"/>
            </w:rPr>
            <w:t>10</w:t>
          </w:r>
        </w:p>
        <w:p>
          <w:pPr>
            <w:pStyle w:val="10"/>
            <w:rPr>
              <w:rFonts w:asciiTheme="minorHAnsi" w:hAnsiTheme="minorHAnsi" w:eastAsiaTheme="minorEastAsia" w:cstheme="minorBidi"/>
              <w:sz w:val="21"/>
              <w:szCs w:val="22"/>
            </w:rPr>
          </w:pPr>
          <w:r>
            <w:fldChar w:fldCharType="begin"/>
          </w:r>
          <w:r>
            <w:instrText xml:space="preserve"> HYPERLINK \l "_Toc52180096" </w:instrText>
          </w:r>
          <w:r>
            <w:fldChar w:fldCharType="separate"/>
          </w:r>
          <w:r>
            <w:rPr>
              <w:rStyle w:val="15"/>
              <w:rFonts w:hint="eastAsia" w:ascii="黑体" w:hAnsi="黑体" w:eastAsia="黑体"/>
              <w:bCs/>
              <w:kern w:val="44"/>
            </w:rPr>
            <w:t>第三部分</w:t>
          </w:r>
          <w:r>
            <w:rPr>
              <w:rStyle w:val="15"/>
              <w:rFonts w:hint="eastAsia" w:ascii="黑体" w:hAnsi="黑体" w:eastAsia="黑体"/>
            </w:rPr>
            <w:t xml:space="preserve"> 名</w:t>
          </w:r>
          <w:r>
            <w:rPr>
              <w:rStyle w:val="15"/>
              <w:rFonts w:hint="eastAsia" w:ascii="黑体" w:hAnsi="黑体" w:eastAsia="黑体"/>
              <w:bCs/>
              <w:kern w:val="44"/>
            </w:rPr>
            <w:t>词解释</w:t>
          </w:r>
          <w:r>
            <w:tab/>
          </w:r>
          <w:r>
            <w:fldChar w:fldCharType="begin"/>
          </w:r>
          <w:r>
            <w:instrText xml:space="preserve"> PAGEREF _Toc52180096 \h </w:instrText>
          </w:r>
          <w:r>
            <w:fldChar w:fldCharType="separate"/>
          </w:r>
          <w:r>
            <w:t>1</w:t>
          </w:r>
          <w:r>
            <w:rPr>
              <w:rFonts w:hint="eastAsia"/>
              <w:lang w:val="en-US" w:eastAsia="zh-CN"/>
            </w:rPr>
            <w:t>4</w:t>
          </w:r>
          <w:r>
            <w:fldChar w:fldCharType="end"/>
          </w:r>
          <w:r>
            <w:fldChar w:fldCharType="end"/>
          </w:r>
        </w:p>
        <w:p>
          <w:pPr>
            <w:pStyle w:val="10"/>
            <w:rPr>
              <w:rFonts w:hint="eastAsia" w:eastAsia="仿宋" w:asciiTheme="minorHAnsi" w:hAnsiTheme="minorHAnsi" w:cstheme="minorBidi"/>
              <w:sz w:val="21"/>
              <w:szCs w:val="22"/>
              <w:lang w:val="en-US" w:eastAsia="zh-CN"/>
            </w:rPr>
          </w:pPr>
          <w:r>
            <w:fldChar w:fldCharType="begin"/>
          </w:r>
          <w:r>
            <w:instrText xml:space="preserve"> HYPERLINK \l "_Toc52180097" </w:instrText>
          </w:r>
          <w:r>
            <w:fldChar w:fldCharType="separate"/>
          </w:r>
          <w:r>
            <w:rPr>
              <w:rStyle w:val="15"/>
              <w:rFonts w:hint="eastAsia" w:ascii="黑体" w:hAnsi="黑体" w:eastAsia="黑体"/>
            </w:rPr>
            <w:t>第</w:t>
          </w:r>
          <w:r>
            <w:rPr>
              <w:rStyle w:val="15"/>
              <w:rFonts w:hint="eastAsia" w:ascii="黑体" w:hAnsi="黑体" w:eastAsia="黑体"/>
              <w:bCs/>
              <w:kern w:val="44"/>
            </w:rPr>
            <w:t>四部分</w:t>
          </w:r>
          <w:r>
            <w:rPr>
              <w:rStyle w:val="15"/>
              <w:rFonts w:ascii="黑体" w:hAnsi="黑体" w:eastAsia="黑体"/>
              <w:bCs/>
              <w:kern w:val="44"/>
            </w:rPr>
            <w:t xml:space="preserve"> </w:t>
          </w:r>
          <w:r>
            <w:rPr>
              <w:rStyle w:val="15"/>
              <w:rFonts w:hint="eastAsia" w:ascii="黑体" w:hAnsi="黑体" w:eastAsia="黑体"/>
              <w:bCs/>
              <w:kern w:val="44"/>
            </w:rPr>
            <w:t>附件</w:t>
          </w:r>
          <w:r>
            <w:tab/>
          </w:r>
          <w:r>
            <w:rPr>
              <w:rFonts w:hint="eastAsia"/>
              <w:lang w:val="en-US" w:eastAsia="zh-CN"/>
            </w:rPr>
            <w:t>1</w:t>
          </w:r>
          <w:r>
            <w:fldChar w:fldCharType="end"/>
          </w:r>
          <w:r>
            <w:rPr>
              <w:rFonts w:hint="eastAsia"/>
              <w:lang w:val="en-US" w:eastAsia="zh-CN"/>
            </w:rPr>
            <w:t>6</w:t>
          </w:r>
          <w:bookmarkStart w:id="105" w:name="_GoBack"/>
          <w:bookmarkEnd w:id="105"/>
        </w:p>
        <w:p>
          <w:pPr>
            <w:pStyle w:val="10"/>
            <w:rPr>
              <w:rFonts w:hint="eastAsia" w:eastAsia="仿宋" w:asciiTheme="minorHAnsi" w:hAnsiTheme="minorHAnsi" w:cstheme="minorBidi"/>
              <w:sz w:val="21"/>
              <w:szCs w:val="22"/>
              <w:lang w:val="en-US" w:eastAsia="zh-CN"/>
            </w:rPr>
          </w:pPr>
          <w:r>
            <w:fldChar w:fldCharType="begin"/>
          </w:r>
          <w:r>
            <w:instrText xml:space="preserve"> HYPERLINK \l "_Toc52180099" </w:instrText>
          </w:r>
          <w:r>
            <w:fldChar w:fldCharType="separate"/>
          </w:r>
          <w:r>
            <w:rPr>
              <w:rStyle w:val="15"/>
              <w:rFonts w:hint="eastAsia" w:ascii="黑体" w:hAnsi="黑体" w:eastAsia="黑体"/>
            </w:rPr>
            <w:t>第</w:t>
          </w:r>
          <w:r>
            <w:rPr>
              <w:rStyle w:val="15"/>
              <w:rFonts w:hint="eastAsia" w:ascii="黑体" w:hAnsi="黑体" w:eastAsia="黑体"/>
              <w:bCs/>
              <w:kern w:val="44"/>
            </w:rPr>
            <w:t>五部分</w:t>
          </w:r>
          <w:r>
            <w:rPr>
              <w:rStyle w:val="15"/>
              <w:rFonts w:ascii="黑体" w:hAnsi="黑体" w:eastAsia="黑体"/>
              <w:bCs/>
              <w:kern w:val="44"/>
            </w:rPr>
            <w:t xml:space="preserve"> </w:t>
          </w:r>
          <w:r>
            <w:rPr>
              <w:rStyle w:val="15"/>
              <w:rFonts w:hint="eastAsia" w:ascii="黑体" w:hAnsi="黑体" w:eastAsia="黑体"/>
              <w:bCs/>
              <w:kern w:val="44"/>
            </w:rPr>
            <w:t>附表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"_Toc52180100" </w:instrText>
          </w:r>
          <w:r>
            <w:fldChar w:fldCharType="separate"/>
          </w:r>
          <w:r>
            <w:rPr>
              <w:rStyle w:val="15"/>
              <w:rFonts w:hint="eastAsia" w:ascii="仿宋" w:hAnsi="仿宋" w:eastAsia="仿宋"/>
            </w:rPr>
            <w:t>一、收入支出决算总表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"_Toc52180101" </w:instrText>
          </w:r>
          <w:r>
            <w:fldChar w:fldCharType="separate"/>
          </w:r>
          <w:r>
            <w:rPr>
              <w:rStyle w:val="15"/>
              <w:rFonts w:hint="eastAsia" w:ascii="仿宋" w:hAnsi="仿宋" w:eastAsia="仿宋"/>
            </w:rPr>
            <w:t>二、收入决算表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"_Toc52180102" </w:instrText>
          </w:r>
          <w:r>
            <w:fldChar w:fldCharType="separate"/>
          </w:r>
          <w:r>
            <w:rPr>
              <w:rStyle w:val="15"/>
              <w:rFonts w:hint="eastAsia" w:ascii="仿宋" w:hAnsi="仿宋" w:eastAsia="仿宋"/>
            </w:rPr>
            <w:t>三、支出决算表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"_Toc52180103" </w:instrText>
          </w:r>
          <w:r>
            <w:fldChar w:fldCharType="separate"/>
          </w:r>
          <w:r>
            <w:rPr>
              <w:rStyle w:val="15"/>
              <w:rFonts w:hint="eastAsia" w:ascii="仿宋" w:hAnsi="仿宋" w:eastAsia="仿宋"/>
            </w:rPr>
            <w:t>四、财政拨款收入支出决算总表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"_Toc52180104" </w:instrText>
          </w:r>
          <w:r>
            <w:fldChar w:fldCharType="separate"/>
          </w:r>
          <w:r>
            <w:rPr>
              <w:rStyle w:val="15"/>
              <w:rFonts w:hint="eastAsia" w:ascii="仿宋" w:hAnsi="仿宋" w:eastAsia="仿宋"/>
            </w:rPr>
            <w:t>五、财政拨款支出决算明细表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"_Toc52180105" </w:instrText>
          </w:r>
          <w:r>
            <w:fldChar w:fldCharType="separate"/>
          </w:r>
          <w:r>
            <w:rPr>
              <w:rStyle w:val="15"/>
              <w:rFonts w:hint="eastAsia" w:ascii="仿宋" w:hAnsi="仿宋" w:eastAsia="仿宋"/>
            </w:rPr>
            <w:t>六、一般公共预算财政拨款支出决算表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"_Toc52180106" </w:instrText>
          </w:r>
          <w:r>
            <w:fldChar w:fldCharType="separate"/>
          </w:r>
          <w:r>
            <w:rPr>
              <w:rStyle w:val="15"/>
              <w:rFonts w:hint="eastAsia" w:ascii="仿宋" w:hAnsi="仿宋" w:eastAsia="仿宋"/>
            </w:rPr>
            <w:t>七、一般公共预算财政拨款支出决算明细表</w:t>
          </w:r>
          <w:r>
            <w:tab/>
          </w:r>
          <w:r>
            <w:rPr>
              <w:rFonts w:hint="eastAsia"/>
              <w:lang w:val="en-US" w:eastAsia="zh-CN"/>
            </w:rPr>
            <w:t>2</w:t>
          </w:r>
          <w:r>
            <w:fldChar w:fldCharType="end"/>
          </w:r>
          <w:r>
            <w:rPr>
              <w:rFonts w:hint="eastAsia"/>
              <w:lang w:val="en-US" w:eastAsia="zh-CN"/>
            </w:rPr>
            <w:t>7</w:t>
          </w:r>
        </w:p>
        <w:p>
          <w:pPr>
            <w:pStyle w:val="11"/>
            <w:rPr>
              <w:rFonts w:asciiTheme="minorHAnsi" w:hAnsiTheme="minorHAnsi" w:eastAsiaTheme="minorEastAsia" w:cstheme="minorBidi"/>
              <w:szCs w:val="22"/>
            </w:rPr>
          </w:pPr>
          <w:r>
            <w:fldChar w:fldCharType="begin"/>
          </w:r>
          <w:r>
            <w:instrText xml:space="preserve"> HYPERLINK \l "_Toc52180107" </w:instrText>
          </w:r>
          <w:r>
            <w:fldChar w:fldCharType="separate"/>
          </w:r>
          <w:r>
            <w:rPr>
              <w:rStyle w:val="15"/>
              <w:rFonts w:hint="eastAsia" w:ascii="仿宋" w:hAnsi="仿宋" w:eastAsia="仿宋"/>
            </w:rPr>
            <w:t>八、一般公共预算财政拨款基本支出决算表</w:t>
          </w:r>
          <w:r>
            <w:tab/>
          </w:r>
          <w:r>
            <w:fldChar w:fldCharType="begin"/>
          </w:r>
          <w:r>
            <w:instrText xml:space="preserve"> PAGEREF _Toc52180107 \h </w:instrText>
          </w:r>
          <w:r>
            <w:fldChar w:fldCharType="separate"/>
          </w:r>
          <w:r>
            <w:rPr>
              <w:rFonts w:hint="eastAsia"/>
              <w:lang w:val="en-US" w:eastAsia="zh-CN"/>
            </w:rPr>
            <w:t>27</w:t>
          </w:r>
          <w:r>
            <w:fldChar w:fldCharType="end"/>
          </w:r>
          <w:r>
            <w:fldChar w:fldCharType="end"/>
          </w:r>
        </w:p>
        <w:p>
          <w:pPr>
            <w:pStyle w:val="11"/>
            <w:rPr>
              <w:rFonts w:hint="eastAsia" w:eastAsia="宋体" w:asciiTheme="minorHAnsi" w:hAnsiTheme="minorHAnsi" w:cstheme="minorBidi"/>
              <w:szCs w:val="22"/>
              <w:lang w:val="en-US" w:eastAsia="zh-CN"/>
            </w:rPr>
          </w:pPr>
          <w:r>
            <w:fldChar w:fldCharType="begin"/>
          </w:r>
          <w:r>
            <w:instrText xml:space="preserve"> HYPERLINK \l "_Toc52180108" </w:instrText>
          </w:r>
          <w:r>
            <w:fldChar w:fldCharType="separate"/>
          </w:r>
          <w:r>
            <w:rPr>
              <w:rStyle w:val="15"/>
              <w:rFonts w:hint="eastAsia" w:ascii="仿宋" w:hAnsi="仿宋" w:eastAsia="仿宋"/>
            </w:rPr>
            <w:t>九、一般公共预算财政拨款项目支出决算表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"_Toc52180109" </w:instrText>
          </w:r>
          <w:r>
            <w:fldChar w:fldCharType="separate"/>
          </w:r>
          <w:r>
            <w:rPr>
              <w:rStyle w:val="15"/>
              <w:rFonts w:hint="eastAsia" w:ascii="仿宋" w:hAnsi="仿宋" w:eastAsia="仿宋"/>
            </w:rPr>
            <w:t>十、一般公共预算财政拨款“三公”经费支出决算表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"_Toc52180110" </w:instrText>
          </w:r>
          <w:r>
            <w:fldChar w:fldCharType="separate"/>
          </w:r>
          <w:r>
            <w:rPr>
              <w:rStyle w:val="15"/>
              <w:rFonts w:hint="eastAsia" w:ascii="仿宋" w:hAnsi="仿宋" w:eastAsia="仿宋"/>
            </w:rPr>
            <w:t>十一、政府性基金预算财政拨款收入支出决算表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"_Toc52180111" </w:instrText>
          </w:r>
          <w:r>
            <w:fldChar w:fldCharType="separate"/>
          </w:r>
          <w:r>
            <w:rPr>
              <w:rStyle w:val="15"/>
              <w:rFonts w:hint="eastAsia" w:ascii="仿宋" w:hAnsi="仿宋" w:eastAsia="仿宋"/>
            </w:rPr>
            <w:t>十二、政府性基金预算财政拨款“三公”经费支出决算表</w:t>
          </w:r>
          <w:r>
            <w:tab/>
          </w:r>
          <w:r>
            <w:rPr>
              <w:rFonts w:hint="eastAsia"/>
              <w:lang w:val="en-US" w:eastAsia="zh-CN"/>
            </w:rPr>
            <w:t>2</w:t>
          </w:r>
          <w:r>
            <w:fldChar w:fldCharType="end"/>
          </w:r>
          <w:r>
            <w:rPr>
              <w:rFonts w:hint="eastAsia"/>
              <w:lang w:val="en-US" w:eastAsia="zh-CN"/>
            </w:rPr>
            <w:t>7</w:t>
          </w:r>
        </w:p>
        <w:p>
          <w:pPr>
            <w:pStyle w:val="11"/>
            <w:rPr>
              <w:rFonts w:hint="eastAsia" w:eastAsia="宋体" w:asciiTheme="minorHAnsi" w:hAnsiTheme="minorHAnsi" w:cstheme="minorBidi"/>
              <w:szCs w:val="22"/>
              <w:lang w:val="en-US" w:eastAsia="zh-CN"/>
            </w:rPr>
          </w:pPr>
          <w:r>
            <w:fldChar w:fldCharType="begin"/>
          </w:r>
          <w:r>
            <w:instrText xml:space="preserve"> HYPERLINK \l "_Toc52180112" </w:instrText>
          </w:r>
          <w:r>
            <w:fldChar w:fldCharType="separate"/>
          </w:r>
          <w:r>
            <w:rPr>
              <w:rStyle w:val="15"/>
              <w:rFonts w:hint="eastAsia" w:ascii="仿宋" w:hAnsi="仿宋" w:eastAsia="仿宋"/>
            </w:rPr>
            <w:t>十三、国有资本经营预算支出决算表</w:t>
          </w:r>
          <w:r>
            <w:tab/>
          </w:r>
          <w:r>
            <w:rPr>
              <w:rFonts w:hint="eastAsia"/>
              <w:lang w:val="en-US" w:eastAsia="zh-CN"/>
            </w:rPr>
            <w:t>2</w:t>
          </w:r>
          <w:r>
            <w:fldChar w:fldCharType="end"/>
          </w:r>
          <w:r>
            <w:rPr>
              <w:rFonts w:hint="eastAsia"/>
              <w:lang w:val="en-US" w:eastAsia="zh-CN"/>
            </w:rPr>
            <w:t>7</w:t>
          </w:r>
        </w:p>
        <w:p>
          <w:r>
            <w:fldChar w:fldCharType="end"/>
          </w:r>
        </w:p>
      </w:sdtContent>
    </w:sdt>
    <w:p>
      <w:pPr>
        <w:widowControl/>
        <w:spacing w:line="440" w:lineRule="exact"/>
        <w:jc w:val="left"/>
        <w:rPr>
          <w:rFonts w:ascii="仿宋" w:hAnsi="仿宋" w:eastAsia="仿宋"/>
          <w:bCs/>
          <w:kern w:val="44"/>
          <w:sz w:val="24"/>
        </w:rPr>
      </w:pPr>
      <w:bookmarkStart w:id="14" w:name="_Toc15377196"/>
      <w:bookmarkStart w:id="15" w:name="_Toc15396599"/>
      <w:r>
        <w:rPr>
          <w:rFonts w:ascii="仿宋" w:hAnsi="仿宋" w:eastAsia="仿宋"/>
          <w:b/>
          <w:sz w:val="24"/>
        </w:rPr>
        <w:br w:type="page"/>
      </w:r>
    </w:p>
    <w:p>
      <w:pPr>
        <w:pStyle w:val="2"/>
        <w:jc w:val="center"/>
        <w:rPr>
          <w:rStyle w:val="24"/>
          <w:rFonts w:ascii="黑体" w:hAnsi="黑体" w:eastAsia="黑体"/>
          <w:b/>
          <w:bCs w:val="0"/>
        </w:rPr>
      </w:pPr>
      <w:bookmarkStart w:id="16" w:name="_Toc52180065"/>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bookmarkEnd w:id="16"/>
    </w:p>
    <w:p>
      <w:pPr>
        <w:pStyle w:val="3"/>
        <w:pageBreakBefore w:val="0"/>
        <w:kinsoku/>
        <w:wordWrap/>
        <w:overflowPunct/>
        <w:topLinePunct w:val="0"/>
        <w:bidi w:val="0"/>
        <w:spacing w:before="0" w:after="0" w:line="540" w:lineRule="exact"/>
        <w:ind w:firstLine="640" w:firstLineChars="200"/>
        <w:textAlignment w:val="auto"/>
        <w:rPr>
          <w:rStyle w:val="25"/>
          <w:rFonts w:ascii="仿宋" w:hAnsi="仿宋" w:eastAsia="仿宋"/>
          <w:b w:val="0"/>
          <w:bCs w:val="0"/>
        </w:rPr>
      </w:pPr>
      <w:bookmarkStart w:id="17" w:name="_Toc15377197"/>
      <w:bookmarkStart w:id="18" w:name="_Toc52180066"/>
      <w:bookmarkStart w:id="19"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7"/>
      <w:bookmarkEnd w:id="18"/>
      <w:bookmarkEnd w:id="19"/>
    </w:p>
    <w:p>
      <w:pPr>
        <w:pStyle w:val="5"/>
        <w:pageBreakBefore w:val="0"/>
        <w:kinsoku/>
        <w:wordWrap/>
        <w:overflowPunct/>
        <w:topLinePunct w:val="0"/>
        <w:bidi w:val="0"/>
        <w:adjustRightInd w:val="0"/>
        <w:snapToGrid w:val="0"/>
        <w:spacing w:beforeLines="0" w:line="540" w:lineRule="exact"/>
        <w:ind w:firstLine="672" w:firstLineChars="210"/>
        <w:textAlignment w:val="auto"/>
        <w:outlineLvl w:val="2"/>
        <w:rPr>
          <w:rFonts w:ascii="仿宋" w:hAnsi="仿宋" w:eastAsia="仿宋"/>
          <w:bCs/>
          <w:color w:val="000000"/>
          <w:sz w:val="32"/>
          <w:szCs w:val="32"/>
        </w:rPr>
      </w:pPr>
      <w:bookmarkStart w:id="20" w:name="_Toc52180067"/>
      <w:bookmarkStart w:id="21" w:name="_Toc15377198"/>
      <w:bookmarkStart w:id="22" w:name="_Toc15378445"/>
      <w:r>
        <w:rPr>
          <w:rFonts w:hint="eastAsia" w:ascii="仿宋" w:hAnsi="仿宋" w:eastAsia="仿宋"/>
          <w:bCs/>
          <w:color w:val="000000"/>
          <w:sz w:val="32"/>
          <w:szCs w:val="32"/>
        </w:rPr>
        <w:t>（一）主要职能。</w:t>
      </w:r>
      <w:bookmarkEnd w:id="20"/>
      <w:bookmarkEnd w:id="21"/>
      <w:bookmarkEnd w:id="22"/>
      <w:r>
        <w:rPr>
          <w:rFonts w:hint="eastAsia" w:ascii="仿宋" w:hAnsi="仿宋" w:eastAsia="仿宋" w:cs="仿宋"/>
          <w:sz w:val="32"/>
          <w:szCs w:val="32"/>
        </w:rPr>
        <w:t>基本医疗和公共卫生服务</w:t>
      </w:r>
    </w:p>
    <w:p>
      <w:pPr>
        <w:pageBreakBefore w:val="0"/>
        <w:kinsoku/>
        <w:wordWrap/>
        <w:overflowPunct/>
        <w:topLinePunct w:val="0"/>
        <w:bidi w:val="0"/>
        <w:spacing w:line="540" w:lineRule="exact"/>
        <w:ind w:firstLine="640" w:firstLineChars="200"/>
        <w:textAlignment w:val="auto"/>
        <w:rPr>
          <w:rFonts w:ascii="仿宋" w:hAnsi="仿宋" w:eastAsia="仿宋"/>
          <w:bCs/>
          <w:color w:val="000000"/>
          <w:sz w:val="32"/>
          <w:szCs w:val="32"/>
        </w:rPr>
      </w:pPr>
      <w:bookmarkStart w:id="23" w:name="_Toc15378446"/>
      <w:bookmarkStart w:id="24" w:name="_Toc15377199"/>
      <w:bookmarkStart w:id="25" w:name="_Toc52180068"/>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3"/>
      <w:bookmarkEnd w:id="24"/>
      <w:bookmarkEnd w:id="25"/>
    </w:p>
    <w:p>
      <w:pPr>
        <w:pageBreakBefore w:val="0"/>
        <w:kinsoku/>
        <w:wordWrap/>
        <w:overflowPunct/>
        <w:topLinePunct w:val="0"/>
        <w:bidi w:val="0"/>
        <w:spacing w:line="540" w:lineRule="exact"/>
        <w:ind w:firstLine="640" w:firstLineChars="200"/>
        <w:textAlignment w:val="auto"/>
        <w:rPr>
          <w:rFonts w:ascii="仿宋_GB2312" w:hAnsi="仿宋_GB2312" w:eastAsia="仿宋_GB2312"/>
          <w:color w:val="000000"/>
          <w:sz w:val="32"/>
          <w:szCs w:val="32"/>
        </w:rPr>
      </w:pPr>
      <w:r>
        <w:rPr>
          <w:rStyle w:val="30"/>
          <w:rFonts w:ascii="仿宋_GB2312" w:hAnsi="仿宋_GB2312" w:eastAsia="仿宋_GB2312"/>
          <w:color w:val="000000"/>
          <w:sz w:val="32"/>
          <w:szCs w:val="32"/>
        </w:rPr>
        <w:t>根据国家确定的基本公共卫生服务项目，通过基层医疗卫生机构，免费向全乡居民提供基本公共卫生服务。</w:t>
      </w:r>
    </w:p>
    <w:p>
      <w:pPr>
        <w:pageBreakBefore w:val="0"/>
        <w:kinsoku/>
        <w:wordWrap/>
        <w:overflowPunct/>
        <w:topLinePunct w:val="0"/>
        <w:autoSpaceDE w:val="0"/>
        <w:autoSpaceDN w:val="0"/>
        <w:bidi w:val="0"/>
        <w:adjustRightInd w:val="0"/>
        <w:spacing w:line="54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本年总诊疗人次</w:t>
      </w:r>
      <w:r>
        <w:rPr>
          <w:rFonts w:hint="eastAsia" w:ascii="仿宋" w:hAnsi="仿宋" w:eastAsia="仿宋" w:cs="仿宋"/>
          <w:sz w:val="32"/>
          <w:szCs w:val="32"/>
        </w:rPr>
        <w:t xml:space="preserve"> 14585 人，其中</w:t>
      </w:r>
      <w:r>
        <w:rPr>
          <w:rFonts w:hint="eastAsia" w:ascii="仿宋" w:hAnsi="仿宋" w:eastAsia="仿宋" w:cs="仿宋"/>
          <w:sz w:val="32"/>
          <w:szCs w:val="32"/>
          <w:lang w:val="zh-CN"/>
        </w:rPr>
        <w:t>门诊人次</w:t>
      </w:r>
      <w:r>
        <w:rPr>
          <w:rFonts w:hint="eastAsia" w:ascii="仿宋" w:hAnsi="仿宋" w:eastAsia="仿宋" w:cs="仿宋"/>
          <w:sz w:val="32"/>
          <w:szCs w:val="32"/>
        </w:rPr>
        <w:t xml:space="preserve"> 10503 </w:t>
      </w:r>
      <w:r>
        <w:rPr>
          <w:rFonts w:hint="eastAsia" w:ascii="仿宋" w:hAnsi="仿宋" w:eastAsia="仿宋" w:cs="仿宋"/>
          <w:sz w:val="32"/>
          <w:szCs w:val="32"/>
          <w:lang w:val="zh-CN"/>
        </w:rPr>
        <w:t>人，急诊人次</w:t>
      </w:r>
      <w:r>
        <w:rPr>
          <w:rFonts w:hint="eastAsia" w:ascii="仿宋" w:hAnsi="仿宋" w:eastAsia="仿宋" w:cs="仿宋"/>
          <w:sz w:val="32"/>
          <w:szCs w:val="32"/>
        </w:rPr>
        <w:t xml:space="preserve"> 397 人，</w:t>
      </w:r>
      <w:r>
        <w:rPr>
          <w:rFonts w:hint="eastAsia" w:ascii="仿宋" w:hAnsi="仿宋" w:eastAsia="仿宋" w:cs="仿宋"/>
          <w:sz w:val="32"/>
          <w:szCs w:val="32"/>
          <w:lang w:val="zh-CN"/>
        </w:rPr>
        <w:t>住院病人</w:t>
      </w:r>
      <w:r>
        <w:rPr>
          <w:rFonts w:hint="eastAsia" w:ascii="仿宋" w:hAnsi="仿宋" w:eastAsia="仿宋" w:cs="仿宋"/>
          <w:sz w:val="32"/>
          <w:szCs w:val="32"/>
        </w:rPr>
        <w:t xml:space="preserve"> 86 人</w:t>
      </w:r>
      <w:r>
        <w:rPr>
          <w:rFonts w:hint="eastAsia" w:ascii="仿宋" w:hAnsi="仿宋" w:eastAsia="仿宋" w:cs="仿宋"/>
          <w:sz w:val="32"/>
          <w:szCs w:val="32"/>
          <w:lang w:val="zh-CN"/>
        </w:rPr>
        <w:t>。</w:t>
      </w:r>
    </w:p>
    <w:p>
      <w:pPr>
        <w:pageBreakBefore w:val="0"/>
        <w:kinsoku/>
        <w:wordWrap/>
        <w:overflowPunct/>
        <w:topLinePunct w:val="0"/>
        <w:autoSpaceDE w:val="0"/>
        <w:autoSpaceDN w:val="0"/>
        <w:bidi w:val="0"/>
        <w:adjustRightInd w:val="0"/>
        <w:spacing w:line="540" w:lineRule="exact"/>
        <w:ind w:firstLine="570"/>
        <w:textAlignment w:val="auto"/>
        <w:rPr>
          <w:rFonts w:ascii="仿宋" w:hAnsi="仿宋" w:eastAsia="仿宋" w:cs="仿宋"/>
          <w:sz w:val="32"/>
          <w:szCs w:val="32"/>
        </w:rPr>
      </w:pPr>
      <w:r>
        <w:rPr>
          <w:rFonts w:hint="eastAsia" w:ascii="仿宋" w:hAnsi="仿宋" w:eastAsia="仿宋" w:cs="仿宋"/>
          <w:sz w:val="32"/>
          <w:szCs w:val="32"/>
        </w:rPr>
        <w:t>（2）保健：0至6岁儿童健康管理 480 人；0-3岁儿童中医药健康管理  293人；孕产妇早孕建卡及健康管理  61人；接受保健健康教育人次  61人。</w:t>
      </w:r>
    </w:p>
    <w:p>
      <w:pPr>
        <w:pageBreakBefore w:val="0"/>
        <w:kinsoku/>
        <w:wordWrap/>
        <w:overflowPunct/>
        <w:topLinePunct w:val="0"/>
        <w:autoSpaceDE w:val="0"/>
        <w:autoSpaceDN w:val="0"/>
        <w:bidi w:val="0"/>
        <w:adjustRightInd w:val="0"/>
        <w:spacing w:line="540" w:lineRule="exact"/>
        <w:ind w:firstLine="570"/>
        <w:textAlignment w:val="auto"/>
        <w:rPr>
          <w:rFonts w:ascii="仿宋" w:hAnsi="仿宋" w:eastAsia="仿宋" w:cs="仿宋"/>
          <w:sz w:val="32"/>
          <w:szCs w:val="32"/>
        </w:rPr>
      </w:pPr>
      <w:r>
        <w:rPr>
          <w:rFonts w:hint="eastAsia" w:ascii="仿宋" w:hAnsi="仿宋" w:eastAsia="仿宋" w:cs="仿宋"/>
          <w:sz w:val="32"/>
          <w:szCs w:val="32"/>
        </w:rPr>
        <w:t>（3）防疫：预防接种  805人次，接受传染病、地方病健康教育 1200 人次，结核病健康管理  6人，年内无传染病和突发公共卫生事件报告。</w:t>
      </w:r>
    </w:p>
    <w:p>
      <w:pPr>
        <w:pageBreakBefore w:val="0"/>
        <w:kinsoku/>
        <w:wordWrap/>
        <w:overflowPunct/>
        <w:topLinePunct w:val="0"/>
        <w:autoSpaceDE w:val="0"/>
        <w:autoSpaceDN w:val="0"/>
        <w:bidi w:val="0"/>
        <w:adjustRightInd w:val="0"/>
        <w:spacing w:line="540" w:lineRule="exact"/>
        <w:ind w:firstLine="570"/>
        <w:textAlignment w:val="auto"/>
        <w:rPr>
          <w:rFonts w:ascii="仿宋" w:hAnsi="仿宋" w:eastAsia="仿宋" w:cs="仿宋"/>
          <w:sz w:val="32"/>
          <w:szCs w:val="32"/>
        </w:rPr>
      </w:pPr>
      <w:r>
        <w:rPr>
          <w:rFonts w:hint="eastAsia" w:ascii="仿宋" w:hAnsi="仿宋" w:eastAsia="仿宋" w:cs="仿宋"/>
          <w:sz w:val="32"/>
          <w:szCs w:val="32"/>
        </w:rPr>
        <w:t>（4）健康档案：年末常住人  8934余人，2019年清理居民健康档案基本建档 2528 人，65岁及以上老年人健康管理及中医药健康管理  914，高血压健康管理  218人，2型糖尿病健康管理  66人，精神病健康管理 44 人，全年体检及随访人次 1107  人。</w:t>
      </w:r>
    </w:p>
    <w:p>
      <w:pPr>
        <w:pageBreakBefore w:val="0"/>
        <w:kinsoku/>
        <w:wordWrap/>
        <w:overflowPunct/>
        <w:topLinePunct w:val="0"/>
        <w:autoSpaceDE w:val="0"/>
        <w:autoSpaceDN w:val="0"/>
        <w:bidi w:val="0"/>
        <w:adjustRightInd w:val="0"/>
        <w:spacing w:line="540" w:lineRule="exact"/>
        <w:ind w:left="160" w:leftChars="76" w:firstLine="409" w:firstLineChars="128"/>
        <w:textAlignment w:val="auto"/>
        <w:rPr>
          <w:rFonts w:ascii="仿宋" w:hAnsi="仿宋" w:eastAsia="仿宋" w:cs="仿宋"/>
          <w:sz w:val="32"/>
          <w:szCs w:val="32"/>
        </w:rPr>
      </w:pPr>
      <w:r>
        <w:rPr>
          <w:rFonts w:hint="eastAsia" w:ascii="仿宋" w:hAnsi="仿宋" w:eastAsia="仿宋" w:cs="仿宋"/>
          <w:sz w:val="32"/>
          <w:szCs w:val="32"/>
        </w:rPr>
        <w:t>（5）2019年度家庭签约服务 6730 人，其中重点人群签约人3009，精准扶贫签约率100％，一般人群签约  3721人。</w:t>
      </w:r>
    </w:p>
    <w:p>
      <w:pPr>
        <w:pStyle w:val="5"/>
        <w:pageBreakBefore w:val="0"/>
        <w:kinsoku/>
        <w:wordWrap/>
        <w:overflowPunct/>
        <w:topLinePunct w:val="0"/>
        <w:bidi w:val="0"/>
        <w:adjustRightInd w:val="0"/>
        <w:snapToGrid w:val="0"/>
        <w:spacing w:beforeLines="0" w:line="540" w:lineRule="exact"/>
        <w:ind w:firstLine="672" w:firstLineChars="210"/>
        <w:textAlignment w:val="auto"/>
        <w:outlineLvl w:val="2"/>
        <w:rPr>
          <w:rFonts w:ascii="仿宋" w:hAnsi="仿宋" w:eastAsia="仿宋"/>
          <w:bCs/>
          <w:color w:val="000000"/>
          <w:sz w:val="32"/>
          <w:szCs w:val="32"/>
        </w:rPr>
      </w:pPr>
    </w:p>
    <w:p>
      <w:pPr>
        <w:pStyle w:val="3"/>
        <w:pageBreakBefore w:val="0"/>
        <w:kinsoku/>
        <w:wordWrap/>
        <w:overflowPunct/>
        <w:topLinePunct w:val="0"/>
        <w:bidi w:val="0"/>
        <w:spacing w:before="0" w:after="0" w:line="540" w:lineRule="exact"/>
        <w:textAlignment w:val="auto"/>
        <w:rPr>
          <w:rStyle w:val="25"/>
          <w:b w:val="0"/>
          <w:bCs w:val="0"/>
        </w:rPr>
      </w:pPr>
      <w:bookmarkStart w:id="26" w:name="_Toc15377200"/>
      <w:bookmarkStart w:id="27" w:name="_Toc52180069"/>
      <w:bookmarkStart w:id="28"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6"/>
      <w:bookmarkEnd w:id="27"/>
      <w:bookmarkEnd w:id="28"/>
    </w:p>
    <w:p>
      <w:pPr>
        <w:pageBreakBefore w:val="0"/>
        <w:kinsoku/>
        <w:wordWrap/>
        <w:overflowPunct/>
        <w:topLinePunct w:val="0"/>
        <w:bidi w:val="0"/>
        <w:spacing w:line="540" w:lineRule="exact"/>
        <w:ind w:firstLine="800" w:firstLineChars="250"/>
        <w:textAlignment w:val="auto"/>
        <w:rPr>
          <w:rFonts w:ascii="仿宋" w:hAnsi="仿宋" w:eastAsia="仿宋"/>
          <w:sz w:val="32"/>
          <w:szCs w:val="32"/>
        </w:rPr>
      </w:pPr>
      <w:r>
        <w:rPr>
          <w:rFonts w:hint="eastAsia" w:ascii="仿宋" w:hAnsi="仿宋" w:eastAsia="仿宋"/>
          <w:sz w:val="32"/>
          <w:szCs w:val="32"/>
        </w:rPr>
        <w:t>我院是由</w:t>
      </w:r>
      <w:r>
        <w:rPr>
          <w:rStyle w:val="30"/>
          <w:rFonts w:ascii="仿宋_GB2312" w:hAnsi="仿宋" w:eastAsia="仿宋_GB2312"/>
          <w:sz w:val="32"/>
          <w:szCs w:val="32"/>
        </w:rPr>
        <w:t>盐边县卫生健康局下属的二级预算单位</w:t>
      </w:r>
      <w:r>
        <w:rPr>
          <w:rStyle w:val="30"/>
          <w:rFonts w:hint="eastAsia" w:ascii="仿宋_GB2312" w:hAnsi="仿宋" w:eastAsia="仿宋_GB2312"/>
          <w:sz w:val="32"/>
          <w:szCs w:val="32"/>
        </w:rPr>
        <w:t xml:space="preserve"> ，</w:t>
      </w:r>
      <w:r>
        <w:rPr>
          <w:rFonts w:hint="eastAsia" w:ascii="仿宋" w:hAnsi="仿宋" w:eastAsia="仿宋"/>
          <w:sz w:val="32"/>
          <w:szCs w:val="32"/>
        </w:rPr>
        <w:t>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ageBreakBefore w:val="0"/>
        <w:widowControl/>
        <w:kinsoku/>
        <w:wordWrap/>
        <w:overflowPunct/>
        <w:topLinePunct w:val="0"/>
        <w:bidi w:val="0"/>
        <w:spacing w:line="540" w:lineRule="exact"/>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9" w:name="_Toc52180073"/>
      <w:bookmarkStart w:id="30" w:name="_Toc15396602"/>
      <w:bookmarkStart w:id="3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9"/>
      <w:bookmarkEnd w:id="30"/>
      <w:bookmarkEnd w:id="31"/>
    </w:p>
    <w:p/>
    <w:p>
      <w:pPr>
        <w:pStyle w:val="23"/>
        <w:numPr>
          <w:numId w:val="0"/>
        </w:numPr>
        <w:spacing w:line="600" w:lineRule="exact"/>
        <w:ind w:firstLine="640" w:firstLineChars="200"/>
        <w:outlineLvl w:val="1"/>
        <w:rPr>
          <w:rStyle w:val="25"/>
          <w:rFonts w:ascii="黑体" w:hAnsi="黑体" w:eastAsia="黑体"/>
          <w:b w:val="0"/>
        </w:rPr>
      </w:pPr>
      <w:bookmarkStart w:id="32" w:name="_Toc15396603"/>
      <w:bookmarkStart w:id="33" w:name="_Toc52180074"/>
      <w:bookmarkStart w:id="34"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2"/>
      <w:bookmarkEnd w:id="33"/>
      <w:bookmarkEnd w:id="34"/>
    </w:p>
    <w:p>
      <w:pPr>
        <w:spacing w:line="600" w:lineRule="exact"/>
        <w:ind w:firstLine="640" w:firstLineChars="200"/>
        <w:rPr>
          <w:rStyle w:val="30"/>
          <w:rFonts w:ascii="仿宋_GB2312" w:hAnsi="仿宋" w:eastAsia="仿宋_GB2312"/>
          <w:sz w:val="32"/>
          <w:szCs w:val="32"/>
        </w:rPr>
      </w:pPr>
      <w:r>
        <w:rPr>
          <w:rStyle w:val="30"/>
          <w:rFonts w:ascii="仿宋" w:hAnsi="仿宋" w:eastAsia="仿宋"/>
          <w:color w:val="000000"/>
          <w:sz w:val="32"/>
          <w:szCs w:val="32"/>
        </w:rPr>
        <w:t>2019年度我院总收入123.64万元与；主要变动原因是</w:t>
      </w:r>
      <w:r>
        <w:rPr>
          <w:rStyle w:val="30"/>
          <w:rFonts w:ascii="仿宋_GB2312" w:hAnsi="仿宋" w:eastAsia="仿宋_GB2312"/>
          <w:sz w:val="32"/>
          <w:szCs w:val="32"/>
        </w:rPr>
        <w:t>019年根据盐财资社[2019]97号文调整财政补助暂付款。</w:t>
      </w:r>
      <w:r>
        <w:rPr>
          <w:rStyle w:val="30"/>
          <w:rFonts w:ascii="仿宋" w:hAnsi="仿宋" w:eastAsia="仿宋"/>
          <w:color w:val="000000"/>
          <w:sz w:val="32"/>
          <w:szCs w:val="32"/>
        </w:rPr>
        <w:t>2019年度我院总支出334.6万元；主要变动原因是</w:t>
      </w:r>
      <w:r>
        <w:rPr>
          <w:rStyle w:val="30"/>
          <w:rFonts w:ascii="仿宋_GB2312" w:hAnsi="仿宋" w:eastAsia="仿宋_GB2312"/>
          <w:sz w:val="32"/>
          <w:szCs w:val="32"/>
        </w:rPr>
        <w:t>2019年根据盐财资社[2019]97号文调整财政补助暂付款。</w:t>
      </w:r>
    </w:p>
    <w:p>
      <w:pPr>
        <w:pStyle w:val="23"/>
        <w:numPr>
          <w:numId w:val="0"/>
        </w:numPr>
        <w:spacing w:line="600" w:lineRule="exact"/>
        <w:ind w:firstLine="640" w:firstLineChars="200"/>
        <w:outlineLvl w:val="1"/>
        <w:rPr>
          <w:rStyle w:val="25"/>
          <w:rFonts w:ascii="黑体" w:hAnsi="黑体" w:eastAsia="黑体"/>
          <w:b w:val="0"/>
        </w:rPr>
      </w:pPr>
      <w:bookmarkStart w:id="35" w:name="_Toc15377206"/>
      <w:bookmarkStart w:id="36" w:name="_Toc15396604"/>
      <w:bookmarkStart w:id="37" w:name="_Toc52180075"/>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35"/>
      <w:bookmarkEnd w:id="36"/>
      <w:bookmarkEnd w:id="37"/>
    </w:p>
    <w:p>
      <w:pPr>
        <w:spacing w:line="600" w:lineRule="exact"/>
        <w:ind w:firstLine="640" w:firstLineChars="200"/>
        <w:rPr>
          <w:rFonts w:ascii="仿宋_GB2312" w:eastAsia="仿宋_GB2312"/>
          <w:color w:val="FF0000"/>
          <w:sz w:val="32"/>
          <w:szCs w:val="32"/>
        </w:rPr>
      </w:pPr>
      <w:r>
        <w:rPr>
          <w:rStyle w:val="30"/>
          <w:rFonts w:ascii="仿宋" w:hAnsi="仿宋" w:eastAsia="仿宋"/>
          <w:color w:val="000000"/>
          <w:sz w:val="32"/>
          <w:szCs w:val="32"/>
        </w:rPr>
        <w:t>2019年本年收入合计元，其中：一般公共预算财政拨款收入</w:t>
      </w:r>
      <w:r>
        <w:rPr>
          <w:rStyle w:val="30"/>
          <w:rFonts w:ascii="仿宋_GB2312" w:hAnsi="仿宋" w:eastAsia="仿宋_GB2312"/>
          <w:sz w:val="32"/>
          <w:szCs w:val="32"/>
        </w:rPr>
        <w:t>231.64</w:t>
      </w:r>
      <w:r>
        <w:rPr>
          <w:rStyle w:val="30"/>
          <w:rFonts w:ascii="仿宋" w:hAnsi="仿宋" w:eastAsia="仿宋"/>
          <w:color w:val="000000"/>
          <w:sz w:val="32"/>
          <w:szCs w:val="32"/>
        </w:rPr>
        <w:t>万元，占</w:t>
      </w:r>
      <w:r>
        <w:rPr>
          <w:rStyle w:val="30"/>
          <w:rFonts w:ascii="仿宋_GB2312" w:hAnsi="仿宋" w:eastAsia="仿宋_GB2312"/>
          <w:sz w:val="32"/>
          <w:szCs w:val="32"/>
        </w:rPr>
        <w:t>79.3</w:t>
      </w:r>
      <w:r>
        <w:rPr>
          <w:rStyle w:val="30"/>
          <w:rFonts w:ascii="仿宋" w:hAnsi="仿宋" w:eastAsia="仿宋"/>
          <w:color w:val="000000"/>
          <w:sz w:val="32"/>
          <w:szCs w:val="32"/>
        </w:rPr>
        <w:t>%；政府性基金预算财政拨款收入0万元，占0%；上级补助收入0万元，占0%；事业收入54.69万元，占18%；经营收入0万元，占0%；附属单位上缴收入0万元，占0%；其他收入5.77万元，占2.7%。</w:t>
      </w:r>
    </w:p>
    <w:p>
      <w:pPr>
        <w:pStyle w:val="23"/>
        <w:numPr>
          <w:numId w:val="0"/>
        </w:numPr>
        <w:spacing w:line="600" w:lineRule="exact"/>
        <w:ind w:left="426" w:leftChars="0"/>
        <w:outlineLvl w:val="1"/>
        <w:rPr>
          <w:rStyle w:val="25"/>
          <w:rFonts w:ascii="黑体" w:hAnsi="黑体" w:eastAsia="黑体"/>
          <w:b w:val="0"/>
        </w:rPr>
      </w:pPr>
      <w:bookmarkStart w:id="38" w:name="_Toc15396605"/>
      <w:bookmarkStart w:id="39" w:name="_Toc52180077"/>
      <w:bookmarkStart w:id="40"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38"/>
      <w:bookmarkEnd w:id="39"/>
      <w:bookmarkEnd w:id="40"/>
    </w:p>
    <w:p>
      <w:pPr>
        <w:spacing w:line="600" w:lineRule="exact"/>
        <w:ind w:firstLine="640" w:firstLineChars="200"/>
        <w:rPr>
          <w:rStyle w:val="30"/>
          <w:rFonts w:ascii="仿宋" w:hAnsi="仿宋" w:eastAsia="仿宋"/>
          <w:color w:val="000000"/>
          <w:sz w:val="32"/>
          <w:szCs w:val="32"/>
        </w:rPr>
      </w:pPr>
      <w:r>
        <w:rPr>
          <w:rStyle w:val="30"/>
          <w:rFonts w:ascii="仿宋" w:hAnsi="仿宋" w:eastAsia="仿宋"/>
          <w:color w:val="000000"/>
          <w:sz w:val="32"/>
          <w:szCs w:val="32"/>
        </w:rPr>
        <w:t>2019年本年支出合计334.66万元，其中：基本支出万219.45元，占5.8 %；项目支出115.21万元，占94.2%；上缴上级支出0万元，占0%；经营支出0万元，占0%；对附属单位补助支出0万元，占0%。</w:t>
      </w:r>
    </w:p>
    <w:p>
      <w:pPr>
        <w:spacing w:line="600" w:lineRule="exact"/>
        <w:ind w:firstLine="640" w:firstLineChars="200"/>
        <w:outlineLvl w:val="1"/>
        <w:rPr>
          <w:rStyle w:val="25"/>
          <w:rFonts w:ascii="黑体" w:hAnsi="黑体" w:eastAsia="黑体"/>
          <w:b w:val="0"/>
        </w:rPr>
      </w:pPr>
      <w:bookmarkStart w:id="41" w:name="_Toc52180079"/>
      <w:bookmarkStart w:id="42" w:name="_Toc15377208"/>
      <w:bookmarkStart w:id="43"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1"/>
      <w:bookmarkEnd w:id="42"/>
      <w:bookmarkEnd w:id="43"/>
    </w:p>
    <w:p>
      <w:pPr>
        <w:spacing w:line="600" w:lineRule="exact"/>
        <w:ind w:firstLine="640"/>
        <w:rPr>
          <w:rFonts w:ascii="仿宋" w:hAnsi="仿宋" w:eastAsia="仿宋"/>
          <w:b/>
          <w:color w:val="00B050"/>
          <w:sz w:val="32"/>
          <w:szCs w:val="32"/>
        </w:rPr>
      </w:pPr>
      <w:r>
        <w:rPr>
          <w:rStyle w:val="30"/>
          <w:rFonts w:ascii="仿宋" w:hAnsi="仿宋" w:eastAsia="仿宋"/>
          <w:color w:val="000000"/>
          <w:sz w:val="32"/>
          <w:szCs w:val="32"/>
        </w:rPr>
        <w:t>2019年财政拨款收入231.64万元，与2018年相比增加，同比有所增加，主要变动原因是</w:t>
      </w:r>
      <w:r>
        <w:rPr>
          <w:rStyle w:val="30"/>
          <w:rFonts w:ascii="仿宋_GB2312" w:hAnsi="仿宋" w:eastAsia="仿宋_GB2312"/>
          <w:sz w:val="32"/>
          <w:szCs w:val="32"/>
        </w:rPr>
        <w:t>2019年根据盐财资社[2019]97号文调整财政补助暂付款以及人员经费的正常调增。2019年财政拨款支出274.2万元，与2018年相比，同比增加，下降的主要原因是2019年项目支出较2018年增加。</w:t>
      </w:r>
    </w:p>
    <w:p>
      <w:pPr>
        <w:spacing w:line="600" w:lineRule="exact"/>
        <w:ind w:firstLine="640" w:firstLineChars="200"/>
        <w:outlineLvl w:val="1"/>
        <w:rPr>
          <w:rStyle w:val="25"/>
          <w:rFonts w:ascii="黑体" w:hAnsi="黑体" w:eastAsia="黑体"/>
          <w:b w:val="0"/>
        </w:rPr>
      </w:pPr>
      <w:bookmarkStart w:id="44" w:name="_Toc52180080"/>
      <w:bookmarkStart w:id="45" w:name="_Toc15377209"/>
      <w:bookmarkStart w:id="4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4"/>
      <w:bookmarkEnd w:id="45"/>
      <w:bookmarkEnd w:id="46"/>
    </w:p>
    <w:p>
      <w:pPr>
        <w:spacing w:line="600" w:lineRule="exact"/>
        <w:ind w:firstLine="643" w:firstLineChars="200"/>
        <w:outlineLvl w:val="2"/>
        <w:rPr>
          <w:rFonts w:ascii="仿宋" w:hAnsi="仿宋" w:eastAsia="仿宋"/>
          <w:b/>
          <w:color w:val="000000"/>
          <w:sz w:val="32"/>
          <w:szCs w:val="32"/>
        </w:rPr>
      </w:pPr>
      <w:bookmarkStart w:id="47" w:name="_Toc52180081"/>
      <w:bookmarkStart w:id="48" w:name="_Toc15377210"/>
      <w:r>
        <w:rPr>
          <w:rFonts w:hint="eastAsia" w:ascii="仿宋" w:hAnsi="仿宋" w:eastAsia="仿宋"/>
          <w:b/>
          <w:color w:val="000000"/>
          <w:sz w:val="32"/>
          <w:szCs w:val="32"/>
        </w:rPr>
        <w:t>（一）一般公共预算财政拨款支出决算总体情况</w:t>
      </w:r>
      <w:bookmarkEnd w:id="47"/>
      <w:bookmarkEnd w:id="48"/>
    </w:p>
    <w:p>
      <w:pPr>
        <w:spacing w:line="600" w:lineRule="exact"/>
        <w:ind w:firstLine="640" w:firstLineChars="200"/>
        <w:rPr>
          <w:rFonts w:ascii="仿宋" w:hAnsi="仿宋" w:eastAsia="仿宋"/>
          <w:color w:val="000000"/>
          <w:sz w:val="32"/>
          <w:szCs w:val="32"/>
        </w:rPr>
      </w:pPr>
      <w:r>
        <w:rPr>
          <w:rStyle w:val="30"/>
          <w:rFonts w:ascii="仿宋" w:hAnsi="仿宋" w:eastAsia="仿宋"/>
          <w:color w:val="000000"/>
          <w:sz w:val="32"/>
          <w:szCs w:val="32"/>
        </w:rPr>
        <w:t>2019年一般公共预算财政拨款支出211.45万元，占本年支出合计的80.42%。与2018年相比，一般公共预算财政拨款支出减少3.21万元，增长1.50%。主要变动原因是</w:t>
      </w:r>
      <w:r>
        <w:rPr>
          <w:rStyle w:val="30"/>
          <w:rFonts w:ascii="仿宋_GB2312" w:hAnsi="仿宋" w:eastAsia="仿宋_GB2312"/>
          <w:sz w:val="32"/>
          <w:szCs w:val="32"/>
        </w:rPr>
        <w:t>2019年项目支出较2018年减少</w:t>
      </w:r>
      <w:r>
        <w:rPr>
          <w:rStyle w:val="30"/>
          <w:rFonts w:hint="eastAsia" w:ascii="仿宋_GB2312" w:hAnsi="仿宋" w:eastAsia="仿宋_GB2312"/>
          <w:sz w:val="32"/>
          <w:szCs w:val="32"/>
        </w:rPr>
        <w:t>。</w:t>
      </w:r>
    </w:p>
    <w:p>
      <w:pPr>
        <w:spacing w:line="600" w:lineRule="exact"/>
        <w:ind w:firstLine="643" w:firstLineChars="200"/>
        <w:outlineLvl w:val="2"/>
        <w:rPr>
          <w:rFonts w:ascii="仿宋" w:hAnsi="仿宋" w:eastAsia="仿宋"/>
          <w:b/>
          <w:color w:val="000000"/>
          <w:sz w:val="32"/>
          <w:szCs w:val="32"/>
        </w:rPr>
      </w:pPr>
      <w:bookmarkStart w:id="49" w:name="_Toc52180082"/>
      <w:bookmarkStart w:id="50" w:name="_Toc15377211"/>
      <w:r>
        <w:rPr>
          <w:rFonts w:hint="eastAsia" w:ascii="仿宋" w:hAnsi="仿宋" w:eastAsia="仿宋"/>
          <w:b/>
          <w:color w:val="000000"/>
          <w:sz w:val="32"/>
          <w:szCs w:val="32"/>
        </w:rPr>
        <w:t>（二）一般公共预算财政拨款支出决算结构情况</w:t>
      </w:r>
      <w:bookmarkEnd w:id="49"/>
      <w:bookmarkEnd w:id="50"/>
    </w:p>
    <w:p>
      <w:pPr>
        <w:spacing w:line="600" w:lineRule="exact"/>
        <w:ind w:firstLine="640"/>
        <w:rPr>
          <w:rFonts w:ascii="仿宋" w:hAnsi="仿宋" w:eastAsia="仿宋"/>
          <w:color w:val="000000"/>
          <w:sz w:val="32"/>
          <w:szCs w:val="32"/>
        </w:rPr>
      </w:pPr>
      <w:r>
        <w:rPr>
          <w:rStyle w:val="30"/>
          <w:rFonts w:ascii="仿宋" w:hAnsi="仿宋" w:eastAsia="仿宋"/>
          <w:color w:val="000000"/>
          <w:sz w:val="32"/>
          <w:szCs w:val="32"/>
        </w:rPr>
        <w:t>2019年一般公共预算财政拨款支出274.2万元，主要用于以下方面:</w:t>
      </w:r>
      <w:r>
        <w:rPr>
          <w:rStyle w:val="30"/>
          <w:rFonts w:ascii="仿宋" w:hAnsi="仿宋" w:eastAsia="仿宋"/>
          <w:b/>
          <w:color w:val="000000"/>
          <w:sz w:val="32"/>
          <w:szCs w:val="32"/>
        </w:rPr>
        <w:t>一般公共服务（类）</w:t>
      </w:r>
      <w:r>
        <w:rPr>
          <w:rStyle w:val="30"/>
          <w:rFonts w:ascii="仿宋" w:hAnsi="仿宋" w:eastAsia="仿宋"/>
          <w:color w:val="000000"/>
          <w:sz w:val="32"/>
          <w:szCs w:val="32"/>
        </w:rPr>
        <w:t>支出0万元，占0%；</w:t>
      </w:r>
      <w:r>
        <w:rPr>
          <w:rStyle w:val="30"/>
          <w:rFonts w:ascii="仿宋" w:hAnsi="仿宋" w:eastAsia="仿宋"/>
          <w:b/>
          <w:color w:val="000000"/>
          <w:sz w:val="32"/>
          <w:szCs w:val="32"/>
        </w:rPr>
        <w:t>教育支出（类）</w:t>
      </w:r>
      <w:r>
        <w:rPr>
          <w:rStyle w:val="30"/>
          <w:rFonts w:ascii="仿宋" w:hAnsi="仿宋" w:eastAsia="仿宋"/>
          <w:color w:val="000000"/>
          <w:sz w:val="32"/>
          <w:szCs w:val="32"/>
        </w:rPr>
        <w:t>0万元，占0%；</w:t>
      </w:r>
      <w:r>
        <w:rPr>
          <w:rStyle w:val="30"/>
          <w:rFonts w:ascii="仿宋" w:hAnsi="仿宋" w:eastAsia="仿宋"/>
          <w:b/>
          <w:color w:val="000000"/>
          <w:sz w:val="32"/>
          <w:szCs w:val="32"/>
        </w:rPr>
        <w:t>科学技术（类）</w:t>
      </w:r>
      <w:r>
        <w:rPr>
          <w:rStyle w:val="30"/>
          <w:rFonts w:ascii="仿宋" w:hAnsi="仿宋" w:eastAsia="仿宋"/>
          <w:color w:val="000000"/>
          <w:sz w:val="32"/>
          <w:szCs w:val="32"/>
        </w:rPr>
        <w:t>支出0万元，占0%；</w:t>
      </w:r>
      <w:r>
        <w:rPr>
          <w:rStyle w:val="30"/>
          <w:rFonts w:ascii="仿宋" w:hAnsi="仿宋" w:eastAsia="仿宋"/>
          <w:b/>
          <w:bCs/>
          <w:color w:val="000000"/>
          <w:sz w:val="32"/>
          <w:szCs w:val="32"/>
        </w:rPr>
        <w:t>文化旅游体育与传媒（类）支出0万元，占0%</w:t>
      </w:r>
      <w:r>
        <w:rPr>
          <w:rStyle w:val="30"/>
          <w:rFonts w:ascii="仿宋" w:hAnsi="仿宋" w:eastAsia="仿宋"/>
          <w:color w:val="000000"/>
          <w:sz w:val="32"/>
          <w:szCs w:val="32"/>
        </w:rPr>
        <w:t>；</w:t>
      </w:r>
      <w:r>
        <w:rPr>
          <w:rStyle w:val="30"/>
          <w:rFonts w:ascii="仿宋" w:hAnsi="仿宋" w:eastAsia="仿宋"/>
          <w:b/>
          <w:color w:val="000000"/>
          <w:sz w:val="32"/>
          <w:szCs w:val="32"/>
        </w:rPr>
        <w:t>社会保障和就业（类）</w:t>
      </w:r>
      <w:r>
        <w:rPr>
          <w:rStyle w:val="30"/>
          <w:rFonts w:ascii="仿宋" w:hAnsi="仿宋" w:eastAsia="仿宋"/>
          <w:color w:val="000000"/>
          <w:sz w:val="32"/>
          <w:szCs w:val="32"/>
        </w:rPr>
        <w:t>支出13.92万元，占5%；</w:t>
      </w:r>
      <w:r>
        <w:rPr>
          <w:rStyle w:val="30"/>
          <w:rFonts w:ascii="仿宋" w:hAnsi="仿宋" w:eastAsia="仿宋"/>
          <w:b/>
          <w:bCs/>
          <w:color w:val="000000"/>
          <w:sz w:val="32"/>
          <w:szCs w:val="32"/>
        </w:rPr>
        <w:t>卫生健康支出248.67</w:t>
      </w:r>
      <w:r>
        <w:rPr>
          <w:rStyle w:val="30"/>
          <w:rFonts w:ascii="仿宋" w:hAnsi="仿宋" w:eastAsia="仿宋"/>
          <w:color w:val="000000"/>
          <w:sz w:val="32"/>
          <w:szCs w:val="32"/>
        </w:rPr>
        <w:t>万元，占90.6%；住房保障支出11.8万元，占4.4%。</w:t>
      </w:r>
    </w:p>
    <w:p>
      <w:pPr>
        <w:spacing w:line="600" w:lineRule="exact"/>
        <w:ind w:firstLine="643" w:firstLineChars="200"/>
        <w:outlineLvl w:val="2"/>
        <w:rPr>
          <w:rFonts w:ascii="仿宋" w:hAnsi="仿宋" w:eastAsia="仿宋"/>
          <w:b/>
          <w:color w:val="000000"/>
          <w:sz w:val="32"/>
          <w:szCs w:val="32"/>
        </w:rPr>
      </w:pPr>
      <w:bookmarkStart w:id="51" w:name="_Toc52180083"/>
      <w:bookmarkStart w:id="52" w:name="_Toc15377212"/>
      <w:r>
        <w:rPr>
          <w:rFonts w:hint="eastAsia" w:ascii="仿宋" w:hAnsi="仿宋" w:eastAsia="仿宋"/>
          <w:b/>
          <w:color w:val="000000"/>
          <w:sz w:val="32"/>
          <w:szCs w:val="32"/>
        </w:rPr>
        <w:t>（三）一般公共预算财政拨款支出决算具体情况</w:t>
      </w:r>
      <w:bookmarkEnd w:id="51"/>
      <w:bookmarkEnd w:id="52"/>
    </w:p>
    <w:p>
      <w:pPr>
        <w:spacing w:line="600" w:lineRule="exact"/>
        <w:ind w:firstLine="643" w:firstLineChars="200"/>
        <w:rPr>
          <w:rStyle w:val="30"/>
          <w:rFonts w:ascii="仿宋" w:hAnsi="仿宋" w:eastAsia="仿宋"/>
          <w:color w:val="FF0000"/>
          <w:sz w:val="32"/>
          <w:szCs w:val="32"/>
        </w:rPr>
      </w:pPr>
      <w:r>
        <w:rPr>
          <w:rStyle w:val="30"/>
          <w:rFonts w:ascii="仿宋" w:hAnsi="仿宋" w:eastAsia="仿宋"/>
          <w:b/>
          <w:color w:val="000000"/>
          <w:sz w:val="32"/>
          <w:szCs w:val="32"/>
        </w:rPr>
        <w:t>2019年一般公共预算支出决算数为151.65，完成</w:t>
      </w:r>
      <w:r>
        <w:rPr>
          <w:rStyle w:val="14"/>
          <w:rFonts w:ascii="仿宋" w:hAnsi="仿宋" w:eastAsia="仿宋"/>
          <w:bCs/>
          <w:color w:val="000000"/>
          <w:sz w:val="32"/>
          <w:szCs w:val="32"/>
        </w:rPr>
        <w:t>预算100%。其中：</w:t>
      </w:r>
    </w:p>
    <w:p>
      <w:pPr>
        <w:spacing w:line="600" w:lineRule="exact"/>
        <w:ind w:firstLine="643" w:firstLineChars="200"/>
        <w:rPr>
          <w:rStyle w:val="30"/>
          <w:rFonts w:ascii="仿宋" w:hAnsi="仿宋" w:eastAsia="仿宋"/>
          <w:b/>
          <w:color w:val="000000"/>
          <w:sz w:val="32"/>
          <w:szCs w:val="32"/>
        </w:rPr>
      </w:pPr>
      <w:r>
        <w:rPr>
          <w:rStyle w:val="14"/>
          <w:rFonts w:ascii="仿宋" w:hAnsi="仿宋" w:eastAsia="仿宋"/>
          <w:bCs/>
          <w:color w:val="000000"/>
          <w:sz w:val="32"/>
          <w:szCs w:val="32"/>
        </w:rPr>
        <w:t>1.社会保障和就业（类）行政事业单位离退休（款）机关事业单位基本养老保险缴费（项）: 支出决算为13.72万元，完成预算100%，决算数等于预算数。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30"/>
          <w:rFonts w:ascii="仿宋" w:hAnsi="仿宋" w:eastAsia="仿宋"/>
          <w:b/>
          <w:bCs/>
          <w:color w:val="000000"/>
          <w:sz w:val="32"/>
          <w:szCs w:val="32"/>
        </w:rPr>
        <w:t>卫生健康</w:t>
      </w:r>
      <w:r>
        <w:rPr>
          <w:rStyle w:val="14"/>
          <w:rFonts w:ascii="仿宋" w:hAnsi="仿宋" w:eastAsia="仿宋"/>
          <w:bCs/>
          <w:color w:val="000000"/>
          <w:sz w:val="32"/>
          <w:szCs w:val="32"/>
        </w:rPr>
        <w:t>（类）基层医疗卫生机构（款）乡镇卫生院（项）:支出决算为15.76万元，完成预算100%，决算数等于预算数。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30"/>
          <w:rFonts w:ascii="仿宋" w:hAnsi="仿宋" w:eastAsia="仿宋"/>
          <w:b/>
          <w:bCs/>
          <w:color w:val="000000"/>
          <w:sz w:val="32"/>
          <w:szCs w:val="32"/>
        </w:rPr>
        <w:t>卫生健康</w:t>
      </w:r>
      <w:r>
        <w:rPr>
          <w:rStyle w:val="14"/>
          <w:rFonts w:ascii="仿宋" w:hAnsi="仿宋" w:eastAsia="仿宋"/>
          <w:bCs/>
          <w:color w:val="000000"/>
          <w:sz w:val="32"/>
          <w:szCs w:val="32"/>
        </w:rPr>
        <w:t>（类）基层医疗卫生机构（款）其他基层医疗卫生机构（项）:支出决算为15.76万元，完成预算100%，决算数等于预算数。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30"/>
          <w:rFonts w:ascii="仿宋" w:hAnsi="仿宋" w:eastAsia="仿宋"/>
          <w:b/>
          <w:bCs/>
          <w:color w:val="000000"/>
          <w:sz w:val="32"/>
          <w:szCs w:val="32"/>
        </w:rPr>
        <w:t>卫生健康</w:t>
      </w:r>
      <w:r>
        <w:rPr>
          <w:rStyle w:val="14"/>
          <w:rFonts w:ascii="仿宋" w:hAnsi="仿宋" w:eastAsia="仿宋"/>
          <w:bCs/>
          <w:color w:val="000000"/>
          <w:sz w:val="32"/>
          <w:szCs w:val="32"/>
        </w:rPr>
        <w:t>（类）公共卫生（款）基本公共卫生服务（项）:支出决算为50.74万元，完成预算100%，决算数等于预算数。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30"/>
          <w:rFonts w:ascii="仿宋" w:hAnsi="仿宋" w:eastAsia="仿宋"/>
          <w:b/>
          <w:bCs/>
          <w:color w:val="000000"/>
          <w:sz w:val="32"/>
          <w:szCs w:val="32"/>
        </w:rPr>
        <w:t>卫生健康</w:t>
      </w:r>
      <w:r>
        <w:rPr>
          <w:rStyle w:val="14"/>
          <w:rFonts w:ascii="仿宋" w:hAnsi="仿宋" w:eastAsia="仿宋"/>
          <w:bCs/>
          <w:color w:val="000000"/>
          <w:sz w:val="32"/>
          <w:szCs w:val="32"/>
        </w:rPr>
        <w:t>（类）公共卫生（款）重大公共卫生专项（项）:支出决算为48.71万元，完成预算100%，决算数等于预算数。</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30"/>
          <w:rFonts w:ascii="仿宋" w:hAnsi="仿宋" w:eastAsia="仿宋"/>
          <w:b/>
          <w:bCs/>
          <w:color w:val="000000"/>
          <w:sz w:val="32"/>
          <w:szCs w:val="32"/>
        </w:rPr>
        <w:t>住房保障</w:t>
      </w:r>
      <w:r>
        <w:rPr>
          <w:rStyle w:val="14"/>
          <w:rFonts w:ascii="仿宋" w:hAnsi="仿宋" w:eastAsia="仿宋"/>
          <w:bCs/>
          <w:color w:val="000000"/>
          <w:sz w:val="32"/>
          <w:szCs w:val="32"/>
        </w:rPr>
        <w:t>（类）住房改革（款）住房公积金（项）:支出决算为11.80万元，完成预算100%，决算数等于预算数。</w:t>
      </w:r>
    </w:p>
    <w:p>
      <w:pPr>
        <w:tabs>
          <w:tab w:val="right" w:pos="8306"/>
        </w:tabs>
        <w:spacing w:line="600" w:lineRule="exact"/>
        <w:ind w:firstLine="640"/>
        <w:outlineLvl w:val="1"/>
        <w:rPr>
          <w:rStyle w:val="25"/>
        </w:rPr>
      </w:pPr>
      <w:bookmarkStart w:id="53" w:name="_Toc15377214"/>
      <w:bookmarkStart w:id="54" w:name="_Toc15396608"/>
      <w:bookmarkStart w:id="55" w:name="_Toc5218008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53"/>
      <w:bookmarkEnd w:id="54"/>
      <w:bookmarkEnd w:id="55"/>
      <w:r>
        <w:rPr>
          <w:rStyle w:val="25"/>
          <w:rFonts w:ascii="黑体" w:hAnsi="黑体" w:eastAsia="黑体"/>
          <w:b w:val="0"/>
        </w:rPr>
        <w:tab/>
      </w:r>
    </w:p>
    <w:p>
      <w:pPr>
        <w:spacing w:line="600" w:lineRule="exact"/>
        <w:ind w:firstLine="645"/>
        <w:rPr>
          <w:rStyle w:val="30"/>
          <w:rFonts w:ascii="仿宋" w:hAnsi="仿宋" w:eastAsia="仿宋"/>
          <w:color w:val="000000"/>
          <w:sz w:val="32"/>
          <w:szCs w:val="32"/>
        </w:rPr>
      </w:pPr>
      <w:bookmarkStart w:id="56" w:name="_Toc15396609"/>
      <w:bookmarkStart w:id="57" w:name="_Toc15377215"/>
      <w:bookmarkStart w:id="58" w:name="_Toc52180086"/>
      <w:r>
        <w:rPr>
          <w:rStyle w:val="30"/>
          <w:rFonts w:ascii="仿宋" w:hAnsi="仿宋" w:eastAsia="仿宋"/>
          <w:color w:val="000000"/>
          <w:sz w:val="32"/>
          <w:szCs w:val="32"/>
        </w:rPr>
        <w:t>2019年一般公共预算财政拨款基本支出151.65万元，其中：</w:t>
      </w:r>
    </w:p>
    <w:p>
      <w:pPr>
        <w:spacing w:line="600" w:lineRule="exact"/>
        <w:ind w:firstLine="645"/>
        <w:rPr>
          <w:rStyle w:val="30"/>
          <w:rFonts w:ascii="仿宋" w:hAnsi="仿宋" w:eastAsia="仿宋"/>
          <w:color w:val="000000"/>
          <w:sz w:val="32"/>
          <w:szCs w:val="32"/>
        </w:rPr>
      </w:pPr>
      <w:r>
        <w:rPr>
          <w:rStyle w:val="30"/>
          <w:rFonts w:ascii="仿宋" w:hAnsi="仿宋" w:eastAsia="仿宋"/>
          <w:color w:val="000000"/>
          <w:sz w:val="32"/>
          <w:szCs w:val="32"/>
        </w:rPr>
        <w:t>人员经费151.65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Style w:val="30"/>
          <w:rFonts w:ascii="仿宋" w:hAnsi="仿宋" w:eastAsia="仿宋"/>
          <w:color w:val="000000"/>
          <w:sz w:val="32"/>
          <w:szCs w:val="32"/>
        </w:rPr>
        <w:br w:type="textWrapping" w:clear="all"/>
      </w:r>
      <w:r>
        <w:rPr>
          <w:rStyle w:val="30"/>
          <w:rFonts w:ascii="仿宋" w:hAnsi="仿宋" w:eastAsia="仿宋"/>
          <w:color w:val="000000"/>
          <w:sz w:val="32"/>
          <w:szCs w:val="32"/>
        </w:rPr>
        <w:t>　　日常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6"/>
      <w:bookmarkEnd w:id="57"/>
      <w:bookmarkEnd w:id="58"/>
    </w:p>
    <w:p>
      <w:pPr>
        <w:spacing w:line="600" w:lineRule="exact"/>
        <w:ind w:firstLine="640"/>
        <w:rPr>
          <w:rStyle w:val="30"/>
          <w:rFonts w:ascii="仿宋" w:hAnsi="仿宋" w:eastAsia="仿宋"/>
          <w:b/>
          <w:color w:val="000000"/>
          <w:sz w:val="32"/>
          <w:szCs w:val="32"/>
        </w:rPr>
      </w:pPr>
      <w:bookmarkStart w:id="59" w:name="_Toc15377217"/>
      <w:bookmarkStart w:id="60" w:name="_Toc52180088"/>
      <w:r>
        <w:rPr>
          <w:rStyle w:val="30"/>
          <w:rFonts w:ascii="仿宋" w:hAnsi="仿宋" w:eastAsia="仿宋"/>
          <w:b/>
          <w:color w:val="000000"/>
          <w:sz w:val="32"/>
          <w:szCs w:val="32"/>
        </w:rPr>
        <w:t>（一）“三公”经费财政拨款支出决算总体情况说明</w:t>
      </w:r>
    </w:p>
    <w:p>
      <w:pPr>
        <w:spacing w:line="600" w:lineRule="exact"/>
        <w:ind w:firstLine="640"/>
        <w:rPr>
          <w:rStyle w:val="30"/>
          <w:rFonts w:ascii="仿宋" w:hAnsi="仿宋" w:eastAsia="仿宋"/>
          <w:color w:val="000000"/>
          <w:sz w:val="32"/>
          <w:szCs w:val="32"/>
        </w:rPr>
      </w:pPr>
      <w:r>
        <w:rPr>
          <w:rStyle w:val="30"/>
          <w:rFonts w:ascii="仿宋" w:hAnsi="仿宋" w:eastAsia="仿宋"/>
          <w:color w:val="000000"/>
          <w:sz w:val="32"/>
          <w:szCs w:val="32"/>
        </w:rPr>
        <w:t>2019年“三公”经费财政拨款支出决算为0万元决算数与预算数持平。</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59"/>
      <w:bookmarkEnd w:id="60"/>
    </w:p>
    <w:p>
      <w:pPr>
        <w:spacing w:line="600" w:lineRule="exact"/>
        <w:ind w:firstLine="640"/>
        <w:rPr>
          <w:rStyle w:val="30"/>
          <w:rFonts w:ascii="仿宋" w:hAnsi="仿宋" w:eastAsia="仿宋"/>
          <w:color w:val="000000"/>
          <w:sz w:val="32"/>
          <w:szCs w:val="32"/>
        </w:rPr>
      </w:pPr>
      <w:bookmarkStart w:id="61" w:name="_Toc15396610"/>
      <w:bookmarkStart w:id="62" w:name="_Toc15377218"/>
      <w:r>
        <w:rPr>
          <w:rStyle w:val="30"/>
          <w:rFonts w:ascii="仿宋" w:hAnsi="仿宋" w:eastAsia="仿宋"/>
          <w:color w:val="000000"/>
          <w:sz w:val="32"/>
          <w:szCs w:val="32"/>
        </w:rPr>
        <w:t>2019年“三公”经费财政拨款支出决算中，因公出国（境）费支出决算0万元，占0%；公务用车购置及运行维护费支出决算0万元，占0%；公务接待费支出决算0万元，占0%。</w:t>
      </w:r>
    </w:p>
    <w:p>
      <w:pPr>
        <w:spacing w:line="600" w:lineRule="exact"/>
        <w:ind w:firstLine="640"/>
        <w:rPr>
          <w:rStyle w:val="14"/>
          <w:rFonts w:ascii="仿宋" w:hAnsi="仿宋" w:eastAsia="仿宋"/>
          <w:bCs/>
          <w:color w:val="000000"/>
          <w:sz w:val="32"/>
          <w:szCs w:val="32"/>
        </w:rPr>
      </w:pPr>
      <w:r>
        <w:rPr>
          <w:rStyle w:val="30"/>
          <w:rFonts w:ascii="仿宋_GB2312" w:eastAsia="仿宋_GB2312"/>
          <w:b/>
          <w:color w:val="000000"/>
          <w:sz w:val="32"/>
          <w:szCs w:val="32"/>
        </w:rPr>
        <w:t>1.因公出国（境）经费支出</w:t>
      </w:r>
      <w:r>
        <w:rPr>
          <w:rStyle w:val="30"/>
          <w:rFonts w:ascii="仿宋_GB2312" w:eastAsia="仿宋_GB2312"/>
          <w:color w:val="000000"/>
          <w:sz w:val="32"/>
          <w:szCs w:val="32"/>
        </w:rPr>
        <w:t>0万元</w:t>
      </w:r>
      <w:r>
        <w:rPr>
          <w:rStyle w:val="14"/>
          <w:rFonts w:ascii="仿宋" w:hAnsi="仿宋" w:eastAsia="仿宋"/>
          <w:bCs/>
          <w:color w:val="000000"/>
          <w:sz w:val="32"/>
          <w:szCs w:val="32"/>
        </w:rPr>
        <w:t>。</w:t>
      </w:r>
    </w:p>
    <w:p>
      <w:pPr>
        <w:spacing w:line="600" w:lineRule="exact"/>
        <w:ind w:firstLine="640"/>
        <w:rPr>
          <w:rStyle w:val="30"/>
          <w:rFonts w:ascii="仿宋_GB2312" w:eastAsia="仿宋_GB2312"/>
          <w:color w:val="000000"/>
          <w:sz w:val="32"/>
          <w:szCs w:val="32"/>
        </w:rPr>
      </w:pPr>
      <w:r>
        <w:rPr>
          <w:rStyle w:val="30"/>
          <w:rFonts w:ascii="仿宋_GB2312" w:eastAsia="仿宋_GB2312"/>
          <w:color w:val="000000"/>
          <w:sz w:val="32"/>
          <w:szCs w:val="32"/>
        </w:rPr>
        <w:t>全年安排因公出国（境）团组0次，出国（境）0人。</w:t>
      </w:r>
    </w:p>
    <w:p>
      <w:pPr>
        <w:spacing w:line="600" w:lineRule="exact"/>
        <w:ind w:firstLine="640"/>
        <w:rPr>
          <w:rStyle w:val="14"/>
          <w:rFonts w:ascii="仿宋" w:hAnsi="仿宋" w:eastAsia="仿宋"/>
          <w:bCs/>
          <w:color w:val="000000"/>
          <w:sz w:val="32"/>
          <w:szCs w:val="32"/>
        </w:rPr>
      </w:pPr>
      <w:r>
        <w:rPr>
          <w:rStyle w:val="30"/>
          <w:rFonts w:ascii="仿宋_GB2312" w:eastAsia="仿宋_GB2312"/>
          <w:b/>
          <w:color w:val="000000"/>
          <w:sz w:val="32"/>
          <w:szCs w:val="32"/>
        </w:rPr>
        <w:t>2.公务用车购置及运行维护费支出</w:t>
      </w:r>
      <w:r>
        <w:rPr>
          <w:rStyle w:val="30"/>
          <w:rFonts w:ascii="仿宋_GB2312" w:eastAsia="仿宋_GB2312"/>
          <w:color w:val="000000"/>
          <w:sz w:val="32"/>
          <w:szCs w:val="32"/>
        </w:rPr>
        <w:t>0万元</w:t>
      </w:r>
      <w:r>
        <w:rPr>
          <w:rStyle w:val="14"/>
          <w:rFonts w:ascii="仿宋" w:hAnsi="仿宋" w:eastAsia="仿宋"/>
          <w:bCs/>
          <w:color w:val="000000"/>
          <w:sz w:val="32"/>
          <w:szCs w:val="32"/>
        </w:rPr>
        <w:t>。</w:t>
      </w:r>
    </w:p>
    <w:p>
      <w:pPr>
        <w:spacing w:line="600" w:lineRule="exact"/>
        <w:ind w:firstLine="640" w:firstLineChars="200"/>
        <w:rPr>
          <w:rStyle w:val="30"/>
          <w:rFonts w:ascii="仿宋_GB2312" w:eastAsia="仿宋_GB2312"/>
          <w:color w:val="000000"/>
          <w:sz w:val="32"/>
          <w:szCs w:val="32"/>
        </w:rPr>
      </w:pPr>
      <w:r>
        <w:rPr>
          <w:rStyle w:val="30"/>
          <w:rFonts w:ascii="仿宋_GB2312" w:eastAsia="仿宋_GB2312"/>
          <w:color w:val="000000"/>
          <w:sz w:val="32"/>
          <w:szCs w:val="32"/>
        </w:rPr>
        <w:t>其中：</w:t>
      </w:r>
      <w:r>
        <w:rPr>
          <w:rStyle w:val="30"/>
          <w:rFonts w:ascii="仿宋_GB2312" w:eastAsia="仿宋_GB2312"/>
          <w:b/>
          <w:color w:val="000000"/>
          <w:sz w:val="32"/>
          <w:szCs w:val="32"/>
        </w:rPr>
        <w:t>公务用车购置支出</w:t>
      </w:r>
      <w:r>
        <w:rPr>
          <w:rStyle w:val="30"/>
          <w:rFonts w:ascii="仿宋_GB2312" w:eastAsia="仿宋_GB2312"/>
          <w:color w:val="000000"/>
          <w:sz w:val="32"/>
          <w:szCs w:val="32"/>
        </w:rPr>
        <w:t>0万元。全年按规定更新购置公务用车0辆，金额0元。截至2019年12月底，单位共有公务用车0辆。</w:t>
      </w:r>
    </w:p>
    <w:p>
      <w:pPr>
        <w:spacing w:line="600" w:lineRule="exact"/>
        <w:ind w:firstLine="640"/>
        <w:rPr>
          <w:rStyle w:val="30"/>
          <w:rFonts w:ascii="仿宋_GB2312" w:eastAsia="仿宋_GB2312"/>
          <w:color w:val="000000"/>
          <w:sz w:val="32"/>
          <w:szCs w:val="32"/>
        </w:rPr>
      </w:pPr>
      <w:r>
        <w:rPr>
          <w:rStyle w:val="30"/>
          <w:rFonts w:ascii="仿宋_GB2312" w:eastAsia="仿宋_GB2312"/>
          <w:b/>
          <w:color w:val="000000"/>
          <w:sz w:val="32"/>
          <w:szCs w:val="32"/>
        </w:rPr>
        <w:t>公务用车运行维护费支出</w:t>
      </w:r>
      <w:r>
        <w:rPr>
          <w:rStyle w:val="30"/>
          <w:rFonts w:ascii="仿宋_GB2312" w:eastAsia="仿宋_GB2312"/>
          <w:color w:val="000000"/>
          <w:sz w:val="32"/>
          <w:szCs w:val="32"/>
        </w:rPr>
        <w:t>0万元。</w:t>
      </w:r>
    </w:p>
    <w:p>
      <w:pPr>
        <w:spacing w:line="600" w:lineRule="exact"/>
        <w:ind w:firstLine="640"/>
        <w:rPr>
          <w:rStyle w:val="30"/>
          <w:rFonts w:ascii="仿宋_GB2312" w:eastAsia="仿宋_GB2312"/>
          <w:color w:val="000000"/>
          <w:sz w:val="32"/>
          <w:szCs w:val="32"/>
        </w:rPr>
      </w:pPr>
      <w:r>
        <w:rPr>
          <w:rStyle w:val="30"/>
          <w:rFonts w:ascii="仿宋_GB2312" w:eastAsia="仿宋_GB2312"/>
          <w:b/>
          <w:color w:val="000000"/>
          <w:sz w:val="32"/>
          <w:szCs w:val="32"/>
        </w:rPr>
        <w:t>3.公务接待费支出</w:t>
      </w:r>
      <w:r>
        <w:rPr>
          <w:rStyle w:val="30"/>
          <w:rFonts w:ascii="仿宋_GB2312" w:eastAsia="仿宋_GB2312"/>
          <w:color w:val="000000"/>
          <w:sz w:val="32"/>
          <w:szCs w:val="32"/>
        </w:rPr>
        <w:t>0万元</w:t>
      </w:r>
      <w:r>
        <w:rPr>
          <w:rStyle w:val="14"/>
          <w:rFonts w:ascii="仿宋" w:hAnsi="仿宋" w:eastAsia="仿宋"/>
          <w:bCs/>
          <w:color w:val="000000"/>
          <w:sz w:val="32"/>
          <w:szCs w:val="32"/>
        </w:rPr>
        <w:t>。</w:t>
      </w:r>
      <w:r>
        <w:rPr>
          <w:rStyle w:val="30"/>
          <w:rFonts w:ascii="仿宋_GB2312" w:eastAsia="仿宋_GB2312"/>
          <w:color w:val="000000"/>
          <w:sz w:val="32"/>
          <w:szCs w:val="32"/>
        </w:rPr>
        <w:t>其中：</w:t>
      </w:r>
    </w:p>
    <w:p>
      <w:pPr>
        <w:spacing w:line="600" w:lineRule="exact"/>
        <w:ind w:firstLine="640"/>
        <w:rPr>
          <w:rStyle w:val="30"/>
          <w:rFonts w:ascii="仿宋_GB2312" w:eastAsia="仿宋_GB2312"/>
          <w:color w:val="000000"/>
          <w:sz w:val="32"/>
          <w:szCs w:val="32"/>
        </w:rPr>
      </w:pPr>
      <w:r>
        <w:rPr>
          <w:rStyle w:val="30"/>
          <w:rFonts w:ascii="仿宋" w:hAnsi="仿宋" w:eastAsia="仿宋"/>
          <w:b/>
          <w:color w:val="000000"/>
          <w:sz w:val="32"/>
          <w:szCs w:val="32"/>
        </w:rPr>
        <w:t>国内公务接待支出</w:t>
      </w:r>
      <w:r>
        <w:rPr>
          <w:rStyle w:val="30"/>
          <w:rFonts w:ascii="仿宋" w:hAnsi="仿宋" w:eastAsia="仿宋"/>
          <w:color w:val="000000"/>
          <w:sz w:val="32"/>
          <w:szCs w:val="32"/>
        </w:rPr>
        <w:t>0</w:t>
      </w:r>
      <w:r>
        <w:rPr>
          <w:rStyle w:val="30"/>
          <w:rFonts w:ascii="仿宋_GB2312" w:eastAsia="仿宋_GB2312"/>
          <w:color w:val="000000"/>
          <w:sz w:val="32"/>
          <w:szCs w:val="32"/>
        </w:rPr>
        <w:t>万元。国内公务接待0批次，0人次（不包括陪同人员），共计支出0万元。</w:t>
      </w:r>
    </w:p>
    <w:p>
      <w:pPr>
        <w:spacing w:line="600" w:lineRule="exact"/>
        <w:ind w:firstLine="643" w:firstLineChars="200"/>
        <w:rPr>
          <w:rFonts w:hint="eastAsia" w:ascii="仿宋_GB2312" w:eastAsia="仿宋_GB2312"/>
          <w:color w:val="000000"/>
          <w:sz w:val="32"/>
          <w:szCs w:val="32"/>
          <w:lang w:eastAsia="zh-CN"/>
        </w:rPr>
      </w:pPr>
      <w:r>
        <w:rPr>
          <w:rStyle w:val="30"/>
          <w:rFonts w:ascii="仿宋" w:hAnsi="仿宋" w:eastAsia="仿宋"/>
          <w:b/>
          <w:color w:val="000000"/>
          <w:sz w:val="32"/>
          <w:szCs w:val="32"/>
        </w:rPr>
        <w:t>外事接待支出</w:t>
      </w:r>
      <w:r>
        <w:rPr>
          <w:rStyle w:val="30"/>
          <w:rFonts w:ascii="仿宋" w:hAnsi="仿宋" w:eastAsia="仿宋"/>
          <w:color w:val="000000"/>
          <w:sz w:val="32"/>
          <w:szCs w:val="32"/>
        </w:rPr>
        <w:t>0</w:t>
      </w:r>
      <w:r>
        <w:rPr>
          <w:rStyle w:val="30"/>
          <w:rFonts w:ascii="仿宋_GB2312" w:eastAsia="仿宋_GB2312"/>
          <w:color w:val="000000"/>
          <w:sz w:val="32"/>
          <w:szCs w:val="32"/>
        </w:rPr>
        <w:t>万元，外事接待0批次，0人，共计支出0万元</w:t>
      </w:r>
      <w:r>
        <w:rPr>
          <w:rStyle w:val="30"/>
          <w:rFonts w:hint="eastAsia" w:ascii="仿宋_GB2312" w:eastAsia="仿宋_GB2312"/>
          <w:color w:val="000000"/>
          <w:sz w:val="32"/>
          <w:szCs w:val="32"/>
          <w:lang w:eastAsia="zh-CN"/>
        </w:rPr>
        <w:t>。</w:t>
      </w:r>
    </w:p>
    <w:p>
      <w:pPr>
        <w:spacing w:line="600" w:lineRule="exact"/>
        <w:ind w:firstLine="640"/>
        <w:outlineLvl w:val="1"/>
        <w:rPr>
          <w:rStyle w:val="25"/>
          <w:rFonts w:ascii="黑体" w:hAnsi="黑体" w:eastAsia="黑体"/>
        </w:rPr>
      </w:pPr>
      <w:bookmarkStart w:id="63" w:name="_Toc52180089"/>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1"/>
        </w:numPr>
        <w:spacing w:line="600" w:lineRule="exact"/>
        <w:ind w:firstLine="640"/>
        <w:outlineLvl w:val="1"/>
        <w:rPr>
          <w:rStyle w:val="25"/>
          <w:rFonts w:ascii="黑体" w:hAnsi="黑体" w:eastAsia="黑体"/>
          <w:b w:val="0"/>
        </w:rPr>
      </w:pPr>
      <w:bookmarkStart w:id="64" w:name="_Toc15377219"/>
      <w:bookmarkStart w:id="65" w:name="_Toc15396611"/>
      <w:bookmarkStart w:id="66" w:name="_Toc52180090"/>
      <w:r>
        <w:rPr>
          <w:rStyle w:val="25"/>
          <w:rFonts w:hint="eastAsia" w:ascii="黑体" w:hAnsi="黑体" w:eastAsia="黑体"/>
          <w:b w:val="0"/>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5"/>
          <w:rFonts w:ascii="黑体" w:hAnsi="黑体" w:eastAsia="黑体"/>
        </w:rPr>
      </w:pPr>
      <w:bookmarkStart w:id="67" w:name="_Toc52180091"/>
      <w:bookmarkStart w:id="68" w:name="_Toc15396612"/>
      <w:bookmarkStart w:id="69"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7"/>
      <w:bookmarkEnd w:id="68"/>
      <w:bookmarkEnd w:id="69"/>
    </w:p>
    <w:p>
      <w:pPr>
        <w:spacing w:line="600" w:lineRule="exact"/>
        <w:ind w:firstLine="643" w:firstLineChars="200"/>
        <w:rPr>
          <w:rStyle w:val="30"/>
          <w:rFonts w:ascii="仿宋" w:hAnsi="仿宋" w:eastAsia="仿宋"/>
          <w:color w:val="000000"/>
          <w:sz w:val="32"/>
          <w:szCs w:val="32"/>
        </w:rPr>
      </w:pPr>
      <w:r>
        <w:rPr>
          <w:rStyle w:val="30"/>
          <w:rFonts w:ascii="仿宋" w:hAnsi="仿宋" w:eastAsia="仿宋"/>
          <w:b/>
          <w:color w:val="000000"/>
          <w:sz w:val="32"/>
          <w:szCs w:val="32"/>
        </w:rPr>
        <w:t>（一）机关运行经费支出情况</w:t>
      </w:r>
    </w:p>
    <w:p>
      <w:pPr>
        <w:spacing w:line="600" w:lineRule="exact"/>
        <w:ind w:firstLine="640" w:firstLineChars="200"/>
        <w:rPr>
          <w:rStyle w:val="30"/>
          <w:rFonts w:hint="eastAsia" w:ascii="仿宋_GB2312" w:eastAsia="仿宋_GB2312"/>
          <w:color w:val="000000"/>
          <w:sz w:val="32"/>
          <w:szCs w:val="32"/>
          <w:lang w:eastAsia="zh-CN"/>
        </w:rPr>
      </w:pPr>
      <w:r>
        <w:rPr>
          <w:rStyle w:val="30"/>
          <w:rFonts w:ascii="仿宋_GB2312" w:eastAsia="仿宋_GB2312"/>
          <w:color w:val="000000"/>
          <w:sz w:val="32"/>
          <w:szCs w:val="32"/>
        </w:rPr>
        <w:t>2019年，机关运行经费支出0万元，与2018年决算数持平</w:t>
      </w:r>
      <w:r>
        <w:rPr>
          <w:rStyle w:val="30"/>
          <w:rFonts w:hint="eastAsia" w:ascii="仿宋_GB2312" w:eastAsia="仿宋_GB2312"/>
          <w:color w:val="000000"/>
          <w:sz w:val="32"/>
          <w:szCs w:val="32"/>
          <w:lang w:eastAsia="zh-CN"/>
        </w:rPr>
        <w:t>。</w:t>
      </w:r>
    </w:p>
    <w:p>
      <w:pPr>
        <w:spacing w:line="600" w:lineRule="exact"/>
        <w:ind w:firstLine="643" w:firstLineChars="200"/>
        <w:jc w:val="left"/>
        <w:rPr>
          <w:rStyle w:val="30"/>
          <w:rFonts w:ascii="仿宋" w:hAnsi="仿宋" w:eastAsia="仿宋"/>
          <w:b/>
          <w:color w:val="000000"/>
          <w:sz w:val="32"/>
          <w:szCs w:val="32"/>
        </w:rPr>
      </w:pPr>
      <w:r>
        <w:rPr>
          <w:rStyle w:val="30"/>
          <w:rFonts w:ascii="仿宋" w:hAnsi="仿宋" w:eastAsia="仿宋"/>
          <w:b/>
          <w:color w:val="000000"/>
          <w:sz w:val="32"/>
          <w:szCs w:val="32"/>
        </w:rPr>
        <w:t>（二）政府采购支出情况</w:t>
      </w:r>
    </w:p>
    <w:p>
      <w:pPr>
        <w:spacing w:line="600" w:lineRule="exact"/>
        <w:ind w:firstLine="640" w:firstLineChars="200"/>
        <w:rPr>
          <w:rStyle w:val="30"/>
          <w:rFonts w:ascii="仿宋_GB2312" w:eastAsia="仿宋_GB2312"/>
          <w:color w:val="000000"/>
          <w:sz w:val="32"/>
          <w:szCs w:val="32"/>
        </w:rPr>
      </w:pPr>
      <w:r>
        <w:rPr>
          <w:rStyle w:val="30"/>
          <w:rFonts w:ascii="仿宋_GB2312" w:eastAsia="仿宋_GB2312"/>
          <w:color w:val="000000"/>
          <w:sz w:val="32"/>
          <w:szCs w:val="32"/>
        </w:rPr>
        <w:t>2019年，我单位政府采购支出总额0.25万元，其中：政府采购货物支出0.25万元、政府采购工程支出0万元、政府采购服务支出0万元。主要用于医疗设备的购置以及医院信息化建设。授予中小企业合同金额0.25万元，占政府采购支出总额的100%，其中：授予小微企业合同金额0.25万元，占政府采购支出总额的100%。</w:t>
      </w:r>
    </w:p>
    <w:p>
      <w:pPr>
        <w:spacing w:line="600" w:lineRule="exact"/>
        <w:ind w:firstLine="643" w:firstLineChars="200"/>
        <w:jc w:val="left"/>
        <w:rPr>
          <w:rStyle w:val="30"/>
          <w:rFonts w:ascii="仿宋" w:hAnsi="仿宋" w:eastAsia="仿宋"/>
          <w:b/>
          <w:color w:val="000000"/>
          <w:sz w:val="32"/>
          <w:szCs w:val="32"/>
        </w:rPr>
      </w:pPr>
      <w:r>
        <w:rPr>
          <w:rStyle w:val="30"/>
          <w:rFonts w:ascii="仿宋" w:hAnsi="仿宋" w:eastAsia="仿宋"/>
          <w:b/>
          <w:color w:val="000000"/>
          <w:sz w:val="32"/>
          <w:szCs w:val="32"/>
        </w:rPr>
        <w:t>（三）国有资产占有使用情况</w:t>
      </w:r>
    </w:p>
    <w:p>
      <w:pPr>
        <w:spacing w:line="600" w:lineRule="exact"/>
        <w:ind w:firstLine="640" w:firstLineChars="200"/>
        <w:jc w:val="left"/>
        <w:rPr>
          <w:rStyle w:val="30"/>
          <w:rFonts w:ascii="仿宋" w:hAnsi="仿宋" w:eastAsia="仿宋"/>
          <w:b/>
          <w:color w:val="FF0000"/>
          <w:sz w:val="32"/>
          <w:szCs w:val="32"/>
        </w:rPr>
      </w:pPr>
      <w:r>
        <w:rPr>
          <w:rStyle w:val="30"/>
          <w:rFonts w:ascii="仿宋_GB2312" w:eastAsia="仿宋_GB2312"/>
          <w:color w:val="000000"/>
          <w:sz w:val="32"/>
          <w:szCs w:val="32"/>
        </w:rPr>
        <w:t>截至2019年12月31日，我单位共有车辆0辆，其中：主要领导干部用车0辆、机要通信用车0辆、应急保障用车0辆、特种专业技术用车0辆、其他用车0辆，其他用车主要是用于医院其他公务所需。单价50万元以上通用设备0台（套），单价100万元以上专用设备0台（套）。</w:t>
      </w:r>
    </w:p>
    <w:p>
      <w:pPr>
        <w:spacing w:line="600" w:lineRule="exact"/>
        <w:ind w:firstLine="643" w:firstLineChars="200"/>
        <w:jc w:val="left"/>
        <w:rPr>
          <w:rStyle w:val="30"/>
          <w:rFonts w:ascii="仿宋" w:hAnsi="仿宋" w:eastAsia="仿宋"/>
          <w:b/>
          <w:color w:val="000000"/>
          <w:sz w:val="32"/>
          <w:szCs w:val="32"/>
        </w:rPr>
      </w:pPr>
      <w:r>
        <w:rPr>
          <w:rStyle w:val="30"/>
          <w:rFonts w:ascii="仿宋" w:hAnsi="仿宋" w:eastAsia="仿宋"/>
          <w:b/>
          <w:color w:val="000000"/>
          <w:sz w:val="32"/>
          <w:szCs w:val="32"/>
        </w:rPr>
        <w:t>（四）预算绩效管理情况。</w:t>
      </w:r>
    </w:p>
    <w:p>
      <w:pPr>
        <w:spacing w:line="580" w:lineRule="exact"/>
        <w:ind w:firstLine="640" w:firstLineChars="200"/>
        <w:rPr>
          <w:rStyle w:val="30"/>
          <w:rFonts w:ascii="仿宋_GB2312" w:hAnsi="仿宋_GB2312" w:eastAsia="仿宋_GB2312"/>
          <w:sz w:val="32"/>
          <w:szCs w:val="32"/>
        </w:rPr>
      </w:pPr>
      <w:r>
        <w:rPr>
          <w:rStyle w:val="30"/>
          <w:rFonts w:ascii="仿宋_GB2312" w:hAnsi="仿宋_GB2312" w:eastAsia="仿宋_GB2312"/>
          <w:sz w:val="32"/>
          <w:szCs w:val="32"/>
        </w:rPr>
        <w:t>根据预算绩效管理要求，本部门（单位）在年初预算编制阶段，组织对医院整体绩效目标开展了预算事前绩效评估，对3个项目编制了绩效目标，预算执行过程中，选取3个项目开展绩效监控，年终执行完毕后，对3个项目开展了绩效目标完成情况自评。</w:t>
      </w:r>
    </w:p>
    <w:p>
      <w:pPr>
        <w:spacing w:line="580" w:lineRule="exact"/>
        <w:ind w:firstLine="640" w:firstLineChars="200"/>
        <w:rPr>
          <w:rStyle w:val="30"/>
          <w:rFonts w:ascii="仿宋_GB2312" w:hAnsi="仿宋_GB2312" w:eastAsia="仿宋_GB2312"/>
          <w:sz w:val="32"/>
          <w:szCs w:val="32"/>
        </w:rPr>
      </w:pPr>
      <w:r>
        <w:rPr>
          <w:rStyle w:val="30"/>
          <w:rFonts w:ascii="仿宋_GB2312" w:hAnsi="仿宋_GB2312" w:eastAsia="仿宋_GB2312"/>
          <w:sz w:val="32"/>
          <w:szCs w:val="32"/>
        </w:rPr>
        <w:t>本部门按要求对2019年部门整体支出开展绩效自评，从评价情况来看我单位按照年初预算执行，严格控制“三公”经费支出，基本完成年初预算目标。本部门还自行组织了2个项目支出绩效评价，从评价情况来看我单位到2019年底完成2个项目绩效。</w:t>
      </w:r>
    </w:p>
    <w:p>
      <w:pPr>
        <w:spacing w:line="580" w:lineRule="exact"/>
        <w:ind w:firstLine="640" w:firstLineChars="200"/>
        <w:rPr>
          <w:rStyle w:val="30"/>
          <w:rFonts w:ascii="仿宋_GB2312" w:hAnsi="仿宋_GB2312" w:eastAsia="仿宋_GB2312"/>
          <w:sz w:val="32"/>
          <w:szCs w:val="32"/>
        </w:rPr>
      </w:pPr>
      <w:r>
        <w:rPr>
          <w:rStyle w:val="30"/>
          <w:rFonts w:ascii="楷体_GB2312" w:hAnsi="楷体_GB2312" w:eastAsia="楷体_GB2312"/>
          <w:sz w:val="32"/>
          <w:szCs w:val="32"/>
        </w:rPr>
        <w:t>1.项目绩效目标完成情况。</w:t>
      </w:r>
      <w:r>
        <w:rPr>
          <w:rStyle w:val="30"/>
          <w:rFonts w:ascii="楷体_GB2312" w:hAnsi="楷体_GB2312" w:eastAsia="楷体_GB2312"/>
          <w:sz w:val="32"/>
          <w:szCs w:val="32"/>
        </w:rPr>
        <w:br w:type="textWrapping" w:clear="all"/>
      </w:r>
      <w:r>
        <w:rPr>
          <w:rStyle w:val="30"/>
          <w:rFonts w:ascii="仿宋_GB2312" w:hAnsi="仿宋_GB2312" w:eastAsia="仿宋_GB2312"/>
          <w:sz w:val="32"/>
          <w:szCs w:val="32"/>
        </w:rPr>
        <w:t xml:space="preserve">    本部门在2019年度部门决算中反映“医疗专用设备购置””医院运行其他公用经费”等2个项目绩效目标实际完成情况。（本单位部门项目绩效目标个数在6个以上的，选取6个项目进行公开，目标个数在6以下的，全部进行公开，公开内容包括选取的全部项目完成情况综述和完成情况表）。</w:t>
      </w:r>
    </w:p>
    <w:p>
      <w:pPr>
        <w:spacing w:line="580" w:lineRule="exact"/>
        <w:ind w:firstLine="640" w:firstLineChars="200"/>
        <w:rPr>
          <w:rStyle w:val="30"/>
          <w:rFonts w:ascii="仿宋_GB2312" w:hAnsi="仿宋_GB2312" w:eastAsia="仿宋_GB2312"/>
          <w:sz w:val="32"/>
          <w:szCs w:val="32"/>
        </w:rPr>
      </w:pPr>
      <w:r>
        <w:rPr>
          <w:rStyle w:val="30"/>
          <w:rFonts w:ascii="仿宋_GB2312" w:hAnsi="仿宋_GB2312" w:eastAsia="仿宋_GB2312"/>
          <w:sz w:val="32"/>
          <w:szCs w:val="32"/>
        </w:rPr>
        <w:t>（1）医院医疗专用设备购置项目绩效目标完成情况综述。项目全年预算数0万元，执行数为0万元，完成预算的100%。通过项目实施，保障了我院的医疗检查能力及办公水平。发现的主要问题：设备购置需要政府采购，采购流程复杂，部分资金的到位时间较晚，存在年终决算时所实施的采购项目还未验收的情况，导致资金的结转使用。下一步改进措施：提前做好政府采购相关流程所需资料，尽量减少时间损耗。</w:t>
      </w:r>
    </w:p>
    <w:p>
      <w:pPr>
        <w:spacing w:line="580" w:lineRule="exact"/>
        <w:ind w:firstLine="640" w:firstLineChars="200"/>
        <w:rPr>
          <w:rStyle w:val="30"/>
          <w:rFonts w:ascii="仿宋_GB2312" w:hAnsi="仿宋_GB2312" w:eastAsia="仿宋_GB2312"/>
          <w:sz w:val="32"/>
          <w:szCs w:val="32"/>
        </w:rPr>
      </w:pPr>
      <w:r>
        <w:rPr>
          <w:rStyle w:val="30"/>
          <w:rFonts w:ascii="仿宋_GB2312" w:hAnsi="仿宋_GB2312" w:eastAsia="仿宋_GB2312"/>
          <w:sz w:val="32"/>
          <w:szCs w:val="32"/>
        </w:rPr>
        <w:t>（2）医院运行其他经费项目绩效目标完成情况综述。项目全年预算数99.45万元，执行数为99.45万元，完成预算的100%。通过项目实施，保障医院的正常运行，发现的主要问题：医院所需专用材料（药品及卫生材料）受当年市场价格变动的影响因素较大，在预算时往往不能准确预算当年的实际情况。</w:t>
      </w: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vAlign w:val="center"/>
          </w:tcPr>
          <w:p>
            <w:pPr>
              <w:jc w:val="center"/>
              <w:textAlignment w:val="center"/>
              <w:rPr>
                <w:rStyle w:val="30"/>
                <w:rFonts w:ascii="宋体" w:hAnsi="宋体"/>
                <w:color w:val="000000"/>
                <w:sz w:val="36"/>
                <w:szCs w:val="36"/>
              </w:rPr>
            </w:pPr>
            <w:r>
              <w:rPr>
                <w:rStyle w:val="30"/>
                <w:rFonts w:ascii="宋体" w:hAnsi="宋体" w:cs="宋体"/>
                <w:b/>
                <w:bCs/>
                <w:color w:val="000000"/>
                <w:kern w:val="0"/>
                <w:sz w:val="36"/>
                <w:szCs w:val="36"/>
              </w:rPr>
              <w:t>项目绩效目标完成情况表</w:t>
            </w:r>
            <w:r>
              <w:rPr>
                <w:rStyle w:val="30"/>
                <w:rFonts w:ascii="宋体" w:hAnsi="宋体" w:cs="宋体"/>
                <w:b/>
                <w:bCs/>
                <w:color w:val="000000"/>
                <w:kern w:val="0"/>
                <w:sz w:val="36"/>
                <w:szCs w:val="36"/>
              </w:rPr>
              <w:br w:type="textWrapping" w:clear="all"/>
            </w:r>
            <w:r>
              <w:rPr>
                <w:rStyle w:val="30"/>
                <w:rFonts w:ascii="宋体" w:hAnsi="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卫生健康支出</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盐边县共和中心卫生院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115.21</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115.21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0"/>
                <w:rFonts w:ascii="宋体" w:hAns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0"/>
                <w:rFonts w:ascii="宋体" w:hAns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115.21</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rPr>
                <w:rStyle w:val="30"/>
                <w:rFonts w:ascii="宋体" w:hAnsi="宋体"/>
                <w:color w:val="000000"/>
                <w:sz w:val="24"/>
              </w:rPr>
            </w:pPr>
            <w:r>
              <w:rPr>
                <w:rStyle w:val="30"/>
                <w:rFonts w:ascii="宋体" w:hAnsi="宋体"/>
                <w:color w:val="000000"/>
                <w:sz w:val="24"/>
              </w:rPr>
              <w:t>115.21</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0"/>
                <w:rFonts w:ascii="宋体" w:hAns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满足公共卫生科日常工作需要</w:t>
            </w:r>
          </w:p>
        </w:tc>
        <w:tc>
          <w:tcPr>
            <w:tcW w:w="478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满足公共卫生科日常工作需要</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设备购置数量</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设备购置合格率</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政府采购率</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kern w:val="0"/>
                <w:sz w:val="24"/>
              </w:rPr>
            </w:pPr>
            <w:r>
              <w:rPr>
                <w:rStyle w:val="30"/>
                <w:rFonts w:ascii="宋体"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购置设备及时性</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2019年根据公共卫生科需求采购</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2019年根据公共卫生科需求采购</w:t>
            </w:r>
          </w:p>
        </w:tc>
      </w:tr>
      <w:tr>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办公设备购置费</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公共卫生科业务能力保障</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公共卫生科日常业务工作保障，提高公共卫生服务能力</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公共卫生科日常业务工作保障，提高公共卫生服务能力</w:t>
            </w:r>
          </w:p>
        </w:tc>
      </w:tr>
      <w:tr>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设备使用人员满意度</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设备使用人员的满意度达到满意及以上</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r>
              <w:rPr>
                <w:rStyle w:val="30"/>
                <w:rFonts w:ascii="宋体" w:hAnsi="宋体"/>
                <w:color w:val="000000"/>
                <w:sz w:val="24"/>
              </w:rPr>
              <w:t>设备使用人员的满意度达到满意</w:t>
            </w:r>
          </w:p>
        </w:tc>
      </w:tr>
      <w:tr>
        <w:tblPrEx>
          <w:tblCellMar>
            <w:top w:w="0" w:type="dxa"/>
            <w:left w:w="0" w:type="dxa"/>
            <w:bottom w:w="0" w:type="dxa"/>
            <w:right w:w="0" w:type="dxa"/>
          </w:tblCellMar>
        </w:tblPrEx>
        <w:trPr>
          <w:trHeight w:val="416"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r>
      <w:tr>
        <w:tblPrEx>
          <w:tblCellMar>
            <w:top w:w="0" w:type="dxa"/>
            <w:left w:w="0" w:type="dxa"/>
            <w:bottom w:w="0" w:type="dxa"/>
            <w:right w:w="0" w:type="dxa"/>
          </w:tblCellMar>
        </w:tblPrEx>
        <w:trPr>
          <w:trHeight w:val="90" w:hRule="atLeast"/>
          <w:jc w:val="center"/>
        </w:trPr>
        <w:tc>
          <w:tcPr>
            <w:tcW w:w="390" w:type="dxa"/>
            <w:vMerge w:val="continue"/>
            <w:tcBorders>
              <w:top w:val="nil"/>
              <w:left w:val="single" w:color="000000" w:sz="4" w:space="0"/>
              <w:bottom w:val="nil"/>
              <w:right w:val="single" w:color="000000" w:sz="4" w:space="0"/>
            </w:tcBorders>
            <w:vAlign w:val="center"/>
          </w:tcPr>
          <w:p>
            <w:pPr>
              <w:jc w:val="center"/>
              <w:textAlignment w:val="center"/>
              <w:rPr>
                <w:rStyle w:val="30"/>
                <w:rFonts w:ascii="宋体" w:hAns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30"/>
                <w:rFonts w:ascii="宋体" w:hAnsi="宋体"/>
                <w:color w:val="000000"/>
                <w:sz w:val="24"/>
              </w:rPr>
            </w:pPr>
          </w:p>
        </w:tc>
      </w:tr>
    </w:tbl>
    <w:p>
      <w:pPr>
        <w:spacing w:line="580" w:lineRule="exact"/>
        <w:rPr>
          <w:rStyle w:val="30"/>
          <w:rFonts w:ascii="仿宋_GB2312" w:hAnsi="仿宋_GB2312" w:eastAsia="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Style w:val="30"/>
          <w:rFonts w:ascii="仿宋_GB2312" w:hAnsi="仿宋_GB2312" w:eastAsia="仿宋_GB2312"/>
          <w:sz w:val="32"/>
          <w:szCs w:val="32"/>
        </w:rPr>
      </w:pPr>
      <w:r>
        <w:rPr>
          <w:rStyle w:val="30"/>
          <w:rFonts w:ascii="仿宋_GB2312" w:hAnsi="仿宋_GB2312" w:eastAsia="仿宋_GB2312"/>
          <w:sz w:val="32"/>
          <w:szCs w:val="32"/>
        </w:rPr>
        <w:t>本部门按要求对2019年部门整体支出绩效评价情况开展自评，《盐边县共和中心卫生院部门2019年部门整体支出绩效评价报告》见附件（附件1）。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Style w:val="30"/>
          <w:rFonts w:ascii="仿宋_GB2312" w:hAnsi="仿宋_GB2312" w:eastAsia="仿宋_GB2312"/>
          <w:sz w:val="32"/>
          <w:szCs w:val="32"/>
        </w:rPr>
        <w:t>本部门自行组织对医院</w:t>
      </w:r>
      <w:r>
        <w:rPr>
          <w:rStyle w:val="30"/>
          <w:rFonts w:hint="eastAsia" w:ascii="仿宋_GB2312" w:hAnsi="仿宋_GB2312" w:eastAsia="仿宋_GB2312"/>
          <w:sz w:val="32"/>
          <w:szCs w:val="32"/>
        </w:rPr>
        <w:t>基本公共卫生</w:t>
      </w:r>
      <w:r>
        <w:rPr>
          <w:rStyle w:val="30"/>
          <w:rFonts w:ascii="仿宋_GB2312" w:hAnsi="仿宋_GB2312" w:eastAsia="仿宋_GB2312"/>
          <w:sz w:val="32"/>
          <w:szCs w:val="32"/>
        </w:rPr>
        <w:t>项目开展了绩效评价，《</w:t>
      </w:r>
      <w:r>
        <w:rPr>
          <w:rStyle w:val="30"/>
          <w:rFonts w:hint="eastAsia" w:ascii="仿宋_GB2312" w:hAnsi="仿宋_GB2312" w:eastAsia="仿宋_GB2312"/>
          <w:sz w:val="32"/>
          <w:szCs w:val="32"/>
        </w:rPr>
        <w:t>基本公共卫生</w:t>
      </w:r>
      <w:r>
        <w:rPr>
          <w:rStyle w:val="30"/>
          <w:rFonts w:ascii="仿宋_GB2312" w:hAnsi="仿宋_GB2312" w:eastAsia="仿宋_GB2312"/>
          <w:sz w:val="32"/>
          <w:szCs w:val="32"/>
        </w:rPr>
        <w:t>项目2019年绩效评价报告》见附件（附件2）。</w:t>
      </w:r>
      <w:bookmarkStart w:id="70" w:name="_Toc15396613"/>
      <w:bookmarkStart w:id="71" w:name="_Toc15377225"/>
      <w:bookmarkStart w:id="72" w:name="_Toc52180096"/>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bookmarkEnd w:id="70"/>
    <w:bookmarkEnd w:id="71"/>
    <w:bookmarkEnd w:id="72"/>
    <w:p>
      <w:pPr>
        <w:numPr>
          <w:ilvl w:val="0"/>
          <w:numId w:val="2"/>
        </w:numPr>
        <w:spacing w:line="600" w:lineRule="exact"/>
        <w:ind w:firstLine="660" w:firstLineChars="150"/>
        <w:jc w:val="center"/>
        <w:outlineLvl w:val="0"/>
        <w:rPr>
          <w:rFonts w:ascii="宋体"/>
          <w:b/>
          <w:color w:val="000000"/>
          <w:sz w:val="44"/>
          <w:szCs w:val="44"/>
        </w:rPr>
      </w:pPr>
      <w:r>
        <w:rPr>
          <w:rFonts w:hint="eastAsia" w:ascii="黑体" w:hAnsi="黑体" w:eastAsia="黑体"/>
          <w:color w:val="000000"/>
          <w:sz w:val="44"/>
          <w:szCs w:val="44"/>
        </w:rPr>
        <w:t>名</w:t>
      </w:r>
      <w:r>
        <w:rPr>
          <w:rStyle w:val="24"/>
          <w:rFonts w:hint="eastAsia" w:ascii="黑体" w:hAnsi="黑体" w:eastAsia="黑体"/>
          <w:b w:val="0"/>
        </w:rPr>
        <w:t>词解释</w:t>
      </w: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73" w:name="_Toc15377226"/>
      <w:r>
        <w:rPr>
          <w:rFonts w:ascii="宋体"/>
          <w:b/>
          <w:color w:val="000000"/>
          <w:sz w:val="44"/>
          <w:szCs w:val="44"/>
        </w:rPr>
        <w:br w:type="page"/>
      </w:r>
      <w:bookmarkStart w:id="74" w:name="_Toc52180097"/>
      <w:bookmarkStart w:id="7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74"/>
      <w:bookmarkEnd w:id="75"/>
    </w:p>
    <w:p>
      <w:pPr>
        <w:spacing w:line="600" w:lineRule="exact"/>
        <w:jc w:val="left"/>
        <w:outlineLvl w:val="0"/>
        <w:rPr>
          <w:rFonts w:ascii="方正小标宋简体" w:hAnsi="方正小标宋简体" w:eastAsia="方正小标宋简体" w:cs="方正小标宋简体"/>
          <w:sz w:val="32"/>
          <w:szCs w:val="32"/>
        </w:rPr>
      </w:pPr>
      <w:bookmarkStart w:id="76" w:name="_Toc52180098"/>
      <w:r>
        <w:rPr>
          <w:rFonts w:hint="eastAsia" w:ascii="黑体" w:hAnsi="黑体" w:eastAsia="黑体" w:cs="黑体"/>
          <w:sz w:val="32"/>
          <w:szCs w:val="32"/>
        </w:rPr>
        <w:t>附件1</w:t>
      </w:r>
      <w:bookmarkEnd w:id="76"/>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共和中心卫生院</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rPr>
          <w:rFonts w:ascii="黑体" w:hAnsi="宋体" w:eastAsia="黑体" w:cs="宋体"/>
          <w:color w:val="000000"/>
          <w:kern w:val="0"/>
          <w:sz w:val="32"/>
          <w:szCs w:val="32"/>
          <w:shd w:val="clear" w:color="auto" w:fill="FFFFFF"/>
          <w:lang w:val="zh-CN"/>
        </w:rPr>
      </w:pPr>
      <w:r>
        <w:rPr>
          <w:rFonts w:hint="eastAsia" w:ascii="仿宋_GB2312" w:hAnsi="宋体" w:eastAsia="仿宋_GB2312"/>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napToGrid w:val="0"/>
        <w:spacing w:line="580" w:lineRule="exact"/>
        <w:ind w:firstLine="640" w:firstLineChars="200"/>
        <w:contextualSpacing/>
        <w:jc w:val="left"/>
        <w:rPr>
          <w:rStyle w:val="30"/>
          <w:rFonts w:ascii="仿宋_GB2312" w:hAnsi="宋体" w:eastAsia="仿宋_GB2312"/>
          <w:color w:val="000000"/>
          <w:kern w:val="0"/>
          <w:sz w:val="32"/>
          <w:szCs w:val="32"/>
          <w:lang w:val="zh-CN"/>
        </w:rPr>
      </w:pPr>
      <w:r>
        <w:rPr>
          <w:rStyle w:val="30"/>
          <w:rFonts w:ascii="仿宋_GB2312" w:hAnsi="宋体" w:eastAsia="仿宋_GB2312"/>
          <w:color w:val="000000"/>
          <w:kern w:val="0"/>
          <w:sz w:val="32"/>
          <w:szCs w:val="32"/>
          <w:lang w:val="zh-CN"/>
        </w:rPr>
        <w:t>（一）机构组成。</w:t>
      </w:r>
    </w:p>
    <w:p>
      <w:pPr>
        <w:snapToGrid w:val="0"/>
        <w:spacing w:line="580" w:lineRule="exact"/>
        <w:ind w:firstLine="640" w:firstLineChars="200"/>
        <w:jc w:val="left"/>
        <w:rPr>
          <w:rStyle w:val="30"/>
          <w:rFonts w:ascii="仿宋_GB2312" w:hAnsi="宋体" w:eastAsia="仿宋_GB2312"/>
          <w:color w:val="000000"/>
          <w:kern w:val="0"/>
          <w:sz w:val="32"/>
          <w:szCs w:val="32"/>
          <w:lang w:val="zh-CN"/>
        </w:rPr>
      </w:pPr>
      <w:r>
        <w:rPr>
          <w:rStyle w:val="30"/>
          <w:rFonts w:ascii="仿宋_GB2312" w:hAnsi="宋体" w:eastAsia="仿宋_GB2312"/>
          <w:color w:val="000000"/>
          <w:kern w:val="0"/>
          <w:sz w:val="32"/>
          <w:szCs w:val="32"/>
          <w:lang w:val="zh-CN"/>
        </w:rPr>
        <w:t>本院是盐边县卫生健康局下属的二级预算单位，独立编制机构数</w:t>
      </w:r>
      <w:r>
        <w:rPr>
          <w:rStyle w:val="30"/>
          <w:rFonts w:ascii="仿宋_GB2312" w:hAnsi="宋体" w:eastAsia="仿宋_GB2312"/>
          <w:color w:val="000000"/>
          <w:kern w:val="0"/>
          <w:sz w:val="32"/>
          <w:szCs w:val="32"/>
        </w:rPr>
        <w:t>1个，</w:t>
      </w:r>
      <w:r>
        <w:rPr>
          <w:rStyle w:val="30"/>
          <w:rFonts w:ascii="仿宋_GB2312" w:hAnsi="宋体" w:eastAsia="仿宋_GB2312"/>
          <w:color w:val="000000"/>
          <w:kern w:val="0"/>
          <w:sz w:val="32"/>
          <w:szCs w:val="32"/>
          <w:lang w:val="zh-CN"/>
        </w:rPr>
        <w:t>独立核算机构数</w:t>
      </w:r>
      <w:r>
        <w:rPr>
          <w:rStyle w:val="30"/>
          <w:rFonts w:ascii="仿宋_GB2312" w:hAnsi="宋体" w:eastAsia="仿宋_GB2312"/>
          <w:color w:val="000000"/>
          <w:kern w:val="0"/>
          <w:sz w:val="32"/>
          <w:szCs w:val="32"/>
        </w:rPr>
        <w:t>1个。</w:t>
      </w:r>
    </w:p>
    <w:p>
      <w:pPr>
        <w:spacing w:line="579" w:lineRule="exact"/>
        <w:ind w:firstLine="640" w:firstLineChars="200"/>
        <w:jc w:val="left"/>
        <w:rPr>
          <w:rStyle w:val="30"/>
          <w:rFonts w:ascii="仿宋_GB2312" w:hAnsi="宋体" w:eastAsia="仿宋_GB2312"/>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（二）</w:t>
      </w:r>
      <w:r>
        <w:rPr>
          <w:rStyle w:val="30"/>
          <w:rFonts w:ascii="仿宋_GB2312" w:hAnsi="宋体" w:eastAsia="仿宋_GB2312"/>
          <w:color w:val="000000"/>
          <w:kern w:val="0"/>
          <w:sz w:val="32"/>
          <w:szCs w:val="32"/>
          <w:lang w:val="zh-CN"/>
        </w:rPr>
        <w:t>机构职能。</w:t>
      </w:r>
    </w:p>
    <w:p>
      <w:pPr>
        <w:spacing w:line="579" w:lineRule="exact"/>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盐边县共和中心卫生院</w:t>
      </w:r>
      <w:r>
        <w:rPr>
          <w:rFonts w:hint="eastAsia" w:ascii="仿宋" w:hAnsi="仿宋" w:eastAsia="仿宋" w:cs="仿宋"/>
          <w:color w:val="000000"/>
          <w:sz w:val="32"/>
          <w:szCs w:val="32"/>
        </w:rPr>
        <w:t>是一所卫生行政兼预防工作的综合性基层卫生机构，其职责是负责辖区的基本医疗、公共卫生、卫生行政等工作，组织领导群众卫生运动，培训卫生技术人员。并对村卫生室进行业务指导和会诊工作。是农村三级医疗网点的重要环节，担负着辖区医疗和公共卫生的重要任务，是直接解决农村看病难、看病贵的重要一关。</w:t>
      </w:r>
    </w:p>
    <w:p>
      <w:pPr>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ind w:firstLine="640" w:firstLineChars="200"/>
        <w:rPr>
          <w:rFonts w:ascii="仿宋" w:hAnsi="仿宋" w:eastAsia="仿宋" w:cs="仿宋"/>
          <w:sz w:val="32"/>
          <w:szCs w:val="32"/>
        </w:rPr>
      </w:pPr>
      <w:r>
        <w:rPr>
          <w:rFonts w:hint="eastAsia" w:ascii="仿宋" w:hAnsi="仿宋" w:eastAsia="仿宋" w:cs="仿宋"/>
          <w:sz w:val="32"/>
          <w:szCs w:val="32"/>
        </w:rPr>
        <w:t>我院是一所公益性质的事业单位。现有正式职工13人,规培1人，临聘人员8人,退休职工6名。现有3名执业医师，执业助理医师1人，护师2人，其余人员无职称，拥有固定资产元。主要开展公共卫生服务及基本医疗服务。</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napToGrid w:val="0"/>
        <w:spacing w:line="580" w:lineRule="exact"/>
        <w:ind w:firstLine="640" w:firstLineChars="200"/>
        <w:contextualSpacing/>
        <w:jc w:val="left"/>
        <w:rPr>
          <w:rStyle w:val="30"/>
          <w:rFonts w:ascii="仿宋_GB2312" w:hAnsi="宋体" w:eastAsia="仿宋_GB2312"/>
          <w:color w:val="000000"/>
          <w:kern w:val="0"/>
          <w:sz w:val="32"/>
          <w:szCs w:val="32"/>
          <w:lang w:val="zh-CN"/>
        </w:rPr>
      </w:pPr>
      <w:r>
        <w:rPr>
          <w:rStyle w:val="30"/>
          <w:rFonts w:ascii="仿宋_GB2312" w:hAnsi="宋体" w:eastAsia="仿宋_GB2312"/>
          <w:color w:val="000000"/>
          <w:kern w:val="0"/>
          <w:sz w:val="32"/>
          <w:szCs w:val="32"/>
          <w:lang w:val="zh-CN"/>
        </w:rPr>
        <w:t>（一）部门财政资金收入情况。</w:t>
      </w:r>
    </w:p>
    <w:p>
      <w:pPr>
        <w:snapToGrid w:val="0"/>
        <w:spacing w:line="580" w:lineRule="exact"/>
        <w:ind w:firstLine="640" w:firstLineChars="200"/>
        <w:contextualSpacing/>
        <w:jc w:val="left"/>
        <w:rPr>
          <w:rStyle w:val="30"/>
          <w:rFonts w:ascii="仿宋_GB2312" w:hAnsi="宋体" w:eastAsia="仿宋_GB2312"/>
          <w:color w:val="000000"/>
          <w:kern w:val="0"/>
          <w:sz w:val="32"/>
          <w:szCs w:val="32"/>
        </w:rPr>
      </w:pPr>
      <w:r>
        <w:rPr>
          <w:rStyle w:val="30"/>
          <w:rFonts w:ascii="仿宋_GB2312" w:hAnsi="宋体" w:eastAsia="仿宋_GB2312"/>
          <w:color w:val="000000"/>
          <w:kern w:val="0"/>
          <w:sz w:val="32"/>
          <w:szCs w:val="32"/>
        </w:rPr>
        <w:t>2019年全年共计收到财政资金135.91万元，其中财政基本补助资金0万元；项目资金0万元，包括基本公共卫生经费补助0万元，基药补助0万元，招聘执业医师补助0.0万元。</w:t>
      </w:r>
    </w:p>
    <w:p>
      <w:pPr>
        <w:numPr>
          <w:ilvl w:val="0"/>
          <w:numId w:val="3"/>
        </w:numPr>
        <w:snapToGrid w:val="0"/>
        <w:spacing w:line="580" w:lineRule="exact"/>
        <w:ind w:firstLine="640" w:firstLineChars="200"/>
        <w:contextualSpacing/>
        <w:jc w:val="left"/>
        <w:rPr>
          <w:rStyle w:val="30"/>
          <w:rFonts w:ascii="仿宋_GB2312" w:hAnsi="宋体" w:eastAsia="仿宋_GB2312"/>
          <w:color w:val="000000"/>
          <w:kern w:val="0"/>
          <w:sz w:val="32"/>
          <w:szCs w:val="32"/>
          <w:lang w:val="zh-CN"/>
        </w:rPr>
      </w:pPr>
      <w:r>
        <w:rPr>
          <w:rStyle w:val="30"/>
          <w:rFonts w:ascii="仿宋_GB2312" w:hAnsi="宋体" w:eastAsia="仿宋_GB2312"/>
          <w:color w:val="000000"/>
          <w:kern w:val="0"/>
          <w:sz w:val="32"/>
          <w:szCs w:val="32"/>
          <w:lang w:val="zh-CN"/>
        </w:rPr>
        <w:t>部门财政资金支出情况。</w:t>
      </w:r>
    </w:p>
    <w:p>
      <w:pPr>
        <w:snapToGrid w:val="0"/>
        <w:spacing w:line="580" w:lineRule="exact"/>
        <w:contextualSpacing/>
        <w:jc w:val="left"/>
        <w:rPr>
          <w:rStyle w:val="30"/>
          <w:rFonts w:ascii="仿宋_GB2312" w:hAnsi="宋体" w:eastAsia="仿宋_GB2312"/>
          <w:color w:val="000000"/>
          <w:kern w:val="0"/>
          <w:sz w:val="32"/>
          <w:szCs w:val="32"/>
        </w:rPr>
      </w:pPr>
      <w:r>
        <w:rPr>
          <w:rStyle w:val="30"/>
          <w:rFonts w:ascii="仿宋_GB2312" w:hAnsi="宋体" w:eastAsia="仿宋_GB2312"/>
          <w:color w:val="000000"/>
          <w:kern w:val="0"/>
          <w:sz w:val="32"/>
          <w:szCs w:val="32"/>
        </w:rPr>
        <w:t xml:space="preserve">    2019年财政资金支出万元，其中基本支出140.89万元，人员经费支出140.89万元，日常公用经费支出0.6万元；项目支出0.6万元。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napToGrid w:val="0"/>
        <w:spacing w:line="580" w:lineRule="exact"/>
        <w:ind w:firstLine="640" w:firstLineChars="200"/>
        <w:contextualSpacing/>
        <w:jc w:val="left"/>
        <w:rPr>
          <w:rStyle w:val="30"/>
          <w:rFonts w:ascii="仿宋_GB2312" w:hAnsi="宋体" w:eastAsia="仿宋_GB2312"/>
          <w:color w:val="000000"/>
          <w:kern w:val="0"/>
          <w:sz w:val="32"/>
          <w:szCs w:val="32"/>
          <w:lang w:val="zh-CN"/>
        </w:rPr>
      </w:pPr>
      <w:r>
        <w:rPr>
          <w:rStyle w:val="30"/>
          <w:rFonts w:ascii="仿宋_GB2312" w:hAnsi="宋体" w:eastAsia="仿宋_GB2312"/>
          <w:color w:val="000000"/>
          <w:kern w:val="0"/>
          <w:sz w:val="32"/>
          <w:szCs w:val="32"/>
          <w:lang w:val="zh-CN"/>
        </w:rPr>
        <w:t>（一）部门预算管理。</w:t>
      </w:r>
    </w:p>
    <w:p>
      <w:pPr>
        <w:snapToGrid w:val="0"/>
        <w:spacing w:line="580" w:lineRule="exact"/>
        <w:ind w:firstLine="640" w:firstLineChars="200"/>
        <w:contextualSpacing/>
        <w:jc w:val="left"/>
        <w:rPr>
          <w:rStyle w:val="30"/>
          <w:rFonts w:ascii="仿宋_GB2312" w:hAnsi="宋体" w:eastAsia="仿宋_GB2312"/>
          <w:color w:val="000000"/>
          <w:kern w:val="0"/>
          <w:sz w:val="32"/>
          <w:szCs w:val="32"/>
        </w:rPr>
      </w:pPr>
      <w:r>
        <w:rPr>
          <w:rStyle w:val="30"/>
          <w:rFonts w:ascii="仿宋_GB2312" w:hAnsi="宋体" w:eastAsia="仿宋_GB2312"/>
          <w:color w:val="000000"/>
          <w:kern w:val="0"/>
          <w:sz w:val="32"/>
          <w:szCs w:val="32"/>
        </w:rPr>
        <w:t>2019年我院财政预算收入主要用于保障单位在编人员基本工资以及医疗设备购置。其中基本支出140.89万元，用于保障本单位在编人员的基本工资福利支出，包括基本工资、津贴补贴、机关事业单位养老保险、住房公积金等。我院严格按照工作进度执行预算，按时足额发放职工工资。</w:t>
      </w:r>
    </w:p>
    <w:p>
      <w:pPr>
        <w:snapToGrid w:val="0"/>
        <w:spacing w:line="580" w:lineRule="exact"/>
        <w:ind w:firstLine="640" w:firstLineChars="200"/>
        <w:contextualSpacing/>
        <w:jc w:val="left"/>
        <w:rPr>
          <w:rStyle w:val="30"/>
          <w:rFonts w:ascii="仿宋_GB2312" w:hAnsi="宋体" w:eastAsia="仿宋_GB2312"/>
          <w:color w:val="000000"/>
          <w:kern w:val="0"/>
          <w:sz w:val="32"/>
          <w:szCs w:val="32"/>
        </w:rPr>
      </w:pPr>
      <w:r>
        <w:rPr>
          <w:rStyle w:val="30"/>
          <w:rFonts w:ascii="仿宋_GB2312" w:hAnsi="宋体" w:eastAsia="仿宋_GB2312"/>
          <w:color w:val="000000"/>
          <w:kern w:val="0"/>
          <w:sz w:val="32"/>
          <w:szCs w:val="32"/>
        </w:rPr>
        <w:t>专项资金严格按照资金用途使用，做好资金预算管理，合理规划使用资金，严格按照项目完成情况及时支付相关费用。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2019年，我卫生院以绩效目标实现为导向，进一步加强制度建设，严格按照上级的要求在规定的时间报送绩效目标，比如每月按时发放工资，公积金、养老保险及五险费用按时转给各部门，从无拖欠。2019年我院基本支出及项目支出都超预算执行。</w:t>
      </w:r>
    </w:p>
    <w:p>
      <w:pPr>
        <w:spacing w:line="560" w:lineRule="exact"/>
        <w:ind w:firstLine="640" w:firstLineChars="200"/>
        <w:rPr>
          <w:rFonts w:ascii="仿宋" w:hAnsi="仿宋" w:eastAsia="仿宋" w:cs="仿宋"/>
          <w:sz w:val="32"/>
          <w:szCs w:val="32"/>
        </w:rPr>
      </w:pPr>
      <w:r>
        <w:rPr>
          <w:rStyle w:val="30"/>
          <w:rFonts w:eastAsia="仿宋_GB2312"/>
          <w:sz w:val="32"/>
          <w:szCs w:val="32"/>
        </w:rPr>
        <w:t>我单位根据财政相关文件要求对部门预算以及部门决算在</w:t>
      </w:r>
      <w:r>
        <w:rPr>
          <w:rStyle w:val="30"/>
          <w:rFonts w:hint="eastAsia" w:eastAsia="仿宋_GB2312"/>
          <w:sz w:val="32"/>
          <w:szCs w:val="32"/>
        </w:rPr>
        <w:t>相</w:t>
      </w:r>
      <w:r>
        <w:rPr>
          <w:rStyle w:val="30"/>
          <w:rFonts w:eastAsia="仿宋_GB2312"/>
          <w:sz w:val="32"/>
          <w:szCs w:val="32"/>
        </w:rPr>
        <w:t>关网站进行了公开公示。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napToGrid w:val="0"/>
        <w:spacing w:line="580" w:lineRule="exact"/>
        <w:ind w:firstLine="640" w:firstLineChars="200"/>
        <w:contextualSpacing/>
        <w:jc w:val="left"/>
        <w:rPr>
          <w:rFonts w:ascii="仿宋_GB2312" w:hAnsi="宋体" w:eastAsia="仿宋_GB2312"/>
          <w:color w:val="000000"/>
          <w:kern w:val="0"/>
          <w:sz w:val="32"/>
          <w:szCs w:val="32"/>
          <w:lang w:val="zh-CN"/>
        </w:rPr>
      </w:pPr>
      <w:r>
        <w:rPr>
          <w:rStyle w:val="30"/>
          <w:rFonts w:eastAsia="仿宋_GB2312"/>
          <w:sz w:val="32"/>
          <w:szCs w:val="32"/>
        </w:rPr>
        <w:t>从整体情况来看，我院高度重视财政资金的支出绩效，资金从预算、执行、验收、支付等流程层层把关，严格按照预算执行，涉及“三重一大”的均需通过院务会，严格把控“三公经费”的支出。所有的专项资金依据相应的资金管理办法切实做到专款专用，无截留、无挪用等现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rPr>
        <w:t>由于今年人员工资标准增加，调整2018年目标奖计入支出，职工社会保障费上调，卫生站基本公共卫生服务标准增加及公共卫生印刷费等增加，收入支出都超预算执行，工作中还存在许多不足之处。</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napToGrid w:val="0"/>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财务上，会计核算要更加详细，为本单位各项工作的开展、总结、评估提供有效数据资料支撑，为各项业务工作更好的开展提供帮助。</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共和中心卫生院</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zh-CN"/>
        </w:rPr>
        <w:t>项目概况</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（一）项目基本情况。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截止2019年12月底,我院累计提供公共卫生服务做好儿童计划免疫工作约为805位儿童预防接种，为农村孕产妇及儿童保健，0至6岁儿童健康管理 480 人；0-3岁儿童中医药健康管理  293人；孕产妇早孕建卡及健康管理  61人；接受保健健康教育人次  61人，做好老年人健康体检及糖尿病等的筛查工作，做好本地区的健康档案管理工作等。2019年度家庭签约服务 6730 人，其中重点人群签约人3009，精准扶贫签约率100％，一般人群签约  3721人。</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（二）项目绩效目标。</w:t>
      </w:r>
    </w:p>
    <w:p>
      <w:pPr>
        <w:widowControl/>
        <w:adjustRightInd w:val="0"/>
        <w:snapToGrid w:val="0"/>
        <w:spacing w:line="580" w:lineRule="exact"/>
        <w:ind w:firstLine="643" w:firstLineChars="200"/>
        <w:contextualSpacing/>
        <w:jc w:val="left"/>
        <w:rPr>
          <w:rFonts w:hint="eastAsia" w:ascii="仿宋" w:hAnsi="仿宋" w:eastAsia="仿宋" w:cs="仿宋"/>
          <w:sz w:val="32"/>
          <w:szCs w:val="32"/>
          <w:lang w:val="zh-CN"/>
        </w:rPr>
      </w:pPr>
      <w:r>
        <w:rPr>
          <w:rFonts w:hint="eastAsia" w:ascii="仿宋" w:hAnsi="仿宋" w:eastAsia="仿宋" w:cs="仿宋"/>
          <w:b/>
          <w:bCs/>
          <w:sz w:val="32"/>
          <w:szCs w:val="32"/>
          <w:lang w:val="zh-CN"/>
        </w:rPr>
        <w:t>1．项目主要内容。</w:t>
      </w:r>
      <w:r>
        <w:rPr>
          <w:rFonts w:hint="eastAsia" w:ascii="仿宋" w:hAnsi="仿宋" w:eastAsia="仿宋" w:cs="仿宋"/>
          <w:sz w:val="32"/>
          <w:szCs w:val="32"/>
        </w:rPr>
        <w:t>居民健康档案管理，健康教育服务，预防接种，传染病及突发公共卫生事件报告和处理，0-6儿童管理，孕产妇健康管理，65岁以老年人健康管理，重性精神疾病健康管理，卫生监督协管、高血压健康管理、糖尿病规范管理、结核病健康管理、中医药服务、健康素养促进行动、免费提供避孕药具15类服务。实施目的：通过实施基本公共卫生服务项目，对影响居民健康的主要卫生问题实施干预，减少主要健康危险因素，有效预防和控制主要传染病及慢性病。实施范围：行政区域内的常住居民。以0-6儿童、孕产妇、老年人、慢性病患者等人群为重点。  </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为了进一步强化基本公共卫生服务项目工作的绩效考核，奖优罚劣，充分体现多做多奖，少做少拨，不做则罚的工作原则，及时完善下了《共和中心卫生院考核方案》规定从基本公共卫生服务项目经费中提出40%与考核结果挂钩拨付，村卫生室的全部基本公共卫生服务项目经费与乡镇卫生院考核结果挂钩拨付，要求此经费必须用于公共卫生工作开支，不能作为公卫人员绩效工资发放等其他开支。基本公共卫生服务项目建立了逐级考核评估机制，卫生院对所辖区内从事基本公共卫生服务项目的村卫生室每半年考核一次，年终再次进行考核，并把考核结果上报县局备案作为年终核发乡村医生补助和奖励的重要依据。同时还把基本公共卫生服务项目工作纳入年度卫生计生综合目标考核的一项重要内容进行考核，确保了基本公共卫生服务项目工作切实落到实处。</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3．分析评价申报内容是否与实际相符，申报目标是否合理可行。</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（三）项目自评步骤及方法。</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1.为了保证基本公共卫生服务项目的公平、公正稳步向前，我院成立了基本公共卫生服务项目工作领导小组，领导小组组长由我院公共卫生科科长担任，成员为公共卫生各个项目的管理人员。组长主要负责项目工作的组织、实施、协调、督查、考核，公卫办具体负责各项日常管理工作，并把任务分解到各个村卫生室及项目管理人员，使目标明确，任务清楚，目标绩效考核也比较清楚。</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营造良好工作氛围:一是通过各种会议进行宣传，卫生院建立了乡村医生例会制度，定期或不定期的召开乡村医生会议。二是采取印发宣传资料、张贴标语、悬挂横幅、出宣传栏、开展咨询、讲座等多种形势进行广泛宣传。三是卫生院还成立了基本公共卫生服务团队，结合进村入户建立居民健康档案，重点人群的体检和随访等。开展相关基本公共卫生知识的宣传。通过深入广泛的宣传，城乡居民基本了解了免费享有的基本公共卫生服务内容，提高了群众的知晓率，同时也激发了广大居民自觉参与基本公共卫生服务工作的热情，为我院基本公共卫生服务项目顺利开展营造良好的条件。</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3.规范项目管理，加强日常工作督导:按照国家基本公共卫生服务规范的要求，随时关注各个村卫生室的工作动态，定期向县卫生健康局报送工作情况。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4.强化绩效考核，落实奖励措施 ：为了进一步强化基本公共卫生服务项目工作的绩效考核，奖优罚劣，充分体现多做多奖，少做少拨，不做则罚的工作原则。</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（一）项目资金申报及批复情况。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我院基本公共卫生项目资金的申报、批复及预算调整都有县卫生健康局统一核算安排。</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（二）资金计划、到位及使用情况。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zh-CN"/>
        </w:rPr>
        <w:t>1．资金计划。根据中央、省</w:t>
      </w:r>
      <w:r>
        <w:rPr>
          <w:rFonts w:hint="eastAsia" w:ascii="仿宋" w:hAnsi="仿宋" w:eastAsia="仿宋" w:cs="仿宋"/>
          <w:sz w:val="32"/>
          <w:szCs w:val="32"/>
        </w:rPr>
        <w:t>2019年基本公共卫生项目文件的基本要求，2019年我市城乡居民基本公共卫生服务经费标准为人均65元，2019年计划公共卫生经费为73.34万元。</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zh-CN"/>
        </w:rPr>
        <w:t>2．资金到位。</w:t>
      </w:r>
      <w:r>
        <w:rPr>
          <w:rFonts w:hint="eastAsia" w:ascii="仿宋" w:hAnsi="仿宋" w:eastAsia="仿宋" w:cs="仿宋"/>
          <w:sz w:val="32"/>
          <w:szCs w:val="32"/>
        </w:rPr>
        <w:t>2019年的基本公共卫生经费分批次拨出。</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zh-CN"/>
        </w:rPr>
        <w:t>3．资金使用。在公共卫生资金使用中严格按照相关的制度，专款专用。按照医院的考核方案实施考核标准，按规定</w:t>
      </w:r>
      <w:r>
        <w:rPr>
          <w:rFonts w:hint="eastAsia" w:ascii="仿宋" w:hAnsi="仿宋" w:eastAsia="仿宋" w:cs="仿宋"/>
          <w:sz w:val="32"/>
          <w:szCs w:val="32"/>
        </w:rPr>
        <w:t>到各个村卫生室。</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（三）项目财务管理情况。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2019年，我院对基本公共卫生服务项目资金按各具体项目工作量及成本等进行测算，严格按照完成的数量、质量及考核结果进行分配。项目经费实行专帐管理，专款专用。为了加强项目经费的管理，我局会同县财政局对各基层卫生单位财务人员进行了项目资金管理专项培训，县局和各基层医疗卫生单位均设立了基本公共卫生服务经费专户，建立专账，严格按照项目要求，专款专用。</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方正黑体_GBK" w:hAnsi="方正黑体_GBK" w:eastAsia="方正黑体_GBK" w:cs="方正黑体_GBK"/>
          <w:sz w:val="32"/>
          <w:szCs w:val="32"/>
        </w:rPr>
        <w:t>三、项目实施及管理情况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（一）项目组织架构及实施流程。</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卫生院的基本公共卫生服务工作由县卫生健康局公共卫生股监管，卫生院成立相应的基本公共卫生服务领导小组，统一监管村卫生室，并纳入绩效考核，村卫生室监管全乡居民具体的基本公共卫生服务工作，而基本公共卫生的实施流程严格按照《基本公共卫生服务第三版》执行，严格遵循相关的法律法规及管理制度。</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（二）项目管理情况。对国家基本公共卫生服务项目的开展，严格按照国家基本公共卫生服务第三版服务手册及相关的法律、法规，管理制度执行。</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三）项目监管情况。我院的主管部门为县卫生健康局，每年将基本公共卫生服务工作纳入对基层医疗卫生机构综合目标考核的重要内容，并将考核结果与公共卫生经费挂钩，促进基本公共卫生服务项目的各项工作落到实处。并制定基本公共卫生项目绩效考核方案和细则，通过半年一次考考核并结合日常督导，在年终考核后进行综合评分并将结果反馈及公示排名，这直接与单位公共卫生经费，单位领导绩效工资挂钩。这样的考核提高了员工的工资积极性，并能有效的完成相应的工作。</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四、项目绩效情况</w:t>
      </w:r>
      <w:r>
        <w:rPr>
          <w:rFonts w:hint="eastAsia" w:ascii="方正黑体_GBK" w:hAnsi="方正黑体_GBK" w:eastAsia="方正黑体_GBK" w:cs="方正黑体_GBK"/>
          <w:sz w:val="32"/>
          <w:szCs w:val="32"/>
          <w:lang w:val="zh-CN"/>
        </w:rPr>
        <w:tab/>
      </w:r>
    </w:p>
    <w:p>
      <w:pPr>
        <w:widowControl/>
        <w:adjustRightInd w:val="0"/>
        <w:snapToGrid w:val="0"/>
        <w:spacing w:line="580" w:lineRule="exact"/>
        <w:ind w:firstLine="643" w:firstLineChars="200"/>
        <w:contextualSpacing/>
        <w:jc w:val="left"/>
        <w:rPr>
          <w:rFonts w:hint="eastAsia" w:ascii="仿宋" w:hAnsi="仿宋" w:eastAsia="仿宋" w:cs="仿宋"/>
          <w:sz w:val="32"/>
          <w:szCs w:val="32"/>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lang w:val="zh-CN"/>
        </w:rPr>
        <w:t>根据</w:t>
      </w:r>
      <w:r>
        <w:rPr>
          <w:rFonts w:hint="eastAsia" w:ascii="仿宋" w:hAnsi="仿宋" w:eastAsia="仿宋" w:cs="仿宋"/>
          <w:sz w:val="32"/>
          <w:szCs w:val="32"/>
        </w:rPr>
        <w:t>2019年基本公共卫生项目服务完成情况，</w:t>
      </w:r>
      <w:r>
        <w:rPr>
          <w:rFonts w:hint="eastAsia" w:ascii="仿宋" w:hAnsi="仿宋" w:eastAsia="仿宋" w:cs="仿宋"/>
          <w:sz w:val="32"/>
          <w:szCs w:val="32"/>
          <w:lang w:val="zh-CN"/>
        </w:rPr>
        <w:t>对项目完成数量、质量、时效、成本等情况进行详细的分析，同时对项目计划完成目标、任务量完成、质量标准、进度计划、成本控制目标的实现程度进行了评价：</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1.数量指标：全乡的基本公共卫生服务在2019年100%完成。</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质量指标：严格按照基本公共卫生服务第三版要求执行，并计划100%完成任务。</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时效指标：在2019年10月30日前完成半年考核的整改工作及完成相应的总结。</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rPr>
        <w:t>成本指标：2019年上及财政拨款公共卫生经费231.64万元，实际投资公共卫生服务经费274.20万元，其中基本支出为158.99，项目支出为115.21.原因是在2019年公共卫生服务增加原因为人员工资标准增加，卫生站基本公共卫生服务标准增加及公共卫生印刷费等增加</w:t>
      </w:r>
    </w:p>
    <w:p>
      <w:pPr>
        <w:widowControl/>
        <w:adjustRightInd w:val="0"/>
        <w:snapToGrid w:val="0"/>
        <w:spacing w:line="580" w:lineRule="exact"/>
        <w:ind w:firstLine="643" w:firstLineChars="200"/>
        <w:contextualSpacing/>
        <w:jc w:val="left"/>
        <w:rPr>
          <w:rFonts w:hint="eastAsia" w:ascii="仿宋" w:hAnsi="仿宋" w:eastAsia="仿宋" w:cs="仿宋"/>
          <w:sz w:val="32"/>
          <w:szCs w:val="32"/>
          <w:lang w:val="zh-CN"/>
        </w:rPr>
      </w:pPr>
      <w:r>
        <w:rPr>
          <w:rFonts w:hint="eastAsia" w:ascii="仿宋" w:hAnsi="仿宋" w:eastAsia="仿宋" w:cs="仿宋"/>
          <w:b/>
          <w:bCs/>
          <w:sz w:val="32"/>
          <w:szCs w:val="32"/>
          <w:lang w:val="zh-CN"/>
        </w:rPr>
        <w:t>（二）项目效益情况。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经济效益：通过下村进行基本公共卫生服务工作，使老百姓对医院的服务有了新的认识，是老百姓对院有更多的认可，相信医院前来医院就诊治疗。</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社会效益：社会效益应当作为医院最高要求，在生存发展中作为第一追求目标。</w:t>
      </w:r>
      <w:r>
        <w:rPr>
          <w:rFonts w:hint="eastAsia" w:ascii="仿宋" w:hAnsi="仿宋" w:eastAsia="仿宋" w:cs="仿宋"/>
          <w:sz w:val="32"/>
          <w:szCs w:val="32"/>
        </w:rPr>
        <w:br w:type="textWrapping"/>
      </w:r>
      <w:r>
        <w:rPr>
          <w:rFonts w:hint="eastAsia" w:ascii="仿宋" w:hAnsi="仿宋" w:eastAsia="仿宋" w:cs="仿宋"/>
          <w:sz w:val="32"/>
          <w:szCs w:val="32"/>
        </w:rPr>
        <w:t>否则，医院在经营中一味的追求低成本、高收益的话将失去医院成立的基本原则，医院成立的原则是为公众提供医疗服务，不能因为资金的不足问题就断然的决定不对患者进行医治。医院需要将救死扶伤贯彻到底，实现社会效益的最大化，在社会效益好的前提下，医院的经济效益同样会实现增长，两者的统一决定了医院的发展。医院经济效益评价体系是由完整的评价指标、评价目的及评价内容、原则及各指标所占权重等构成。</w:t>
      </w:r>
      <w:r>
        <w:rPr>
          <w:rFonts w:hint="eastAsia" w:ascii="仿宋" w:hAnsi="仿宋" w:eastAsia="仿宋" w:cs="仿宋"/>
          <w:sz w:val="32"/>
          <w:szCs w:val="32"/>
        </w:rPr>
        <w:br w:type="textWrapping"/>
      </w:r>
      <w:r>
        <w:rPr>
          <w:rFonts w:hint="eastAsia" w:ascii="仿宋" w:hAnsi="仿宋" w:eastAsia="仿宋" w:cs="仿宋"/>
          <w:sz w:val="32"/>
          <w:szCs w:val="32"/>
        </w:rPr>
        <w:t>旨在正确的反映医院的经济效益成果，并且构成元素的完整性保证了评价的可信度，医院管理者需要贯彻执行评价步骤。成功构建一个科学、高效的评价体系，争取通过经济效益的评价结果发现医院在管理中的问题，为医院的长久发展扫除管理上的障碍。</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生态效益：卫生院坚持注重院内环境的营造，打造温馨的患者就诊环境，微笑服务，免费为群众进行各项公共卫生服务。</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可持续影响：公共卫生科组织健康教育知识讲座、咨询活动进村，在医院播放影像进行健康教育宣传，卫生院利用自己的平台，提升村民素质,促进全民终身学习。</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社会公众或服务对象满意度：在知识讲座、咨询、培训等各项业务活动组织过程中，各方面事务尽量考虑周全，为服务对象提供所需求的服务。村民对健康教育宣传满意度达到90%、参加培训人员对服务满意度达到95%。</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五、评价结论及建议</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（一）评价结论。</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结合项目自身特点、评价重点及管理办法等要求，围绕专项项目支出绩效评价指标体系对项目进行总体评价。</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（二）存在的问题。</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zh-CN"/>
        </w:rPr>
        <w:tab/>
      </w:r>
      <w:r>
        <w:rPr>
          <w:rFonts w:hint="eastAsia" w:ascii="仿宋" w:hAnsi="仿宋" w:eastAsia="仿宋" w:cs="仿宋"/>
          <w:sz w:val="32"/>
          <w:szCs w:val="32"/>
          <w:lang w:val="zh-CN"/>
        </w:rPr>
        <w:t xml:space="preserve"> </w:t>
      </w:r>
      <w:r>
        <w:rPr>
          <w:rFonts w:hint="eastAsia" w:ascii="仿宋" w:hAnsi="仿宋" w:eastAsia="仿宋" w:cs="仿宋"/>
          <w:sz w:val="32"/>
          <w:szCs w:val="32"/>
        </w:rPr>
        <w:t>1.宣传力度不够，村民参加体的检意识不够强烈，有时候会造成体检时间延长反复。</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2.医生应该进一步提高自身能力水平，多沟通，多交流，</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3.办事效率不高，安于现状。</w:t>
      </w:r>
    </w:p>
    <w:p>
      <w:pPr>
        <w:widowControl/>
        <w:adjustRightInd w:val="0"/>
        <w:snapToGrid w:val="0"/>
        <w:spacing w:line="580" w:lineRule="exact"/>
        <w:ind w:firstLine="643" w:firstLineChars="200"/>
        <w:contextualSpacing/>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1.加强宣传，加强村民健康意识的教育。</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2.加强医务人员的培训，提高自身业务水平和服务态度。</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3.加强有关部门的衔接工作，并取得政府相关部门及村社干部的大力支持。</w:t>
      </w:r>
    </w:p>
    <w:p>
      <w:pPr>
        <w:widowControl/>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4.加强对慢病的随访工作。</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p>
    <w:p>
      <w:pPr>
        <w:spacing w:line="580" w:lineRule="exact"/>
        <w:ind w:firstLine="640"/>
        <w:rPr>
          <w:rFonts w:ascii="仿宋_GB2312" w:hAnsi="仿宋_GB2312" w:eastAsia="仿宋_GB2312" w:cs="仿宋_GB2312"/>
          <w:sz w:val="28"/>
          <w:szCs w:val="28"/>
        </w:rPr>
      </w:pPr>
    </w:p>
    <w:p>
      <w:pPr>
        <w:widowControl/>
        <w:jc w:val="left"/>
        <w:rPr>
          <w:rStyle w:val="24"/>
          <w:rFonts w:ascii="黑体" w:hAnsi="黑体" w:eastAsia="黑体"/>
          <w:b w:val="0"/>
          <w:sz w:val="28"/>
          <w:szCs w:val="28"/>
        </w:rPr>
      </w:pPr>
    </w:p>
    <w:p>
      <w:pPr>
        <w:widowControl/>
        <w:jc w:val="left"/>
        <w:rPr>
          <w:rStyle w:val="24"/>
          <w:rFonts w:ascii="黑体" w:hAnsi="黑体" w:eastAsia="黑体"/>
          <w:b w:val="0"/>
          <w:sz w:val="28"/>
          <w:szCs w:val="28"/>
        </w:rPr>
      </w:pPr>
      <w:r>
        <w:rPr>
          <w:rStyle w:val="24"/>
          <w:rFonts w:ascii="黑体" w:hAnsi="黑体" w:eastAsia="黑体"/>
          <w:b w:val="0"/>
          <w:sz w:val="28"/>
          <w:szCs w:val="28"/>
        </w:rPr>
        <w:br w:type="page"/>
      </w:r>
    </w:p>
    <w:p>
      <w:pPr>
        <w:widowControl/>
        <w:jc w:val="center"/>
        <w:rPr>
          <w:rStyle w:val="24"/>
          <w:rFonts w:ascii="黑体" w:hAnsi="黑体" w:eastAsia="黑体"/>
          <w:b w:val="0"/>
        </w:rPr>
      </w:pPr>
      <w:bookmarkStart w:id="77" w:name="_Toc52180099"/>
      <w:bookmarkStart w:id="7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73"/>
      <w:bookmarkEnd w:id="77"/>
      <w:bookmarkEnd w:id="7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9" w:name="_Toc52180100"/>
      <w:bookmarkStart w:id="8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79"/>
      <w:bookmarkEnd w:id="80"/>
    </w:p>
    <w:p>
      <w:pPr>
        <w:pStyle w:val="3"/>
        <w:rPr>
          <w:rFonts w:ascii="仿宋" w:hAnsi="仿宋" w:eastAsia="仿宋"/>
          <w:color w:val="000000"/>
        </w:rPr>
      </w:pPr>
      <w:bookmarkStart w:id="81" w:name="_Toc52180101"/>
      <w:bookmarkStart w:id="8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81"/>
      <w:bookmarkEnd w:id="82"/>
    </w:p>
    <w:p>
      <w:pPr>
        <w:pStyle w:val="3"/>
        <w:rPr>
          <w:rFonts w:ascii="仿宋" w:hAnsi="仿宋" w:eastAsia="仿宋"/>
          <w:color w:val="000000"/>
        </w:rPr>
      </w:pPr>
      <w:bookmarkStart w:id="83" w:name="_Toc52180102"/>
      <w:bookmarkStart w:id="8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3"/>
      <w:bookmarkEnd w:id="84"/>
    </w:p>
    <w:p>
      <w:pPr>
        <w:pStyle w:val="3"/>
        <w:rPr>
          <w:rFonts w:ascii="仿宋" w:hAnsi="仿宋" w:eastAsia="仿宋"/>
          <w:b w:val="0"/>
          <w:color w:val="000000"/>
        </w:rPr>
      </w:pPr>
      <w:bookmarkStart w:id="85" w:name="_Toc52180103"/>
      <w:bookmarkStart w:id="8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5"/>
      <w:bookmarkEnd w:id="86"/>
    </w:p>
    <w:p>
      <w:pPr>
        <w:pStyle w:val="3"/>
        <w:rPr>
          <w:rStyle w:val="25"/>
          <w:rFonts w:ascii="仿宋" w:hAnsi="仿宋" w:eastAsia="仿宋"/>
          <w:b w:val="0"/>
          <w:bCs w:val="0"/>
        </w:rPr>
      </w:pPr>
      <w:bookmarkStart w:id="87" w:name="_Toc52180104"/>
      <w:bookmarkStart w:id="8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87"/>
      <w:bookmarkEnd w:id="88"/>
      <w:bookmarkStart w:id="89" w:name="_Toc15396624"/>
    </w:p>
    <w:p>
      <w:pPr>
        <w:pStyle w:val="3"/>
        <w:rPr>
          <w:rFonts w:ascii="仿宋" w:hAnsi="仿宋" w:eastAsia="仿宋"/>
          <w:color w:val="000000"/>
        </w:rPr>
      </w:pPr>
      <w:bookmarkStart w:id="90" w:name="_Toc52180105"/>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89"/>
      <w:bookmarkEnd w:id="90"/>
    </w:p>
    <w:p>
      <w:pPr>
        <w:pStyle w:val="3"/>
        <w:rPr>
          <w:rFonts w:ascii="仿宋" w:hAnsi="仿宋" w:eastAsia="仿宋"/>
          <w:color w:val="000000"/>
        </w:rPr>
      </w:pPr>
      <w:bookmarkStart w:id="91" w:name="_Toc52180106"/>
      <w:bookmarkStart w:id="92"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1"/>
      <w:bookmarkEnd w:id="92"/>
    </w:p>
    <w:p>
      <w:pPr>
        <w:pStyle w:val="3"/>
        <w:rPr>
          <w:rFonts w:ascii="仿宋" w:hAnsi="仿宋" w:eastAsia="仿宋"/>
          <w:color w:val="000000"/>
        </w:rPr>
      </w:pPr>
      <w:bookmarkStart w:id="93" w:name="_Toc52180107"/>
      <w:bookmarkStart w:id="9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3"/>
      <w:bookmarkEnd w:id="94"/>
    </w:p>
    <w:p>
      <w:pPr>
        <w:pStyle w:val="3"/>
        <w:rPr>
          <w:rFonts w:ascii="仿宋" w:hAnsi="仿宋" w:eastAsia="仿宋"/>
          <w:color w:val="000000"/>
        </w:rPr>
      </w:pPr>
      <w:bookmarkStart w:id="95" w:name="_Toc52180108"/>
      <w:bookmarkStart w:id="9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5"/>
      <w:bookmarkEnd w:id="96"/>
    </w:p>
    <w:p>
      <w:pPr>
        <w:pStyle w:val="3"/>
        <w:rPr>
          <w:rFonts w:ascii="仿宋" w:hAnsi="仿宋" w:eastAsia="仿宋"/>
          <w:color w:val="000000"/>
        </w:rPr>
      </w:pPr>
      <w:bookmarkStart w:id="97" w:name="_Toc52180109"/>
      <w:bookmarkStart w:id="9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97"/>
      <w:bookmarkEnd w:id="98"/>
    </w:p>
    <w:p>
      <w:pPr>
        <w:pStyle w:val="3"/>
        <w:rPr>
          <w:rFonts w:ascii="仿宋" w:hAnsi="仿宋" w:eastAsia="仿宋"/>
          <w:color w:val="000000"/>
        </w:rPr>
      </w:pPr>
      <w:bookmarkStart w:id="99" w:name="_Toc52180110"/>
      <w:bookmarkStart w:id="10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99"/>
      <w:bookmarkEnd w:id="100"/>
    </w:p>
    <w:p>
      <w:pPr>
        <w:pStyle w:val="3"/>
        <w:rPr>
          <w:rFonts w:ascii="仿宋" w:hAnsi="仿宋" w:eastAsia="仿宋"/>
          <w:color w:val="000000"/>
        </w:rPr>
      </w:pPr>
      <w:bookmarkStart w:id="101" w:name="_Toc52180111"/>
      <w:bookmarkStart w:id="10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01"/>
      <w:bookmarkEnd w:id="102"/>
    </w:p>
    <w:p>
      <w:pPr>
        <w:pStyle w:val="3"/>
        <w:rPr>
          <w:rFonts w:ascii="仿宋" w:hAnsi="仿宋" w:eastAsia="仿宋"/>
          <w:color w:val="000000" w:themeColor="text1"/>
        </w:rPr>
      </w:pPr>
      <w:bookmarkStart w:id="103" w:name="_Toc15396631"/>
      <w:bookmarkStart w:id="104" w:name="_Toc52180112"/>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03"/>
      <w:bookmarkEnd w:id="10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细珊瑚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4"/>
    <w:multiLevelType w:val="singleLevel"/>
    <w:tmpl w:val="00000004"/>
    <w:lvl w:ilvl="0" w:tentative="0">
      <w:start w:val="2"/>
      <w:numFmt w:val="chineseCounting"/>
      <w:suff w:val="nothing"/>
      <w:lvlText w:val="（%1）"/>
      <w:lvlJc w:val="left"/>
      <w:pPr>
        <w:textAlignment w:val="baseline"/>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6A69"/>
    <w:rsid w:val="00235629"/>
    <w:rsid w:val="00260C38"/>
    <w:rsid w:val="002616C0"/>
    <w:rsid w:val="00265372"/>
    <w:rsid w:val="002662AA"/>
    <w:rsid w:val="00280496"/>
    <w:rsid w:val="00294DC9"/>
    <w:rsid w:val="00295495"/>
    <w:rsid w:val="002A31DE"/>
    <w:rsid w:val="002B2613"/>
    <w:rsid w:val="002D19B0"/>
    <w:rsid w:val="002D6D05"/>
    <w:rsid w:val="002E1391"/>
    <w:rsid w:val="002F1818"/>
    <w:rsid w:val="002F567B"/>
    <w:rsid w:val="003216A9"/>
    <w:rsid w:val="00324EAD"/>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19B9"/>
    <w:rsid w:val="00443880"/>
    <w:rsid w:val="004464F4"/>
    <w:rsid w:val="00471401"/>
    <w:rsid w:val="00473F31"/>
    <w:rsid w:val="0048263A"/>
    <w:rsid w:val="00487E5D"/>
    <w:rsid w:val="00496A92"/>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015D"/>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77EB"/>
    <w:rsid w:val="007F1991"/>
    <w:rsid w:val="007F2C2F"/>
    <w:rsid w:val="007F55FC"/>
    <w:rsid w:val="007F5665"/>
    <w:rsid w:val="00800112"/>
    <w:rsid w:val="00813348"/>
    <w:rsid w:val="008155F3"/>
    <w:rsid w:val="008253BB"/>
    <w:rsid w:val="00833962"/>
    <w:rsid w:val="0083706E"/>
    <w:rsid w:val="008408F6"/>
    <w:rsid w:val="008423A5"/>
    <w:rsid w:val="00850625"/>
    <w:rsid w:val="00853718"/>
    <w:rsid w:val="00855221"/>
    <w:rsid w:val="00860645"/>
    <w:rsid w:val="00871F71"/>
    <w:rsid w:val="00872FD8"/>
    <w:rsid w:val="00885AF4"/>
    <w:rsid w:val="008939CD"/>
    <w:rsid w:val="008A6EB2"/>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1A4B"/>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77EA6"/>
    <w:rsid w:val="00B81598"/>
    <w:rsid w:val="00B841F1"/>
    <w:rsid w:val="00B944D6"/>
    <w:rsid w:val="00BA09B4"/>
    <w:rsid w:val="00BB4DF0"/>
    <w:rsid w:val="00BC289F"/>
    <w:rsid w:val="00BC2D50"/>
    <w:rsid w:val="00BC5361"/>
    <w:rsid w:val="00BC5460"/>
    <w:rsid w:val="00BC6B50"/>
    <w:rsid w:val="00BD0E25"/>
    <w:rsid w:val="00BD3BA0"/>
    <w:rsid w:val="00BF5BD6"/>
    <w:rsid w:val="00C03E31"/>
    <w:rsid w:val="00C24DC6"/>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7AF8"/>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7035F"/>
    <w:rsid w:val="00D92060"/>
    <w:rsid w:val="00DA634F"/>
    <w:rsid w:val="00DA65AC"/>
    <w:rsid w:val="00DB1913"/>
    <w:rsid w:val="00DB57DE"/>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B2AC3"/>
    <w:rsid w:val="00ED1B63"/>
    <w:rsid w:val="00ED3C1F"/>
    <w:rsid w:val="00ED4085"/>
    <w:rsid w:val="00ED420E"/>
    <w:rsid w:val="00ED6FBE"/>
    <w:rsid w:val="00EE2F57"/>
    <w:rsid w:val="00EF113F"/>
    <w:rsid w:val="00EF4C34"/>
    <w:rsid w:val="00EF77C6"/>
    <w:rsid w:val="00F05438"/>
    <w:rsid w:val="00F1361C"/>
    <w:rsid w:val="00F156F0"/>
    <w:rsid w:val="00F160C7"/>
    <w:rsid w:val="00F2408F"/>
    <w:rsid w:val="00F240E9"/>
    <w:rsid w:val="00F36D8F"/>
    <w:rsid w:val="00F417B1"/>
    <w:rsid w:val="00F45853"/>
    <w:rsid w:val="00F51D97"/>
    <w:rsid w:val="00F602DF"/>
    <w:rsid w:val="00F754A1"/>
    <w:rsid w:val="00F81FD9"/>
    <w:rsid w:val="00F841AA"/>
    <w:rsid w:val="00F84A94"/>
    <w:rsid w:val="00F85B8A"/>
    <w:rsid w:val="00F87E96"/>
    <w:rsid w:val="00FA23E8"/>
    <w:rsid w:val="00FC1C9B"/>
    <w:rsid w:val="00FD3CC1"/>
    <w:rsid w:val="00FF160F"/>
    <w:rsid w:val="00FF1E02"/>
    <w:rsid w:val="00FF30B4"/>
    <w:rsid w:val="10C055FF"/>
    <w:rsid w:val="16BB723D"/>
    <w:rsid w:val="1A7E13FE"/>
    <w:rsid w:val="240371BF"/>
    <w:rsid w:val="29FD04D3"/>
    <w:rsid w:val="319F7F4E"/>
    <w:rsid w:val="3E982F3A"/>
    <w:rsid w:val="4ECE2238"/>
    <w:rsid w:val="63D04530"/>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NormalCharacter"/>
    <w:uiPriority w:val="0"/>
  </w:style>
  <w:style w:type="paragraph" w:customStyle="1" w:styleId="31">
    <w:name w:val="PlainText"/>
    <w:uiPriority w:val="0"/>
    <w:pPr>
      <w:textAlignment w:val="baseline"/>
    </w:pPr>
    <w:rPr>
      <w:rFonts w:ascii="宋体" w:hAnsi="Courier New"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B45BA-FD70-43CF-91B8-47ACD847AD4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2296</Words>
  <Characters>13092</Characters>
  <Lines>109</Lines>
  <Paragraphs>30</Paragraphs>
  <TotalTime>10</TotalTime>
  <ScaleCrop>false</ScaleCrop>
  <LinksUpToDate>false</LinksUpToDate>
  <CharactersWithSpaces>15358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2020-10-29T10:18:00Z</dcterms:created>
  <dc:creator>曹颖</dc:creator>
  <cp:lastModifiedBy>谭继祥</cp:lastModifiedBy>
  <cp:lastPrinted>2020-07-23T02:58:00Z</cp:lastPrinted>
  <dcterms:modified xsi:type="dcterms:W3CDTF">2021-06-01T10:02:15Z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AAFF224DA4334755A4F3E279F55758BA</vt:lpwstr>
  </property>
</Properties>
</file>