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方正小标宋_GBK" w:eastAsia="方正小标宋_GBK"/>
          <w:sz w:val="44"/>
          <w:szCs w:val="44"/>
        </w:rPr>
      </w:pPr>
    </w:p>
    <w:p>
      <w:pPr>
        <w:spacing w:line="590" w:lineRule="exact"/>
        <w:ind w:firstLine="883"/>
        <w:jc w:val="center"/>
        <w:rPr>
          <w:rFonts w:ascii="方正小标宋_GBK" w:eastAsia="方正小标宋_GBK"/>
          <w:b/>
          <w:sz w:val="44"/>
          <w:szCs w:val="44"/>
        </w:rPr>
      </w:pPr>
      <w:r>
        <w:rPr>
          <w:rFonts w:hint="eastAsia" w:ascii="方正小标宋_GBK" w:eastAsia="方正小标宋_GBK"/>
          <w:b/>
          <w:sz w:val="44"/>
          <w:szCs w:val="44"/>
        </w:rPr>
        <w:t>四川省盐边县益民乡人民政府</w:t>
      </w:r>
    </w:p>
    <w:p>
      <w:pPr>
        <w:spacing w:line="590" w:lineRule="exact"/>
        <w:ind w:firstLine="883"/>
        <w:jc w:val="center"/>
        <w:rPr>
          <w:rFonts w:ascii="方正小标宋_GBK" w:eastAsia="方正小标宋_GBK"/>
          <w:b/>
          <w:sz w:val="44"/>
          <w:szCs w:val="44"/>
        </w:rPr>
      </w:pPr>
      <w:r>
        <w:rPr>
          <w:rFonts w:hint="eastAsia" w:ascii="方正小标宋_GBK" w:eastAsia="方正小标宋_GBK"/>
          <w:b/>
          <w:sz w:val="44"/>
          <w:szCs w:val="44"/>
        </w:rPr>
        <w:t>2016年部门决算编制说明</w:t>
      </w:r>
    </w:p>
    <w:p>
      <w:pPr>
        <w:ind w:firstLine="880"/>
        <w:jc w:val="center"/>
        <w:rPr>
          <w:rFonts w:ascii="方正小标宋_GBK" w:eastAsia="方正小标宋_GBK"/>
          <w:sz w:val="44"/>
          <w:szCs w:val="44"/>
        </w:rPr>
      </w:pPr>
    </w:p>
    <w:p>
      <w:pPr>
        <w:spacing w:line="590" w:lineRule="exact"/>
        <w:rPr>
          <w:rFonts w:ascii="黑体" w:hAnsi="黑体" w:eastAsia="黑体"/>
        </w:rPr>
      </w:pPr>
      <w:r>
        <w:rPr>
          <w:rFonts w:hint="eastAsia" w:ascii="黑体" w:hAnsi="黑体" w:eastAsia="黑体"/>
        </w:rPr>
        <w:t>一、基本职能及主要工作</w:t>
      </w:r>
    </w:p>
    <w:p>
      <w:pPr>
        <w:spacing w:line="590" w:lineRule="exact"/>
        <w:ind w:firstLine="643"/>
        <w:rPr>
          <w:rFonts w:ascii="方正楷体简体" w:hAnsi="黑体" w:eastAsia="方正楷体简体"/>
          <w:b/>
        </w:rPr>
      </w:pPr>
      <w:r>
        <w:rPr>
          <w:rFonts w:hint="eastAsia" w:ascii="方正楷体简体" w:hAnsi="黑体" w:eastAsia="方正楷体简体"/>
          <w:b/>
        </w:rPr>
        <w:t>（一）主要职能。</w:t>
      </w:r>
    </w:p>
    <w:p>
      <w:pPr>
        <w:pStyle w:val="2"/>
        <w:spacing w:before="93" w:line="590" w:lineRule="exact"/>
        <w:ind w:firstLine="643"/>
        <w:rPr>
          <w:kern w:val="2"/>
          <w:sz w:val="32"/>
        </w:rPr>
      </w:pPr>
      <w:r>
        <w:rPr>
          <w:rFonts w:hint="eastAsia"/>
          <w:b/>
          <w:kern w:val="2"/>
          <w:sz w:val="32"/>
        </w:rPr>
        <w:t>一是落实政策。</w:t>
      </w:r>
      <w:r>
        <w:rPr>
          <w:rFonts w:hint="eastAsia"/>
          <w:kern w:val="2"/>
          <w:sz w:val="32"/>
        </w:rPr>
        <w:t>宣传、落实好党的路线、方针、政策和国家的法律、法规，稳定农村基本经济制度，坚持依法行政，推进政务公开，加强对村民委员会的指导，提高、培育村民委员会自治能力。</w:t>
      </w:r>
      <w:r>
        <w:rPr>
          <w:rFonts w:hint="eastAsia"/>
          <w:b/>
          <w:kern w:val="2"/>
          <w:sz w:val="32"/>
        </w:rPr>
        <w:t>二是促进发展。</w:t>
      </w:r>
      <w:r>
        <w:rPr>
          <w:rFonts w:hint="eastAsia"/>
          <w:kern w:val="2"/>
          <w:sz w:val="32"/>
        </w:rPr>
        <w:t>科学制订发展规划，营造农村经济发展环境，加强农村市场监督，培育、提升市场功能，搞活市场流通，调整产业结构，加强农村劳动力技能培训，引导农村劳动力转移和就业，不断提高社会主义新农村建设水平。</w:t>
      </w:r>
      <w:r>
        <w:rPr>
          <w:rFonts w:hint="eastAsia"/>
          <w:b/>
          <w:kern w:val="2"/>
          <w:sz w:val="32"/>
        </w:rPr>
        <w:t>三是维护稳定。</w:t>
      </w:r>
      <w:r>
        <w:rPr>
          <w:rFonts w:hint="eastAsia"/>
          <w:kern w:val="2"/>
          <w:sz w:val="32"/>
        </w:rPr>
        <w:t>要坚持“立党为公、执政为民”，紧紧围绕实现和维护群众的利益问题。要加强和巩固农村基层政权建设和民主法制建设，加强社会治安综合治理，加强对突发事件的预警和管理，建立、健全各种应急机制，加强民事纠纷调解，化解农村社会矛盾，开展农村扶贫和社会救助，切实保障农民合法权益，维护农村社会稳定。</w:t>
      </w:r>
      <w:r>
        <w:rPr>
          <w:rFonts w:hint="eastAsia"/>
          <w:b/>
          <w:kern w:val="2"/>
          <w:sz w:val="32"/>
        </w:rPr>
        <w:t>四是加强管理。</w:t>
      </w:r>
      <w:r>
        <w:rPr>
          <w:rFonts w:hint="eastAsia"/>
          <w:kern w:val="2"/>
          <w:sz w:val="32"/>
        </w:rPr>
        <w:t>加强民政、教育、科技、文化、卫生、计划生育、安全生产、劳动保障和乡村规划等社会管理，加强社会主义精神文明建设，做好防灾工作，加强环境保护，努力改善农村人居环境，不断提高农村人口素质和农民生活质量。</w:t>
      </w:r>
      <w:r>
        <w:rPr>
          <w:rFonts w:hint="eastAsia"/>
          <w:b/>
          <w:kern w:val="2"/>
          <w:sz w:val="32"/>
        </w:rPr>
        <w:t>五是提供服务</w:t>
      </w:r>
      <w:r>
        <w:rPr>
          <w:rFonts w:hint="eastAsia"/>
          <w:kern w:val="2"/>
          <w:sz w:val="32"/>
        </w:rPr>
        <w:t>。进一步发展和完善农业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pPr>
        <w:spacing w:line="590" w:lineRule="exact"/>
        <w:ind w:firstLine="643"/>
        <w:rPr>
          <w:rFonts w:ascii="方正楷体简体" w:hAnsi="黑体" w:eastAsia="方正楷体简体"/>
          <w:b/>
        </w:rPr>
      </w:pPr>
      <w:r>
        <w:rPr>
          <w:rFonts w:hint="eastAsia" w:ascii="方正楷体简体" w:hAnsi="黑体" w:eastAsia="方正楷体简体"/>
          <w:b/>
        </w:rPr>
        <w:t>（二）2016年重点工作完成情况。</w:t>
      </w:r>
    </w:p>
    <w:p>
      <w:pPr>
        <w:spacing w:line="560" w:lineRule="exact"/>
      </w:pPr>
      <w:r>
        <w:rPr>
          <w:rFonts w:hint="eastAsia"/>
        </w:rPr>
        <w:t>积极引导农业适度规模经营发展，大力培育新型农业经营主体，龙腾四海、锐华农业、绿景农业、恒远农牧业、景茂盛农业5家企业被评为第八批农业产业化市级重点龙头企业。</w:t>
      </w:r>
      <w:r>
        <w:t>完成了川能投</w:t>
      </w:r>
      <w:r>
        <w:rPr>
          <w:rFonts w:hint="eastAsia"/>
        </w:rPr>
        <w:t>大面山2万千瓦</w:t>
      </w:r>
      <w:r>
        <w:t>农光互补</w:t>
      </w:r>
      <w:r>
        <w:rPr>
          <w:rFonts w:hint="eastAsia"/>
        </w:rPr>
        <w:t>发电</w:t>
      </w:r>
      <w:r>
        <w:t>项目土地租用及</w:t>
      </w:r>
      <w:r>
        <w:rPr>
          <w:rFonts w:hint="eastAsia"/>
        </w:rPr>
        <w:t>协调</w:t>
      </w:r>
      <w:r>
        <w:t>工作</w:t>
      </w:r>
      <w:r>
        <w:rPr>
          <w:rFonts w:hint="eastAsia"/>
        </w:rPr>
        <w:t>，并顺利开工建设</w:t>
      </w:r>
      <w:r>
        <w:t>。认真开展私挖滥采的定期巡查和“打非治违”关停企业</w:t>
      </w:r>
      <w:r>
        <w:rPr>
          <w:rFonts w:hint="eastAsia"/>
        </w:rPr>
        <w:t>和</w:t>
      </w:r>
      <w:r>
        <w:t>矿山的全面检查，</w:t>
      </w:r>
      <w:r>
        <w:rPr>
          <w:rFonts w:hint="eastAsia"/>
        </w:rPr>
        <w:t>协助经信、环保等部门先后关停非法生产企业5家。加大招商引资力度，先后与攀乡食品、浙江李子园牛奶食品、逸品敲冰巧克力庄园等公司进行了沟通对接。</w:t>
      </w:r>
      <w:r>
        <w:t>加快冷链物流、商贸运输等服务业发展，锐华公司万吨气调库项目</w:t>
      </w:r>
      <w:r>
        <w:rPr>
          <w:rFonts w:hint="eastAsia"/>
        </w:rPr>
        <w:t>（一期）建设基本完工</w:t>
      </w:r>
      <w:r>
        <w:t>。加大电子商务发展力度，积极推动“互联网+特色农业”发展，培育V猫庄园（众筹）芒果生态种植基地1家</w:t>
      </w:r>
      <w:r>
        <w:rPr>
          <w:rFonts w:hint="eastAsia"/>
        </w:rPr>
        <w:t>。完成了益民乡水果协会红格脐橙防伪溯源系统建设，并于2016年6月被中国科协和财政部授予“全国科普惠农兴村先进单位”。积极推进</w:t>
      </w:r>
      <w:r>
        <w:t>益民乡生活用水改造工程</w:t>
      </w:r>
      <w:r>
        <w:rPr>
          <w:rFonts w:hint="eastAsia"/>
        </w:rPr>
        <w:t>。</w:t>
      </w:r>
      <w:r>
        <w:t>稳步实施农网升级改造。</w:t>
      </w:r>
      <w:r>
        <w:rPr>
          <w:rFonts w:hint="eastAsia"/>
        </w:rPr>
        <w:t>积极开展</w:t>
      </w:r>
      <w:r>
        <w:t>乌东德水电站移民搬迁安置</w:t>
      </w:r>
      <w:r>
        <w:rPr>
          <w:rFonts w:hint="eastAsia"/>
        </w:rPr>
        <w:t>农户安置意愿调查、聚居点建设可行性核查等</w:t>
      </w:r>
      <w:r>
        <w:t>前期工作。做好了京昆G5高速互通改扩建征地协调工作。协调做好了G4216</w:t>
      </w:r>
      <w:r>
        <w:rPr>
          <w:rFonts w:hint="eastAsia"/>
        </w:rPr>
        <w:t>宜攀</w:t>
      </w:r>
      <w:r>
        <w:t>高速</w:t>
      </w:r>
      <w:r>
        <w:rPr>
          <w:rFonts w:hint="eastAsia"/>
        </w:rPr>
        <w:t>公路</w:t>
      </w:r>
      <w:r>
        <w:t>地勘工</w:t>
      </w:r>
      <w:r>
        <w:rPr>
          <w:rFonts w:hint="eastAsia"/>
        </w:rPr>
        <w:t>作等。</w:t>
      </w:r>
    </w:p>
    <w:p>
      <w:pPr>
        <w:spacing w:line="590" w:lineRule="exact"/>
        <w:rPr>
          <w:rFonts w:ascii="黑体" w:hAnsi="黑体" w:eastAsia="黑体"/>
        </w:rPr>
      </w:pPr>
      <w:r>
        <w:rPr>
          <w:rFonts w:hint="eastAsia" w:ascii="黑体" w:hAnsi="黑体" w:eastAsia="黑体"/>
        </w:rPr>
        <w:t>二、部门概况</w:t>
      </w:r>
    </w:p>
    <w:p>
      <w:pPr>
        <w:pStyle w:val="2"/>
        <w:spacing w:before="93" w:line="590" w:lineRule="exact"/>
        <w:rPr>
          <w:sz w:val="32"/>
        </w:rPr>
      </w:pPr>
      <w:r>
        <w:rPr>
          <w:rFonts w:hint="eastAsia"/>
          <w:kern w:val="2"/>
          <w:sz w:val="32"/>
        </w:rPr>
        <w:t>益民乡人民政府下属二级单位1个：</w:t>
      </w:r>
      <w:r>
        <w:rPr>
          <w:rFonts w:hint="eastAsia"/>
          <w:sz w:val="32"/>
        </w:rPr>
        <w:t>其中行政单位1个，参照公务员法管理的事业单位</w:t>
      </w:r>
      <w:r>
        <w:rPr>
          <w:rFonts w:hint="eastAsia"/>
          <w:bCs/>
          <w:sz w:val="32"/>
        </w:rPr>
        <w:t>0</w:t>
      </w:r>
      <w:r>
        <w:rPr>
          <w:rFonts w:hint="eastAsia"/>
          <w:sz w:val="32"/>
        </w:rPr>
        <w:t>个，其他事业单位0个。</w:t>
      </w:r>
    </w:p>
    <w:p>
      <w:pPr>
        <w:spacing w:line="590" w:lineRule="exact"/>
        <w:rPr>
          <w:rFonts w:ascii="黑体" w:hAnsi="黑体" w:eastAsia="黑体"/>
        </w:rPr>
      </w:pPr>
      <w:r>
        <w:rPr>
          <w:rFonts w:hint="eastAsia" w:ascii="黑体" w:hAnsi="黑体" w:eastAsia="黑体"/>
        </w:rPr>
        <w:t>三、收支决算总体情况</w:t>
      </w:r>
    </w:p>
    <w:p>
      <w:pPr>
        <w:spacing w:line="590" w:lineRule="exact"/>
      </w:pPr>
      <w:r>
        <w:rPr>
          <w:rFonts w:hint="eastAsia"/>
        </w:rPr>
        <w:t>2016年益民乡人民政府本年收入合计1517.92万元，其中：财政拨款收入1517.92万元，占100%。</w:t>
      </w:r>
    </w:p>
    <w:p>
      <w:pPr>
        <w:spacing w:line="590" w:lineRule="exact"/>
      </w:pPr>
      <w:r>
        <w:rPr>
          <w:rFonts w:hint="eastAsia"/>
        </w:rPr>
        <w:t>2016年益民乡人民政府本年支出合计1542.75万元，其中：基本支出722.14万元，占47%；项目支出820.61万元，占53%。</w:t>
      </w:r>
    </w:p>
    <w:p>
      <w:r>
        <w:drawing>
          <wp:anchor distT="0" distB="0" distL="114300" distR="114300" simplePos="0" relativeHeight="251660288" behindDoc="0" locked="0" layoutInCell="1" allowOverlap="1">
            <wp:simplePos x="0" y="0"/>
            <wp:positionH relativeFrom="column">
              <wp:posOffset>657225</wp:posOffset>
            </wp:positionH>
            <wp:positionV relativeFrom="paragraph">
              <wp:posOffset>34290</wp:posOffset>
            </wp:positionV>
            <wp:extent cx="3276600" cy="2315845"/>
            <wp:effectExtent l="0" t="1270" r="635" b="0"/>
            <wp:wrapSquare wrapText="right"/>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rPr>
        <w:t xml:space="preserve">   </w:t>
      </w:r>
    </w:p>
    <w:p/>
    <w:p/>
    <w:p>
      <w:r>
        <w:rPr>
          <w:rFonts w:hint="eastAsia"/>
        </w:rPr>
        <w:t xml:space="preserve">    </w:t>
      </w:r>
    </w:p>
    <w:p>
      <w:pPr>
        <w:spacing w:line="590" w:lineRule="exact"/>
        <w:rPr>
          <w:rFonts w:ascii="黑体" w:hAnsi="黑体" w:eastAsia="黑体"/>
        </w:rPr>
      </w:pPr>
    </w:p>
    <w:p>
      <w:pPr>
        <w:spacing w:line="590" w:lineRule="exact"/>
        <w:rPr>
          <w:rFonts w:ascii="黑体" w:hAnsi="黑体" w:eastAsia="黑体"/>
        </w:rPr>
      </w:pPr>
    </w:p>
    <w:p>
      <w:pPr>
        <w:spacing w:line="590" w:lineRule="exact"/>
        <w:rPr>
          <w:rFonts w:ascii="黑体" w:hAnsi="黑体" w:eastAsia="黑体"/>
        </w:rPr>
      </w:pPr>
    </w:p>
    <w:p>
      <w:pPr>
        <w:spacing w:line="590" w:lineRule="exact"/>
        <w:rPr>
          <w:rFonts w:ascii="黑体" w:hAnsi="黑体" w:eastAsia="黑体"/>
        </w:rPr>
      </w:pPr>
      <w:r>
        <w:rPr>
          <w:rFonts w:hint="eastAsia" w:ascii="黑体" w:hAnsi="黑体" w:eastAsia="黑体"/>
        </w:rPr>
        <w:t>四、财政拨款收支决算情况</w:t>
      </w:r>
    </w:p>
    <w:p>
      <w:r>
        <w:rPr>
          <w:rFonts w:hint="eastAsia"/>
        </w:rPr>
        <w:t>益民乡人民政府2016年度财政拨款收入总决算1038万元。与2015年相比，财政拨款收、支总计各增加29.65万元，增长2.94%。益民乡人民政府2016年度财政拨款支出总决算1062.36万元。与2015年相比，财政拨款收、支总计各增加33.8万元，增长3.29%。</w:t>
      </w:r>
    </w:p>
    <w:p>
      <w:pPr>
        <w:spacing w:line="240" w:lineRule="auto"/>
      </w:pPr>
      <w:r>
        <w:rPr>
          <w:rFonts w:hint="eastAsia"/>
        </w:rPr>
        <w:drawing>
          <wp:inline distT="0" distB="0" distL="0" distR="0">
            <wp:extent cx="4095750" cy="246697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90" w:lineRule="exact"/>
        <w:rPr>
          <w:rFonts w:ascii="黑体" w:hAnsi="黑体" w:eastAsia="黑体"/>
        </w:rPr>
      </w:pPr>
      <w:r>
        <w:rPr>
          <w:rFonts w:hint="eastAsia" w:ascii="黑体" w:hAnsi="黑体" w:eastAsia="黑体"/>
        </w:rPr>
        <w:t>五、一般公共预算财政拨款支出决算情况</w:t>
      </w:r>
    </w:p>
    <w:p>
      <w:pPr>
        <w:spacing w:line="590" w:lineRule="exact"/>
        <w:ind w:firstLine="643"/>
        <w:rPr>
          <w:rFonts w:ascii="方正楷体简体" w:hAnsi="黑体" w:eastAsia="方正楷体简体"/>
          <w:b/>
        </w:rPr>
      </w:pPr>
      <w:r>
        <w:rPr>
          <w:rFonts w:hint="eastAsia" w:ascii="方正楷体简体" w:hAnsi="黑体" w:eastAsia="方正楷体简体"/>
          <w:b/>
        </w:rPr>
        <w:t>（一）一般公共预算财政拨款支出决算总体情况</w:t>
      </w:r>
    </w:p>
    <w:p>
      <w:pPr>
        <w:spacing w:line="590" w:lineRule="exact"/>
      </w:pPr>
      <w:r>
        <w:rPr>
          <w:rFonts w:hint="eastAsia"/>
        </w:rPr>
        <w:t>益民乡人民政府2016年度一般公共预算财政拨款支出1062.36万元，占本年支出合计的68.87%。与2015年相比，一般公共预算财政拨款支出增加33.8万元，增长3.29%。</w:t>
      </w:r>
    </w:p>
    <w:p>
      <w:pPr>
        <w:spacing w:line="590" w:lineRule="exact"/>
        <w:ind w:firstLine="643"/>
        <w:rPr>
          <w:rFonts w:ascii="方正楷体简体" w:hAnsi="黑体" w:eastAsia="方正楷体简体"/>
          <w:b/>
        </w:rPr>
      </w:pPr>
      <w:r>
        <w:rPr>
          <w:rFonts w:hint="eastAsia" w:ascii="方正楷体简体" w:hAnsi="黑体" w:eastAsia="方正楷体简体"/>
          <w:b/>
        </w:rPr>
        <w:t>（二）一般公共预算财政拨款支出决算结构情况</w:t>
      </w:r>
    </w:p>
    <w:p>
      <w:pPr>
        <w:spacing w:line="590" w:lineRule="exact"/>
      </w:pPr>
      <w:r>
        <w:rPr>
          <w:rFonts w:hint="eastAsia"/>
        </w:rPr>
        <w:t>益民乡人民政府2016年一般公共预算财政拨款支出1062.36万元，主要用于以下方面:一般公共服务支出405.61万元，占26.3%；文化体育与传媒支出26.93万元，占1.74%；社会保障和就业支出171.24万元，占11.1%；医疗卫生支出13.75万元，占0.9%；城乡社区支出485万元，占31.44 %；农林水支出393.41万元，占25.51%；交通运输支出0.6万元，占0.04%；资源勘探信息等支出1.05万元，占0.07%；住房保障支出44.69万元，占2.9%。（饼状图）</w:t>
      </w:r>
    </w:p>
    <w:p>
      <w:r>
        <w:drawing>
          <wp:anchor distT="0" distB="0" distL="114300" distR="114300" simplePos="0" relativeHeight="251662336" behindDoc="0" locked="0" layoutInCell="1" allowOverlap="1">
            <wp:simplePos x="0" y="0"/>
            <wp:positionH relativeFrom="column">
              <wp:posOffset>85725</wp:posOffset>
            </wp:positionH>
            <wp:positionV relativeFrom="paragraph">
              <wp:posOffset>256540</wp:posOffset>
            </wp:positionV>
            <wp:extent cx="4391025" cy="2908935"/>
            <wp:effectExtent l="0" t="0" r="0" b="0"/>
            <wp:wrapSquare wrapText="right"/>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
    <w:p/>
    <w:p/>
    <w:p/>
    <w:p/>
    <w:p/>
    <w:p>
      <w:pPr>
        <w:ind w:firstLine="0" w:firstLineChars="0"/>
      </w:pPr>
    </w:p>
    <w:p>
      <w:pPr>
        <w:spacing w:line="590" w:lineRule="exact"/>
        <w:ind w:firstLine="472" w:firstLineChars="147"/>
        <w:rPr>
          <w:rFonts w:ascii="方正楷体简体" w:hAnsi="黑体" w:eastAsia="方正楷体简体"/>
          <w:b/>
        </w:rPr>
      </w:pPr>
      <w:r>
        <w:rPr>
          <w:rFonts w:hint="eastAsia" w:ascii="方正楷体简体" w:hAnsi="黑体" w:eastAsia="方正楷体简体"/>
          <w:b/>
        </w:rPr>
        <w:t>（三）一般公共预算财政拨款支出决算具体情况</w:t>
      </w:r>
    </w:p>
    <w:tbl>
      <w:tblPr>
        <w:tblStyle w:val="8"/>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color="auto" w:fill="FFFFFF"/>
          </w:tcPr>
          <w:tbl>
            <w:tblPr>
              <w:tblStyle w:val="8"/>
              <w:tblW w:w="12000" w:type="dxa"/>
              <w:jc w:val="center"/>
              <w:tblCellSpacing w:w="0" w:type="dxa"/>
              <w:tblInd w:w="0" w:type="dxa"/>
              <w:tblLayout w:type="fixed"/>
              <w:tblCellMar>
                <w:top w:w="0" w:type="dxa"/>
                <w:left w:w="0" w:type="dxa"/>
                <w:bottom w:w="0" w:type="dxa"/>
                <w:right w:w="0" w:type="dxa"/>
              </w:tblCellMar>
            </w:tblPr>
            <w:tblGrid>
              <w:gridCol w:w="12000"/>
            </w:tblGrid>
            <w:tr>
              <w:tblPrEx>
                <w:tblLayout w:type="fixed"/>
                <w:tblCellMar>
                  <w:top w:w="0" w:type="dxa"/>
                  <w:left w:w="0" w:type="dxa"/>
                  <w:bottom w:w="0" w:type="dxa"/>
                  <w:right w:w="0" w:type="dxa"/>
                </w:tblCellMar>
              </w:tblPrEx>
              <w:trPr>
                <w:tblCellSpacing w:w="0" w:type="dxa"/>
                <w:jc w:val="center"/>
              </w:trPr>
              <w:tc>
                <w:tcPr>
                  <w:tcW w:w="12000" w:type="dxa"/>
                  <w:shd w:val="clear" w:color="auto" w:fill="FFFFFF"/>
                </w:tcPr>
                <w:tbl>
                  <w:tblPr>
                    <w:tblStyle w:val="8"/>
                    <w:tblW w:w="12000" w:type="dxa"/>
                    <w:tblCellSpacing w:w="0" w:type="dxa"/>
                    <w:tblInd w:w="0" w:type="dxa"/>
                    <w:tblLayout w:type="fixed"/>
                    <w:tblCellMar>
                      <w:top w:w="0" w:type="dxa"/>
                      <w:left w:w="0" w:type="dxa"/>
                      <w:bottom w:w="0" w:type="dxa"/>
                      <w:right w:w="0" w:type="dxa"/>
                    </w:tblCellMar>
                  </w:tblPr>
                  <w:tblGrid>
                    <w:gridCol w:w="12000"/>
                  </w:tblGrid>
                  <w:tr>
                    <w:tblPrEx>
                      <w:tblLayout w:type="fixed"/>
                      <w:tblCellMar>
                        <w:top w:w="0" w:type="dxa"/>
                        <w:left w:w="0" w:type="dxa"/>
                        <w:bottom w:w="0" w:type="dxa"/>
                        <w:right w:w="0" w:type="dxa"/>
                      </w:tblCellMar>
                    </w:tblPrEx>
                    <w:trPr>
                      <w:tblCellSpacing w:w="0" w:type="dxa"/>
                    </w:trPr>
                    <w:tc>
                      <w:tcPr>
                        <w:tcW w:w="12000" w:type="dxa"/>
                      </w:tcPr>
                      <w:p>
                        <w:pPr>
                          <w:spacing w:line="590" w:lineRule="exact"/>
                          <w:rPr>
                            <w:kern w:val="0"/>
                          </w:rPr>
                        </w:pPr>
                      </w:p>
                    </w:tc>
                  </w:tr>
                </w:tbl>
                <w:p>
                  <w:pPr>
                    <w:spacing w:line="590" w:lineRule="exact"/>
                    <w:rPr>
                      <w:kern w:val="0"/>
                    </w:rPr>
                  </w:pPr>
                </w:p>
              </w:tc>
            </w:tr>
            <w:tr>
              <w:tblPrEx>
                <w:tblLayout w:type="fixed"/>
                <w:tblCellMar>
                  <w:top w:w="0" w:type="dxa"/>
                  <w:left w:w="0" w:type="dxa"/>
                  <w:bottom w:w="0" w:type="dxa"/>
                  <w:right w:w="0" w:type="dxa"/>
                </w:tblCellMar>
              </w:tblPrEx>
              <w:trPr>
                <w:trHeight w:val="75" w:hRule="atLeast"/>
                <w:tblCellSpacing w:w="0" w:type="dxa"/>
                <w:jc w:val="center"/>
              </w:trPr>
              <w:tc>
                <w:tcPr>
                  <w:tcW w:w="12000" w:type="dxa"/>
                  <w:vAlign w:val="center"/>
                </w:tcPr>
                <w:p>
                  <w:pPr>
                    <w:spacing w:line="590" w:lineRule="exact"/>
                    <w:rPr>
                      <w:kern w:val="0"/>
                    </w:rPr>
                  </w:pPr>
                </w:p>
              </w:tc>
            </w:tr>
          </w:tbl>
          <w:p>
            <w:pPr>
              <w:spacing w:line="590" w:lineRule="exact"/>
              <w:rPr>
                <w:kern w:val="0"/>
              </w:rPr>
            </w:pPr>
          </w:p>
        </w:tc>
      </w:tr>
      <w:tr>
        <w:tblPrEx>
          <w:tblLayout w:type="fixed"/>
          <w:tblCellMar>
            <w:top w:w="0" w:type="dxa"/>
            <w:left w:w="0" w:type="dxa"/>
            <w:bottom w:w="0" w:type="dxa"/>
            <w:right w:w="0" w:type="dxa"/>
          </w:tblCellMar>
        </w:tblPrEx>
        <w:trPr>
          <w:tblCellSpacing w:w="0" w:type="dxa"/>
        </w:trPr>
        <w:tc>
          <w:tcPr>
            <w:tcW w:w="8306" w:type="dxa"/>
            <w:shd w:val="clear" w:color="auto" w:fill="FFFFFF"/>
          </w:tcPr>
          <w:p>
            <w:pPr>
              <w:spacing w:line="590" w:lineRule="exact"/>
              <w:rPr>
                <w:kern w:val="0"/>
              </w:rPr>
            </w:pPr>
          </w:p>
        </w:tc>
      </w:tr>
    </w:tbl>
    <w:p>
      <w:pPr>
        <w:pStyle w:val="14"/>
        <w:numPr>
          <w:ilvl w:val="0"/>
          <w:numId w:val="1"/>
        </w:numPr>
        <w:spacing w:line="590" w:lineRule="exact"/>
        <w:ind w:firstLineChars="0"/>
        <w:rPr>
          <w:rStyle w:val="7"/>
        </w:rPr>
      </w:pPr>
      <w:r>
        <w:rPr>
          <w:rStyle w:val="7"/>
          <w:rFonts w:hint="eastAsia"/>
        </w:rPr>
        <w:t>一般公共服务</w:t>
      </w:r>
    </w:p>
    <w:p>
      <w:pPr>
        <w:pStyle w:val="14"/>
        <w:spacing w:line="590" w:lineRule="exact"/>
        <w:ind w:firstLine="0" w:firstLineChars="0"/>
      </w:pPr>
      <w:r>
        <w:rPr>
          <w:rFonts w:hint="eastAsia"/>
          <w:bCs/>
        </w:rPr>
        <w:t>2010101人大行政运行:</w:t>
      </w:r>
      <w:r>
        <w:rPr>
          <w:rFonts w:hint="eastAsia"/>
        </w:rPr>
        <w:t>2016年决算数为14.69万元，完成预算100%。2010104人大会议：2016年决算数为4.4万元，完成预算141%，决算数大于预算数的主要原因是决算数包含了在上年的财政应返还额度中得支出数。2010301政府行政运行：2016年决算数为203.39万元，完成预算100%。2010302一般行政管理事务：2016年决算数为57.12万元，完成预算136%，决算数大于预算数的主要原因是决算数包含了在上年的财政应返还额度中得支出数。2010308信访事务：2016年决算数为0.54万元，决算数大于预算数的原因本年无预算支出，决算支出数为2015年财政应返还额度。2010350事业运行：2016年决算数为27.06万元，完成预算100%。2010601财政行政运行：2016年决算数为25.11万元，完成预算100%。2010602一般行政管理事务：2016年决算数为0.4万元，完成预算100%。2010650事业运行：2016年决算数为14.83万元，完成预算100%。2011102一般行政管理事务：2016年决算数为0.04万元，决算数大于预算数的主要原因决算数为使用以前年度结余。2012399其他民族事务支出：2016年决算数为0.4万元，完成预算100%。2012901行政运行：2016年决算数为10.28万元，完成预算100%。2013101行政运行：2016年决算数为47.35万元，完成预算100%。</w:t>
      </w:r>
    </w:p>
    <w:p>
      <w:pPr>
        <w:spacing w:line="590" w:lineRule="exact"/>
        <w:ind w:firstLine="643"/>
      </w:pPr>
      <w:r>
        <w:rPr>
          <w:rStyle w:val="7"/>
          <w:rFonts w:hint="eastAsia"/>
        </w:rPr>
        <w:t>2.文化体育与传媒:</w:t>
      </w:r>
      <w:r>
        <w:rPr>
          <w:rFonts w:hint="eastAsia"/>
        </w:rPr>
        <w:t xml:space="preserve"> 2070102一般行政管理事务：2016年决算数为0.8万元，完成预算100%。2070109群众文化：2016年决算数为17.39万元，完成预算100%。2070499其他新闻出版广播影视支出：2016年决算数为8.74万元，完成预算100%。</w:t>
      </w:r>
    </w:p>
    <w:p>
      <w:pPr>
        <w:spacing w:line="590" w:lineRule="exact"/>
        <w:ind w:firstLine="645" w:firstLineChars="0"/>
      </w:pPr>
      <w:r>
        <w:rPr>
          <w:rStyle w:val="7"/>
          <w:rFonts w:hint="eastAsia"/>
        </w:rPr>
        <w:t>3.社会保障和就业:</w:t>
      </w:r>
      <w:r>
        <w:rPr>
          <w:rFonts w:hint="eastAsia"/>
        </w:rPr>
        <w:t xml:space="preserve"> 2080299其他民政管理事务支出：2016年决算数为31.08万元，完成预算100%。2080504未归口管理的行政单位离退休：2016年决算数为3.66万元，完成预算100%。2080505机关事业单位基本养老保险缴费支出：2016年决算数为63.46万元，完成预算100%。2080801死亡抚恤：22016年决算数为2.16万元，完成预算100%。2080802伤残抚恤：2016年决算数为6.79万元，完成预算100%。2081501中央自然灾害生活补助：2016年决算数为8万元，完成预算100%。2082102农村五保供养支出：2016年决算数为56.08万元，完成预算100%。</w:t>
      </w:r>
    </w:p>
    <w:p>
      <w:pPr>
        <w:spacing w:line="590" w:lineRule="exact"/>
        <w:ind w:firstLine="0" w:firstLineChars="0"/>
      </w:pPr>
      <w:r>
        <w:rPr>
          <w:rFonts w:hint="eastAsia"/>
        </w:rPr>
        <w:t>　　</w:t>
      </w:r>
      <w:r>
        <w:rPr>
          <w:rStyle w:val="7"/>
          <w:rFonts w:hint="eastAsia"/>
        </w:rPr>
        <w:t>4.医疗卫生与计划生育:</w:t>
      </w:r>
      <w:r>
        <w:rPr>
          <w:rFonts w:hint="eastAsia"/>
        </w:rPr>
        <w:t xml:space="preserve"> 2100799其他计划生育事务支出：2016年决算数为13.75万元，完成预算116%，决算数大于预算数的原因支出决算数包含了使用以前年度结余。</w:t>
      </w:r>
    </w:p>
    <w:p>
      <w:pPr>
        <w:spacing w:line="590" w:lineRule="exact"/>
        <w:ind w:firstLine="643"/>
        <w:rPr>
          <w:rStyle w:val="7"/>
          <w:b w:val="0"/>
          <w:bCs w:val="0"/>
        </w:rPr>
      </w:pPr>
      <w:r>
        <w:rPr>
          <w:rStyle w:val="7"/>
          <w:rFonts w:hint="eastAsia"/>
        </w:rPr>
        <w:t>5.城乡社区：</w:t>
      </w:r>
      <w:r>
        <w:rPr>
          <w:rFonts w:hint="eastAsia"/>
        </w:rPr>
        <w:t>2120201城乡社区规划与管理：2016年决算数为2.4万元，完成预算100%。2120501城乡社区环境卫生：2016年决算数为2.67万元，完成预算59.34%。决算数小于预算数的主要原因是项目未实施完。</w:t>
      </w:r>
    </w:p>
    <w:p>
      <w:pPr>
        <w:spacing w:line="590" w:lineRule="exact"/>
        <w:ind w:firstLine="643"/>
        <w:rPr>
          <w:rStyle w:val="7"/>
          <w:b w:val="0"/>
          <w:bCs w:val="0"/>
        </w:rPr>
      </w:pPr>
      <w:r>
        <w:rPr>
          <w:rStyle w:val="7"/>
          <w:rFonts w:hint="eastAsia"/>
        </w:rPr>
        <w:t>6.农林水：</w:t>
      </w:r>
      <w:r>
        <w:rPr>
          <w:rFonts w:hint="eastAsia"/>
        </w:rPr>
        <w:t>2130104事业运行：2016年决算数为62.22万元，完成预算100%。2130108病虫害控制：2016年决算数为7.2万元，完成预算100%。2130119防灾减灾：2016年决算数为7.92万元，决算数大于预算数的主要原因是决算数包含了在上年的财政应返还额度中得支出数。2130152对高校毕业生到基层任职补助：2016年决算数为2.76万元，决算数大于预算数的原因支出决算数包含了使用以前年度结余。2130204林业事业机构：2016年决算数为9.68万元，完成预算100%。2130321大中型水库移民后期扶持专项支出：2016年决算数为28.16万元，完成预算100%。2130701对村级一事一议的补助：2016年决算数为51.2万元，完成预算100%。2130705对村民委员会和村党支部的补助：2016年决算数为220.62万元，完成预算100%。2139901化解其他公益性乡村债务支出：2016年决算数为4.11万元，完成预算60.45%。决算数小于预算数的主要原因是债权人未报账。</w:t>
      </w:r>
    </w:p>
    <w:p>
      <w:pPr>
        <w:spacing w:line="590" w:lineRule="exact"/>
        <w:ind w:firstLine="643"/>
      </w:pPr>
      <w:r>
        <w:rPr>
          <w:rStyle w:val="7"/>
          <w:rFonts w:hint="eastAsia"/>
        </w:rPr>
        <w:t>7.道路交通运输：</w:t>
      </w:r>
      <w:r>
        <w:rPr>
          <w:rFonts w:hint="eastAsia"/>
        </w:rPr>
        <w:t>2140128救助打捞：2016年决算数为0.6万元，完成预算100%。</w:t>
      </w:r>
    </w:p>
    <w:p>
      <w:pPr>
        <w:spacing w:line="590" w:lineRule="exact"/>
        <w:ind w:firstLine="643"/>
        <w:rPr>
          <w:rStyle w:val="7"/>
          <w:b w:val="0"/>
          <w:bCs w:val="0"/>
        </w:rPr>
      </w:pPr>
      <w:r>
        <w:rPr>
          <w:rStyle w:val="7"/>
          <w:rFonts w:hint="eastAsia"/>
        </w:rPr>
        <w:t>8.资源勘探信息等：</w:t>
      </w:r>
      <w:r>
        <w:rPr>
          <w:rFonts w:hint="eastAsia"/>
        </w:rPr>
        <w:t>2150699其他安全生产监管支出：2016年决算数为1.05万元，完成预算21%。决算数小于预算数的主要原因是未形成支出。</w:t>
      </w:r>
    </w:p>
    <w:p>
      <w:pPr>
        <w:spacing w:line="590" w:lineRule="exact"/>
        <w:ind w:firstLine="643"/>
      </w:pPr>
      <w:r>
        <w:rPr>
          <w:rStyle w:val="7"/>
          <w:rFonts w:hint="eastAsia"/>
        </w:rPr>
        <w:t>9.住房保障：</w:t>
      </w:r>
      <w:r>
        <w:rPr>
          <w:rFonts w:hint="eastAsia"/>
        </w:rPr>
        <w:t xml:space="preserve">2210201住房公积金：2016年决算数为44.69万元，完成预算100%。  </w:t>
      </w:r>
    </w:p>
    <w:p>
      <w:pPr>
        <w:spacing w:line="590" w:lineRule="exact"/>
        <w:rPr>
          <w:rFonts w:ascii="黑体" w:hAnsi="黑体" w:eastAsia="黑体"/>
        </w:rPr>
      </w:pPr>
      <w:r>
        <w:rPr>
          <w:rFonts w:hint="eastAsia" w:ascii="黑体" w:hAnsi="黑体" w:eastAsia="黑体"/>
        </w:rPr>
        <w:t>六、一般公共预算财政拨款基本支出决算情况</w:t>
      </w:r>
    </w:p>
    <w:p>
      <w:pPr>
        <w:spacing w:line="590" w:lineRule="exact"/>
      </w:pPr>
      <w:r>
        <w:rPr>
          <w:rFonts w:hint="eastAsia"/>
        </w:rPr>
        <w:t>益民乡人民政府2016年一般公共预算财政拨款基本支出903.07万元，其中：</w:t>
      </w:r>
    </w:p>
    <w:p>
      <w:pPr>
        <w:spacing w:line="590" w:lineRule="exact"/>
      </w:pPr>
      <w:r>
        <w:rPr>
          <w:rFonts w:hint="eastAsia"/>
        </w:rPr>
        <w:t>人员经费449.76万元，主要包括：基本工资114.72万元、津贴补贴160.65万元、奖金59.08万元、绩效工资27.16万元、机关事业单位基本养老保险缴费63.46万元、其他社会保障缴费24.69万元、退休费3.67万元、抚恤金8.85万元、生活补助123.72万元、住房公积金44.69万元。</w:t>
      </w:r>
    </w:p>
    <w:p>
      <w:pPr>
        <w:spacing w:line="590" w:lineRule="exact"/>
        <w:ind w:firstLine="0" w:firstLineChars="0"/>
      </w:pPr>
      <w:r>
        <w:rPr>
          <w:rFonts w:hint="eastAsia"/>
        </w:rPr>
        <w:t>　　公用经费91.45万元，主要包括：办公费48.55万元、邮电费2.72万元、差旅费13.91万元、维修（护）费1.35万元、会议费3.81万元、培训费1.25万元、公务接待费0.31万元、工会经费5.63万元、福利费4.03万元、公务用车运行维护费2.76万元、其他交通费7.13万元。</w:t>
      </w:r>
    </w:p>
    <w:p>
      <w:pPr>
        <w:spacing w:line="590" w:lineRule="exact"/>
        <w:rPr>
          <w:rFonts w:ascii="黑体" w:hAnsi="黑体" w:eastAsia="黑体"/>
        </w:rPr>
      </w:pPr>
      <w:r>
        <w:rPr>
          <w:rFonts w:hint="eastAsia" w:ascii="黑体" w:hAnsi="黑体" w:eastAsia="黑体"/>
        </w:rPr>
        <w:t>七、“三公”经费财政拨款支出决算情况</w:t>
      </w:r>
    </w:p>
    <w:p>
      <w:pPr>
        <w:spacing w:line="590" w:lineRule="exact"/>
        <w:ind w:firstLine="643"/>
        <w:rPr>
          <w:rFonts w:ascii="方正楷体简体" w:eastAsia="方正楷体简体"/>
          <w:b/>
        </w:rPr>
      </w:pPr>
      <w:r>
        <w:rPr>
          <w:rFonts w:hint="eastAsia" w:ascii="方正楷体简体" w:eastAsia="方正楷体简体"/>
          <w:b/>
        </w:rPr>
        <w:t>（一）“三公”经费财政拨款支出决算总体情况说明</w:t>
      </w:r>
    </w:p>
    <w:p>
      <w:pPr>
        <w:spacing w:line="590" w:lineRule="exact"/>
      </w:pPr>
      <w:r>
        <w:rPr>
          <w:rFonts w:hint="eastAsia"/>
        </w:rPr>
        <w:t>益民乡人民政府2016年度“三公”经费财政拨款支出决算为3.07万元，完成预算100%，其中：因公出国（境）费支出决算为0万元，完成预算100%；公务用车购置及运行维护费支出决算为2.76万元，完成预算100%；公务接待费支出决算为0.31万元，完成预算100%。</w:t>
      </w:r>
    </w:p>
    <w:p>
      <w:pPr>
        <w:spacing w:line="590" w:lineRule="exact"/>
      </w:pPr>
      <w:r>
        <w:rPr>
          <w:rFonts w:hint="eastAsia"/>
        </w:rPr>
        <w:t>2016年度“三公”经费财政拨款支出决算数比2015年减少3.52万元，下降101.47%，其中：公务用车购置及运行维护费支出决算减少3.56万元，下降129%；公务接待费支出决算增加0.04万元，增长12.91%。增减变动的主要原因公务用车减少，公务接待人次增加。</w:t>
      </w:r>
    </w:p>
    <w:p>
      <w:pPr>
        <w:spacing w:line="590" w:lineRule="exact"/>
        <w:ind w:firstLine="643"/>
        <w:rPr>
          <w:rFonts w:ascii="方正楷体简体" w:eastAsia="方正楷体简体"/>
          <w:b/>
        </w:rPr>
      </w:pPr>
      <w:r>
        <w:rPr>
          <w:rFonts w:hint="eastAsia" w:ascii="方正楷体简体" w:eastAsia="方正楷体简体"/>
          <w:b/>
        </w:rPr>
        <w:t>（二）“三公”经费财政拨款支出决算具体情况说明</w:t>
      </w:r>
    </w:p>
    <w:p>
      <w:pPr>
        <w:spacing w:line="590" w:lineRule="exact"/>
      </w:pPr>
      <w:r>
        <w:rPr>
          <w:rFonts w:hint="eastAsia"/>
        </w:rPr>
        <w:t>2016年度“三公”经费财政拨款支出决算中，公务用车购置及运行维护费支出决算2.76万元，占89.91%；公务接待费支出决算0.31万元，占10.09%。具体情况如下：</w:t>
      </w:r>
    </w:p>
    <w:p>
      <w:pPr>
        <w:spacing w:line="240" w:lineRule="auto"/>
      </w:pPr>
      <w:r>
        <w:rPr>
          <w:rFonts w:hint="eastAsia"/>
        </w:rPr>
        <w:drawing>
          <wp:inline distT="0" distB="0" distL="0" distR="0">
            <wp:extent cx="4124325" cy="266700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
        <w:rPr>
          <w:rFonts w:hint="eastAsia"/>
        </w:rPr>
        <w:t>1.</w:t>
      </w:r>
      <w:r>
        <w:rPr>
          <w:rFonts w:hint="eastAsia"/>
          <w:b/>
        </w:rPr>
        <w:t>因公出国（境）经费</w:t>
      </w:r>
    </w:p>
    <w:p>
      <w:r>
        <w:t>201</w:t>
      </w:r>
      <w:r>
        <w:rPr>
          <w:rFonts w:hint="eastAsia"/>
        </w:rPr>
        <w:t>6年因公出国（境）费0万元。全年安排因公出国（境）团组0次，出国（境）0人。</w:t>
      </w:r>
    </w:p>
    <w:p>
      <w:pPr>
        <w:ind w:firstLine="643"/>
        <w:rPr>
          <w:b/>
        </w:rPr>
      </w:pPr>
      <w:r>
        <w:rPr>
          <w:rFonts w:hint="eastAsia"/>
          <w:b/>
        </w:rPr>
        <w:t>2.公务用车购置及运行维护费</w:t>
      </w:r>
    </w:p>
    <w:p>
      <w:r>
        <w:t>201</w:t>
      </w:r>
      <w:r>
        <w:rPr>
          <w:rFonts w:hint="eastAsia"/>
        </w:rPr>
        <w:t>6年公务用车购置及运行维护费2.76万元,其中：</w:t>
      </w:r>
    </w:p>
    <w:p>
      <w:r>
        <w:rPr>
          <w:rFonts w:hint="eastAsia"/>
        </w:rPr>
        <w:t>公务用车购置支出0万元。截至2016年12月底，单位共有公务用车3辆，其中：轿车1辆、越野车1辆，其他车1辆。</w:t>
      </w:r>
    </w:p>
    <w:p>
      <w:r>
        <w:rPr>
          <w:rFonts w:hint="eastAsia"/>
        </w:rPr>
        <w:t>公务用车运行维护费支出2.76万元。主要用于下村开展工作等所需的公务用车燃料费、维修费、保险费等支出。</w:t>
      </w:r>
    </w:p>
    <w:p>
      <w:pPr>
        <w:ind w:firstLine="643"/>
        <w:rPr>
          <w:b/>
        </w:rPr>
      </w:pPr>
      <w:r>
        <w:rPr>
          <w:rFonts w:hint="eastAsia"/>
          <w:b/>
        </w:rPr>
        <w:t>3.公务接待费</w:t>
      </w:r>
    </w:p>
    <w:p>
      <w:r>
        <w:t>201</w:t>
      </w:r>
      <w:r>
        <w:rPr>
          <w:rFonts w:hint="eastAsia"/>
        </w:rPr>
        <w:t>6年公务接待费0.31万元。主要用于执行公务、开展业务活动开支用餐费。国内公务接待10批次，210人，共计支出0.31万元，具体内容包括：验收2015年省级新村基础设施建设就餐费600元；血清采样就餐费400元；回龙村2016年新村建设就餐费300元；调查赖华毁林案件就餐费150元；土地确权工作督查与调查就餐费300元；审计检查就餐费300元；监督检查2014-2015年度实施水利工程就餐费300元；维修乡政府监控设备就餐费120元；调查处理信访案件就餐费200元；</w:t>
      </w:r>
      <w:bookmarkStart w:id="0" w:name="_GoBack"/>
      <w:bookmarkEnd w:id="0"/>
      <w:r>
        <w:rPr>
          <w:rFonts w:hint="eastAsia"/>
        </w:rPr>
        <w:t>企业生产地条钢检查就餐费260元。</w:t>
      </w:r>
    </w:p>
    <w:p>
      <w:pPr>
        <w:spacing w:line="590" w:lineRule="exact"/>
        <w:rPr>
          <w:rFonts w:ascii="黑体" w:hAnsi="黑体" w:eastAsia="黑体"/>
        </w:rPr>
      </w:pPr>
      <w:r>
        <w:rPr>
          <w:rFonts w:hint="eastAsia" w:ascii="黑体" w:hAnsi="黑体" w:eastAsia="黑体"/>
        </w:rPr>
        <w:t>八、政府性基金预算财政拨款支出决算情况</w:t>
      </w:r>
    </w:p>
    <w:p>
      <w:r>
        <w:rPr>
          <w:rFonts w:hint="eastAsia"/>
        </w:rPr>
        <w:t>益民乡人民政府2016年使用政府性基金预算财政拨款支出479.93万元。</w:t>
      </w:r>
    </w:p>
    <w:p>
      <w:pPr>
        <w:spacing w:line="590" w:lineRule="exact"/>
        <w:rPr>
          <w:rFonts w:ascii="黑体" w:hAnsi="黑体" w:eastAsia="黑体"/>
        </w:rPr>
      </w:pPr>
      <w:r>
        <w:rPr>
          <w:rFonts w:hint="eastAsia" w:ascii="黑体" w:hAnsi="黑体" w:eastAsia="黑体"/>
        </w:rPr>
        <w:t>九、其他重要事项的情况说明</w:t>
      </w:r>
    </w:p>
    <w:p>
      <w:pPr>
        <w:spacing w:line="590" w:lineRule="exact"/>
        <w:ind w:firstLine="643"/>
        <w:rPr>
          <w:rFonts w:ascii="方正楷体简体" w:eastAsia="方正楷体简体"/>
          <w:b/>
        </w:rPr>
      </w:pPr>
      <w:r>
        <w:rPr>
          <w:rFonts w:hint="eastAsia" w:ascii="方正楷体简体" w:eastAsia="方正楷体简体"/>
          <w:b/>
        </w:rPr>
        <w:t>（一）机关运行经费支出情况</w:t>
      </w:r>
    </w:p>
    <w:p>
      <w:r>
        <w:rPr>
          <w:rFonts w:hint="eastAsia"/>
        </w:rPr>
        <w:t>2016年度，益民乡人民政府机关运行经费支出91.46万元，比2015年增加41.88万元，增长84.47%。</w:t>
      </w:r>
    </w:p>
    <w:p>
      <w:pPr>
        <w:spacing w:line="590" w:lineRule="exact"/>
        <w:ind w:firstLine="643"/>
        <w:rPr>
          <w:rFonts w:ascii="方正楷体简体" w:eastAsia="方正楷体简体"/>
          <w:b/>
        </w:rPr>
      </w:pPr>
      <w:r>
        <w:rPr>
          <w:rFonts w:hint="eastAsia" w:ascii="方正楷体简体" w:eastAsia="方正楷体简体"/>
          <w:b/>
        </w:rPr>
        <w:t>（二）政府采购支出情况</w:t>
      </w:r>
    </w:p>
    <w:p>
      <w:r>
        <w:rPr>
          <w:rFonts w:hint="eastAsia"/>
        </w:rPr>
        <w:t>2016年度，益民乡人民政府政府采购支出总额0元，其中：政府采购货物支出0万元、政府采购工程支出0万元、政府采购服务支出0万元。</w:t>
      </w:r>
    </w:p>
    <w:p>
      <w:pPr>
        <w:spacing w:line="590" w:lineRule="exact"/>
        <w:ind w:firstLine="643"/>
        <w:rPr>
          <w:rFonts w:ascii="方正楷体简体" w:eastAsia="方正楷体简体"/>
          <w:b/>
        </w:rPr>
      </w:pPr>
      <w:r>
        <w:rPr>
          <w:rFonts w:hint="eastAsia" w:ascii="方正楷体简体" w:eastAsia="方正楷体简体"/>
          <w:b/>
        </w:rPr>
        <w:t>（三）国有资产占有使用情况</w:t>
      </w:r>
    </w:p>
    <w:p>
      <w:r>
        <w:rPr>
          <w:rFonts w:hint="eastAsia"/>
        </w:rPr>
        <w:t>截至2016年12月31日，益民乡人民政府公有车辆3辆，其中：3一般公务用车3辆；单价50万元以上通用设备0台（套），单价100万元以上专用设备0台（套）。</w:t>
      </w:r>
    </w:p>
    <w:p>
      <w:pPr>
        <w:spacing w:line="590" w:lineRule="exact"/>
        <w:ind w:firstLine="643"/>
        <w:rPr>
          <w:rFonts w:ascii="方正楷体简体" w:eastAsia="方正楷体简体"/>
          <w:b/>
        </w:rPr>
      </w:pPr>
      <w:r>
        <w:rPr>
          <w:rFonts w:hint="eastAsia" w:ascii="方正楷体简体" w:eastAsia="方正楷体简体"/>
          <w:b/>
        </w:rPr>
        <w:t>（四）预算绩效情况</w:t>
      </w:r>
    </w:p>
    <w:p>
      <w:r>
        <w:rPr>
          <w:rFonts w:hint="eastAsia"/>
        </w:rPr>
        <w:t>按照预算绩效管理要求，本部门对2016年一般公共预算项目支出开展了绩效目标管理，共编制绩效目标2个，涉及财政资金121.2万元，覆盖率达到12%。</w:t>
      </w:r>
    </w:p>
    <w:p>
      <w:pPr>
        <w:spacing w:line="590" w:lineRule="exact"/>
        <w:rPr>
          <w:rFonts w:ascii="黑体" w:hAnsi="黑体" w:eastAsia="黑体"/>
        </w:rPr>
      </w:pPr>
      <w:r>
        <w:rPr>
          <w:rFonts w:hint="eastAsia" w:ascii="黑体" w:hAnsi="黑体" w:eastAsia="黑体"/>
        </w:rPr>
        <w:t>十、名词解释</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1.财政拨款收入：</w:t>
      </w:r>
      <w:r>
        <w:rPr>
          <w:rFonts w:hint="eastAsia" w:ascii="仿宋_GB2312" w:eastAsia="仿宋_GB2312"/>
          <w:sz w:val="32"/>
          <w:szCs w:val="32"/>
        </w:rPr>
        <w:t xml:space="preserve">指省级财政当年拨付的资金。 </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2.事业收入：</w:t>
      </w:r>
      <w:r>
        <w:rPr>
          <w:rFonts w:hint="eastAsia" w:ascii="仿宋_GB2312" w:eastAsia="仿宋_GB2312"/>
          <w:sz w:val="32"/>
          <w:szCs w:val="32"/>
        </w:rPr>
        <w:t>指事业单位开展专业业务活动及辅助活动所取得的收入。</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3.经营收入：</w:t>
      </w:r>
      <w:r>
        <w:rPr>
          <w:rFonts w:hint="eastAsia" w:ascii="仿宋_GB2312" w:eastAsia="仿宋_GB2312"/>
          <w:sz w:val="32"/>
          <w:szCs w:val="32"/>
        </w:rPr>
        <w:t>指事业单位在专业业务活动及其辅助活动之外开展非独立核算经营活动取得的收入。</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4.其他收入：</w:t>
      </w:r>
      <w:r>
        <w:rPr>
          <w:rFonts w:hint="eastAsia" w:ascii="仿宋_GB2312" w:eastAsia="仿宋_GB2312"/>
          <w:sz w:val="32"/>
          <w:szCs w:val="32"/>
        </w:rPr>
        <w:t>指除上述“财政拨款收入”、“事业收入”、“经营收入”等以外的收入。</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5.用事业基金弥补收支差额：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6.年初结转和结余：</w:t>
      </w:r>
      <w:r>
        <w:rPr>
          <w:rFonts w:hint="eastAsia" w:ascii="仿宋_GB2312" w:eastAsia="仿宋_GB2312"/>
          <w:sz w:val="32"/>
          <w:szCs w:val="32"/>
        </w:rPr>
        <w:t xml:space="preserve">指以前年度尚未完成、结转到本年按有关规定继续使用的资金。 </w:t>
      </w:r>
    </w:p>
    <w:p>
      <w:pPr>
        <w:ind w:firstLine="643"/>
      </w:pPr>
      <w:r>
        <w:rPr>
          <w:rFonts w:hint="eastAsia"/>
          <w:b/>
        </w:rPr>
        <w:t>8.一般公共服务：</w:t>
      </w:r>
      <w:r>
        <w:rPr>
          <w:rFonts w:hint="eastAsia"/>
        </w:rPr>
        <w:t>指2010101、2010104、2010301、2010302、2010308、2010350、2010601、2010602、2010650、2011102、2012399、2012901、2013101。</w:t>
      </w:r>
    </w:p>
    <w:p>
      <w:pPr>
        <w:ind w:firstLine="643"/>
      </w:pPr>
      <w:r>
        <w:rPr>
          <w:rFonts w:hint="eastAsia"/>
          <w:b/>
        </w:rPr>
        <w:t>9.文化体育与传媒：</w:t>
      </w:r>
      <w:r>
        <w:rPr>
          <w:rFonts w:hint="eastAsia"/>
        </w:rPr>
        <w:t>指2070102、2070109、2070499。</w:t>
      </w:r>
    </w:p>
    <w:p>
      <w:pPr>
        <w:ind w:firstLine="643"/>
      </w:pPr>
      <w:r>
        <w:rPr>
          <w:rFonts w:hint="eastAsia"/>
          <w:b/>
        </w:rPr>
        <w:t>10.社会保障和就业：</w:t>
      </w:r>
      <w:r>
        <w:rPr>
          <w:rFonts w:hint="eastAsia"/>
        </w:rPr>
        <w:t>指2080299、2080504、2080505、2080801、2080802、2081501、2082102、。</w:t>
      </w:r>
    </w:p>
    <w:p>
      <w:pPr>
        <w:ind w:firstLine="643"/>
      </w:pPr>
      <w:r>
        <w:rPr>
          <w:rFonts w:hint="eastAsia"/>
          <w:b/>
        </w:rPr>
        <w:t>11.医疗卫生与计划生育：</w:t>
      </w:r>
      <w:r>
        <w:rPr>
          <w:rFonts w:hint="eastAsia"/>
          <w:bCs/>
        </w:rPr>
        <w:t>指</w:t>
      </w:r>
      <w:r>
        <w:rPr>
          <w:rFonts w:hint="eastAsia"/>
        </w:rPr>
        <w:t>2100799。</w:t>
      </w:r>
    </w:p>
    <w:p>
      <w:pPr>
        <w:ind w:firstLine="643"/>
      </w:pPr>
      <w:r>
        <w:rPr>
          <w:rFonts w:hint="eastAsia"/>
          <w:b/>
        </w:rPr>
        <w:t>12.城乡社区：</w:t>
      </w:r>
      <w:r>
        <w:rPr>
          <w:rFonts w:hint="eastAsia"/>
        </w:rPr>
        <w:t>指2120201、2120501、2120801、2120805、、2121201。</w:t>
      </w:r>
    </w:p>
    <w:p>
      <w:pPr>
        <w:ind w:firstLine="643"/>
      </w:pPr>
      <w:r>
        <w:rPr>
          <w:rFonts w:hint="eastAsia"/>
          <w:b/>
        </w:rPr>
        <w:t>13.农林水：</w:t>
      </w:r>
      <w:r>
        <w:rPr>
          <w:rFonts w:hint="eastAsia"/>
        </w:rPr>
        <w:t>2130104、2130108、2130119、2130152、2130204、2130321、2130701、2130705、2139901。</w:t>
      </w:r>
    </w:p>
    <w:p>
      <w:pPr>
        <w:ind w:firstLine="643"/>
      </w:pPr>
      <w:r>
        <w:rPr>
          <w:rFonts w:hint="eastAsia"/>
          <w:b/>
        </w:rPr>
        <w:t>14.道路交通运输:</w:t>
      </w:r>
      <w:r>
        <w:rPr>
          <w:rFonts w:hint="eastAsia"/>
        </w:rPr>
        <w:t>指2140128。</w:t>
      </w:r>
    </w:p>
    <w:p>
      <w:pPr>
        <w:ind w:firstLine="643"/>
      </w:pPr>
      <w:r>
        <w:rPr>
          <w:rFonts w:hint="eastAsia"/>
          <w:b/>
        </w:rPr>
        <w:t>15.资源勘探信息等：</w:t>
      </w:r>
      <w:r>
        <w:rPr>
          <w:rFonts w:hint="eastAsia"/>
        </w:rPr>
        <w:t>2150605、2150699。</w:t>
      </w:r>
    </w:p>
    <w:p>
      <w:pPr>
        <w:ind w:firstLine="643"/>
      </w:pPr>
      <w:r>
        <w:rPr>
          <w:rFonts w:hint="eastAsia"/>
          <w:b/>
        </w:rPr>
        <w:t>16.住房保障：</w:t>
      </w:r>
      <w:r>
        <w:rPr>
          <w:rFonts w:hint="eastAsia"/>
        </w:rPr>
        <w:t>22120201。</w:t>
      </w:r>
    </w:p>
    <w:p>
      <w:r>
        <w:rPr>
          <w:rFonts w:hint="eastAsia"/>
        </w:rPr>
        <w:t>（解释本部门决算报表中全部功能分类科目，至项级，参照《2016年政府收支分类科目》）</w:t>
      </w:r>
    </w:p>
    <w:p>
      <w:pPr>
        <w:ind w:firstLine="643"/>
      </w:pPr>
      <w:r>
        <w:rPr>
          <w:rFonts w:hint="eastAsia"/>
          <w:b/>
        </w:rPr>
        <w:t>17.结余分配：</w:t>
      </w:r>
      <w:r>
        <w:rPr>
          <w:rFonts w:hint="eastAsia"/>
        </w:rPr>
        <w:t>指事业单位按规定提取的职工福利基金、事业基金和缴纳的所得税，以及建设单位按规定应交回的基本建设竣工项目结余资金。</w:t>
      </w:r>
    </w:p>
    <w:p>
      <w:pPr>
        <w:ind w:firstLine="643"/>
      </w:pPr>
      <w:r>
        <w:rPr>
          <w:rFonts w:hint="eastAsia"/>
          <w:b/>
        </w:rPr>
        <w:t>18.年末结转和结余：</w:t>
      </w:r>
      <w:r>
        <w:rPr>
          <w:rFonts w:hint="eastAsia"/>
        </w:rPr>
        <w:t>指本年度或以前年度预算安排、因客观条件发生变化无法按原计划实施，需延迟到以后年度按有关规定继续使用的资金。</w:t>
      </w:r>
    </w:p>
    <w:p>
      <w:pPr>
        <w:ind w:firstLine="643"/>
      </w:pPr>
      <w:r>
        <w:rPr>
          <w:rFonts w:hint="eastAsia"/>
          <w:b/>
        </w:rPr>
        <w:t>19.基本支出：</w:t>
      </w:r>
      <w:r>
        <w:rPr>
          <w:rFonts w:hint="eastAsia"/>
        </w:rPr>
        <w:t>指为保障机构正常运转、完成日常工作任务而发生的人员支出和公用支出。</w:t>
      </w:r>
    </w:p>
    <w:p>
      <w:pPr>
        <w:ind w:firstLine="643"/>
        <w:rPr>
          <w:b/>
        </w:rPr>
      </w:pPr>
      <w:r>
        <w:rPr>
          <w:rFonts w:hint="eastAsia"/>
          <w:b/>
        </w:rPr>
        <w:t>20.项目支出：</w:t>
      </w:r>
      <w:r>
        <w:rPr>
          <w:rFonts w:hint="eastAsia"/>
        </w:rPr>
        <w:t xml:space="preserve">指在基本支出之外为完成特定行政任务和事业发展目标所发生的支出。 </w:t>
      </w:r>
    </w:p>
    <w:p>
      <w:pPr>
        <w:ind w:firstLine="643"/>
      </w:pPr>
      <w:r>
        <w:rPr>
          <w:rFonts w:hint="eastAsia"/>
          <w:b/>
        </w:rPr>
        <w:t>21.经营支出：</w:t>
      </w:r>
      <w:r>
        <w:rPr>
          <w:rFonts w:hint="eastAsia"/>
        </w:rPr>
        <w:t>指事业单位在专业业务活动及其辅助活动之外开展非独立核算经营活动发生的支出。</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22.“三公”经费：</w:t>
      </w:r>
      <w:r>
        <w:rPr>
          <w:rFonts w:hint="eastAsia" w:ascii="仿宋_GB2312" w:eastAsia="仿宋_GB2312"/>
          <w:sz w:val="32"/>
          <w:szCs w:val="32"/>
        </w:rPr>
        <w:t>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2"/>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kern w:val="2"/>
          <w:sz w:val="32"/>
          <w:szCs w:val="32"/>
        </w:rPr>
        <w:t>23.机关运行经费：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fldChar w:fldCharType="begin"/>
    </w:r>
    <w:r>
      <w:instrText xml:space="preserve"> PAGE   \* MERGEFORMAT </w:instrText>
    </w:r>
    <w:r>
      <w:fldChar w:fldCharType="separate"/>
    </w:r>
    <w:r>
      <w:rPr>
        <w:lang w:val="zh-CN"/>
      </w:rPr>
      <w:t>4</w:t>
    </w:r>
    <w:r>
      <w:rPr>
        <w:lang w:val="zh-CN"/>
      </w:rP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3CF5"/>
    <w:multiLevelType w:val="multilevel"/>
    <w:tmpl w:val="236D3CF5"/>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4023"/>
    <w:rsid w:val="000A5CC0"/>
    <w:rsid w:val="000B047F"/>
    <w:rsid w:val="000B5A48"/>
    <w:rsid w:val="000C3CA6"/>
    <w:rsid w:val="000D5782"/>
    <w:rsid w:val="0014729F"/>
    <w:rsid w:val="001603C6"/>
    <w:rsid w:val="00191536"/>
    <w:rsid w:val="0019260A"/>
    <w:rsid w:val="00260C38"/>
    <w:rsid w:val="00261BFB"/>
    <w:rsid w:val="00277866"/>
    <w:rsid w:val="0028469D"/>
    <w:rsid w:val="002C1D07"/>
    <w:rsid w:val="002D2CB9"/>
    <w:rsid w:val="002F290A"/>
    <w:rsid w:val="00312006"/>
    <w:rsid w:val="003225A3"/>
    <w:rsid w:val="00322DC3"/>
    <w:rsid w:val="003266F8"/>
    <w:rsid w:val="00335A7A"/>
    <w:rsid w:val="0037013F"/>
    <w:rsid w:val="003A484F"/>
    <w:rsid w:val="003B0C1B"/>
    <w:rsid w:val="003F4E99"/>
    <w:rsid w:val="00415951"/>
    <w:rsid w:val="00472E64"/>
    <w:rsid w:val="00476542"/>
    <w:rsid w:val="004A4902"/>
    <w:rsid w:val="005503BA"/>
    <w:rsid w:val="0058486E"/>
    <w:rsid w:val="005A5D58"/>
    <w:rsid w:val="005B6F42"/>
    <w:rsid w:val="005D5CED"/>
    <w:rsid w:val="00606A2D"/>
    <w:rsid w:val="00607E6C"/>
    <w:rsid w:val="00615DF5"/>
    <w:rsid w:val="00636E6B"/>
    <w:rsid w:val="00661EAB"/>
    <w:rsid w:val="0066343B"/>
    <w:rsid w:val="00672BCF"/>
    <w:rsid w:val="0068457C"/>
    <w:rsid w:val="00715AFC"/>
    <w:rsid w:val="0076182A"/>
    <w:rsid w:val="00767B7E"/>
    <w:rsid w:val="00776BEB"/>
    <w:rsid w:val="007770C3"/>
    <w:rsid w:val="007B0CE7"/>
    <w:rsid w:val="007C1035"/>
    <w:rsid w:val="007D07EB"/>
    <w:rsid w:val="00800112"/>
    <w:rsid w:val="00871F71"/>
    <w:rsid w:val="008A28C7"/>
    <w:rsid w:val="008D55E1"/>
    <w:rsid w:val="009211DB"/>
    <w:rsid w:val="00951248"/>
    <w:rsid w:val="0095152F"/>
    <w:rsid w:val="00971FFC"/>
    <w:rsid w:val="009B4EAE"/>
    <w:rsid w:val="009B7573"/>
    <w:rsid w:val="009D3447"/>
    <w:rsid w:val="009F5491"/>
    <w:rsid w:val="00A073F9"/>
    <w:rsid w:val="00A307CD"/>
    <w:rsid w:val="00A30C7F"/>
    <w:rsid w:val="00A41B67"/>
    <w:rsid w:val="00A4366B"/>
    <w:rsid w:val="00A728AD"/>
    <w:rsid w:val="00AE11ED"/>
    <w:rsid w:val="00B03C9D"/>
    <w:rsid w:val="00B10517"/>
    <w:rsid w:val="00B30420"/>
    <w:rsid w:val="00B310B9"/>
    <w:rsid w:val="00B43A1E"/>
    <w:rsid w:val="00BA49E6"/>
    <w:rsid w:val="00BD5017"/>
    <w:rsid w:val="00BD76BE"/>
    <w:rsid w:val="00C03E31"/>
    <w:rsid w:val="00C26458"/>
    <w:rsid w:val="00C35554"/>
    <w:rsid w:val="00C4376D"/>
    <w:rsid w:val="00C533CC"/>
    <w:rsid w:val="00C62B85"/>
    <w:rsid w:val="00CB52E6"/>
    <w:rsid w:val="00CC09B6"/>
    <w:rsid w:val="00CE7B61"/>
    <w:rsid w:val="00D10C20"/>
    <w:rsid w:val="00D453C8"/>
    <w:rsid w:val="00D53750"/>
    <w:rsid w:val="00DC410D"/>
    <w:rsid w:val="00DC58EE"/>
    <w:rsid w:val="00E134E1"/>
    <w:rsid w:val="00E13779"/>
    <w:rsid w:val="00E34066"/>
    <w:rsid w:val="00E35E33"/>
    <w:rsid w:val="00E80F7A"/>
    <w:rsid w:val="00E82267"/>
    <w:rsid w:val="00E92AF0"/>
    <w:rsid w:val="00E948BF"/>
    <w:rsid w:val="00ED1B63"/>
    <w:rsid w:val="00ED4904"/>
    <w:rsid w:val="00EF4C34"/>
    <w:rsid w:val="00F02E4B"/>
    <w:rsid w:val="00F1361C"/>
    <w:rsid w:val="00F160C7"/>
    <w:rsid w:val="00F22D62"/>
    <w:rsid w:val="00F360C5"/>
    <w:rsid w:val="00F6537D"/>
    <w:rsid w:val="00FF1E02"/>
    <w:rsid w:val="181B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仿宋_GB2312" w:hAnsi="Times New Roman" w:eastAsia="仿宋_GB2312" w:cs="Times New Roman"/>
      <w:color w:val="000000"/>
      <w:kern w:val="2"/>
      <w:sz w:val="32"/>
      <w:szCs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uiPriority w:val="0"/>
    <w:pPr>
      <w:spacing w:beforeLines="30"/>
    </w:pPr>
    <w:rPr>
      <w:kern w:val="0"/>
      <w:sz w:val="30"/>
    </w:rPr>
  </w:style>
  <w:style w:type="paragraph" w:styleId="3">
    <w:name w:val="Balloon Text"/>
    <w:basedOn w:val="1"/>
    <w:link w:val="13"/>
    <w:unhideWhenUsed/>
    <w:uiPriority w:val="99"/>
    <w:pPr>
      <w:spacing w:line="240" w:lineRule="auto"/>
    </w:pPr>
    <w:rPr>
      <w:sz w:val="18"/>
      <w:szCs w:val="18"/>
    </w:rPr>
  </w:style>
  <w:style w:type="paragraph" w:styleId="4">
    <w:name w:val="footer"/>
    <w:basedOn w:val="1"/>
    <w:link w:val="10"/>
    <w:unhideWhenUsed/>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Strong"/>
    <w:qFormat/>
    <w:uiPriority w:val="22"/>
    <w:rPr>
      <w:b/>
      <w:bCs/>
    </w:rPr>
  </w:style>
  <w:style w:type="character" w:customStyle="1" w:styleId="9">
    <w:name w:val="页眉 Char"/>
    <w:link w:val="5"/>
    <w:semiHidden/>
    <w:qFormat/>
    <w:uiPriority w:val="99"/>
    <w:rPr>
      <w:sz w:val="18"/>
      <w:szCs w:val="18"/>
    </w:rPr>
  </w:style>
  <w:style w:type="character" w:customStyle="1" w:styleId="10">
    <w:name w:val="页脚 Char"/>
    <w:link w:val="4"/>
    <w:uiPriority w:val="99"/>
    <w:rPr>
      <w:sz w:val="18"/>
      <w:szCs w:val="18"/>
    </w:rPr>
  </w:style>
  <w:style w:type="character" w:customStyle="1" w:styleId="11">
    <w:name w:val="正文文本 Char"/>
    <w:link w:val="2"/>
    <w:uiPriority w:val="0"/>
    <w:rPr>
      <w:rFonts w:ascii="仿宋_GB2312" w:hAnsi="Times New Roman" w:eastAsia="仿宋_GB2312" w:cs="Times New Roman"/>
      <w:sz w:val="30"/>
      <w:szCs w:val="24"/>
    </w:rPr>
  </w:style>
  <w:style w:type="paragraph" w:customStyle="1" w:styleId="12">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3">
    <w:name w:val="批注框文本 Char"/>
    <w:basedOn w:val="6"/>
    <w:link w:val="3"/>
    <w:semiHidden/>
    <w:uiPriority w:val="99"/>
    <w:rPr>
      <w:rFonts w:ascii="仿宋_GB2312" w:hAnsi="Times New Roman" w:eastAsia="仿宋_GB2312"/>
      <w:color w:val="000000"/>
      <w:kern w:val="2"/>
      <w:sz w:val="18"/>
      <w:szCs w:val="18"/>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8023952095813"/>
          <c:y val="0.103004291845494"/>
          <c:w val="0.559880239520958"/>
          <c:h val="0.802575107296137"/>
        </c:manualLayout>
      </c:layout>
      <c:pieChart>
        <c:varyColors val="1"/>
        <c:ser>
          <c:idx val="0"/>
          <c:order val="0"/>
          <c:tx>
            <c:strRef>
              <c:f>Sheet1!$A$2</c:f>
              <c:strCache>
                <c:ptCount val="1"/>
                <c:pt idx="0">
                  <c:v>2016年支出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47</c:v>
                </c:pt>
                <c:pt idx="1">
                  <c:v>53</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754491017964077"/>
          <c:y val="0.416309012875536"/>
          <c:w val="0.233532934131737"/>
          <c:h val="0.167381974248927"/>
        </c:manualLayout>
      </c:layout>
      <c:overlay val="0"/>
      <c:spPr>
        <a:noFill/>
        <a:ln w="3175">
          <a:solidFill>
            <a:srgbClr val="000000"/>
          </a:solidFill>
          <a:prstDash val="solid"/>
        </a:ln>
      </c:spPr>
      <c:txPr>
        <a:bodyPr rot="0" spcFirstLastPara="0" vertOverflow="ellipsis" vert="horz" wrap="square" anchor="ctr" anchorCtr="1"/>
        <a:lstStyle/>
        <a:p>
          <a:pPr>
            <a:defRPr lang="zh-CN" sz="98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0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Sheet1!$A$2:$A$3</c:f>
              <c:strCache>
                <c:ptCount val="2"/>
                <c:pt idx="0">
                  <c:v>2016年</c:v>
                </c:pt>
                <c:pt idx="1">
                  <c:v>2015年</c:v>
                </c:pt>
              </c:strCache>
            </c:strRef>
          </c:cat>
          <c:val>
            <c:numRef>
              <c:f>Sheet1!$B$2:$B$3</c:f>
              <c:numCache>
                <c:formatCode>General</c:formatCode>
                <c:ptCount val="2"/>
                <c:pt idx="0">
                  <c:v>1038</c:v>
                </c:pt>
                <c:pt idx="1">
                  <c:v>1008.35</c:v>
                </c:pt>
              </c:numCache>
            </c:numRef>
          </c:val>
        </c:ser>
        <c:ser>
          <c:idx val="1"/>
          <c:order val="1"/>
          <c:tx>
            <c:strRef>
              <c:f>Sheet1!$C$1</c:f>
              <c:strCache>
                <c:ptCount val="1"/>
                <c:pt idx="0">
                  <c:v>财政拨款支出</c:v>
                </c:pt>
              </c:strCache>
            </c:strRef>
          </c:tx>
          <c:invertIfNegative val="0"/>
          <c:dLbls>
            <c:delete val="1"/>
          </c:dLbls>
          <c:cat>
            <c:strRef>
              <c:f>Sheet1!$A$2:$A$3</c:f>
              <c:strCache>
                <c:ptCount val="2"/>
                <c:pt idx="0">
                  <c:v>2016年</c:v>
                </c:pt>
                <c:pt idx="1">
                  <c:v>2015年</c:v>
                </c:pt>
              </c:strCache>
            </c:strRef>
          </c:cat>
          <c:val>
            <c:numRef>
              <c:f>Sheet1!$C$2:$C$3</c:f>
              <c:numCache>
                <c:formatCode>General</c:formatCode>
                <c:ptCount val="2"/>
                <c:pt idx="0">
                  <c:v>1062.36</c:v>
                </c:pt>
                <c:pt idx="1">
                  <c:v>1028.56</c:v>
                </c:pt>
              </c:numCache>
            </c:numRef>
          </c:val>
        </c:ser>
        <c:dLbls>
          <c:showLegendKey val="0"/>
          <c:showVal val="0"/>
          <c:showCatName val="0"/>
          <c:showSerName val="0"/>
          <c:showPercent val="0"/>
          <c:showBubbleSize val="0"/>
        </c:dLbls>
        <c:gapWidth val="150"/>
        <c:axId val="183398784"/>
        <c:axId val="183400320"/>
      </c:barChart>
      <c:catAx>
        <c:axId val="183398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3400320"/>
        <c:crosses val="autoZero"/>
        <c:auto val="1"/>
        <c:lblAlgn val="ctr"/>
        <c:lblOffset val="100"/>
        <c:noMultiLvlLbl val="0"/>
      </c:catAx>
      <c:valAx>
        <c:axId val="183400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33987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3346855983775"/>
          <c:y val="0.0897832817337461"/>
          <c:w val="0.541582150101417"/>
          <c:h val="0.826625386996904"/>
        </c:manualLayout>
      </c:layout>
      <c:pieChart>
        <c:varyColors val="1"/>
        <c:ser>
          <c:idx val="0"/>
          <c:order val="0"/>
          <c:tx>
            <c:strRef>
              <c:f>Sheet1!$A$2</c:f>
              <c:strCache>
                <c:ptCount val="1"/>
                <c:pt idx="0">
                  <c:v>东部</c:v>
                </c:pt>
              </c:strCache>
            </c:strRef>
          </c:tx>
          <c:spPr>
            <a:solidFill>
              <a:srgbClr val="9999FF"/>
            </a:solidFill>
            <a:ln w="12675">
              <a:solidFill>
                <a:srgbClr val="000000"/>
              </a:solidFill>
              <a:prstDash val="solid"/>
            </a:ln>
          </c:spPr>
          <c:explosion val="0"/>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Lbls>
            <c:delete val="1"/>
          </c:dLbls>
          <c:cat>
            <c:strRef>
              <c:f>Sheet1!$B$1:$J$1</c:f>
              <c:strCache>
                <c:ptCount val="9"/>
                <c:pt idx="0">
                  <c:v>一般公共服务支出</c:v>
                </c:pt>
                <c:pt idx="1">
                  <c:v>文化体育与传媒支出</c:v>
                </c:pt>
                <c:pt idx="2">
                  <c:v>社会保障和就业支出</c:v>
                </c:pt>
                <c:pt idx="3">
                  <c:v>医疗卫生支出</c:v>
                </c:pt>
                <c:pt idx="4">
                  <c:v>城乡社区支出</c:v>
                </c:pt>
                <c:pt idx="5">
                  <c:v>农林水支出</c:v>
                </c:pt>
                <c:pt idx="6">
                  <c:v>交通运输支出</c:v>
                </c:pt>
                <c:pt idx="7">
                  <c:v>资源勘探信息等支出</c:v>
                </c:pt>
                <c:pt idx="8">
                  <c:v>住房保障支出</c:v>
                </c:pt>
              </c:strCache>
            </c:strRef>
          </c:cat>
          <c:val>
            <c:numRef>
              <c:f>Sheet1!$B$2:$J$2</c:f>
              <c:numCache>
                <c:formatCode>General</c:formatCode>
                <c:ptCount val="9"/>
                <c:pt idx="0">
                  <c:v>26.3</c:v>
                </c:pt>
                <c:pt idx="1">
                  <c:v>1.75</c:v>
                </c:pt>
                <c:pt idx="2">
                  <c:v>11.11</c:v>
                </c:pt>
                <c:pt idx="3">
                  <c:v>0.9</c:v>
                </c:pt>
                <c:pt idx="4">
                  <c:v>31.45</c:v>
                </c:pt>
                <c:pt idx="5">
                  <c:v>25.51</c:v>
                </c:pt>
                <c:pt idx="6">
                  <c:v>0.04</c:v>
                </c:pt>
                <c:pt idx="7">
                  <c:v>0.07</c:v>
                </c:pt>
                <c:pt idx="8">
                  <c:v>2.9</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732251521298178"/>
          <c:y val="0.263157894736842"/>
          <c:w val="0.259634888438132"/>
          <c:h val="0.476780185758515"/>
        </c:manualLayout>
      </c:layout>
      <c:overlay val="0"/>
      <c:spPr>
        <a:noFill/>
        <a:ln w="3169">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2016年度“三公”经费支出</c:v>
                </c:pt>
              </c:strCache>
            </c:strRef>
          </c:tx>
          <c:explosion val="0"/>
          <c:dPt>
            <c:idx val="0"/>
            <c:bubble3D val="0"/>
          </c:dPt>
          <c:dPt>
            <c:idx val="1"/>
            <c:bubble3D val="0"/>
          </c:dPt>
          <c:dLbls>
            <c:delete val="1"/>
          </c:dLbls>
          <c:cat>
            <c:strRef>
              <c:f>Sheet1!$A$2:$A$3</c:f>
              <c:strCache>
                <c:ptCount val="2"/>
                <c:pt idx="0">
                  <c:v>公务接待费</c:v>
                </c:pt>
                <c:pt idx="1">
                  <c:v>公务用车购置及运行维护费</c:v>
                </c:pt>
              </c:strCache>
            </c:strRef>
          </c:cat>
          <c:val>
            <c:numRef>
              <c:f>Sheet1!$B$2:$B$3</c:f>
              <c:numCache>
                <c:formatCode>General</c:formatCode>
                <c:ptCount val="2"/>
                <c:pt idx="0">
                  <c:v>10.09</c:v>
                </c:pt>
                <c:pt idx="1">
                  <c:v>89.91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B9FE2-DA06-4E14-B62A-BFDD8BC9B35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Pages>
  <Words>1046</Words>
  <Characters>5967</Characters>
  <Lines>49</Lines>
  <Paragraphs>13</Paragraphs>
  <TotalTime>0</TotalTime>
  <ScaleCrop>false</ScaleCrop>
  <LinksUpToDate>false</LinksUpToDate>
  <CharactersWithSpaces>7000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2017-10-19T03:28:00Z</dcterms:created>
  <dc:creator>张彬茜</dc:creator>
  <cp:lastModifiedBy>Administrator</cp:lastModifiedBy>
  <cp:lastPrinted>2017-10-27T03:02:00Z</cp:lastPrinted>
  <dcterms:modified xsi:type="dcterms:W3CDTF">2017-11-14T09:45:09Z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